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Can Mumbaikars find a Hope?</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Hey guys, can you believe it's already December? I just don't know how fast the year went by. But does the climate really show that we have reached December? No, right?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These days, Mumbai is threatened by an enemy named Climate change. Weather is super unpredictable and this worsens day by day. Headlines about these changes affect the daily life of people. A report suggests that Maharashtra has a long coastline, and rising sea levels could threaten coastal communities and infrastructure including Mumbai.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mainly happens due to 2 reasons: rising sea level and extreme rainfall.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Sea level rise is one of the most significant consequences of climate change, and Mumbai finds itself caught in its boundaries. Sea level rise in the Arabian Sea is not just due to melting ice – it is largely due to the warming of the ocean – since water expands as it warms.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Severe flooding used to occur once every few years. Now, intense-rainfall events occur almost every year. But do we have enough resilience to deal with it? City authorities, now finalizing a climate action plan, have to confront long-standing inadequacies in housing, drainage, and sanitation, and resolve historical tensions between development interests and environmental protection. Year after year they come up with such plans but all these fail when the first rain hits the city.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Mumbaikars have lost all hope in the midst of this chaos. So what do you think, is there a better world waiting to come or do we have to deal with it forever?</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