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Memberships — New Membership</w:t>
      </w:r>
    </w:p>
    <w:p>
      <w:r>
        <w:rPr>
          <w:i/>
        </w:rPr>
        <w:t>Staff starts a client on a plan.</w:t>
      </w:r>
    </w:p>
    <w:p>
      <w:pPr>
        <w:pStyle w:val="Heading1"/>
      </w:pPr>
      <w:r>
        <w:t>Dialog fields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EEF7" w:val="clea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  <w:shd w:fill="E8EEF7" w:val="clear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2880"/>
            <w:shd w:fill="E8EEF7" w:val="clear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Client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SearchableSelect</w:t>
            </w:r>
          </w:p>
        </w:tc>
      </w:tr>
      <w:tr>
        <w:tc>
          <w:tcPr>
            <w:tcW w:type="dxa" w:w="2880"/>
          </w:tcPr>
          <w:p>
            <w:r>
              <w:t>Membership plan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Non-archived plans only; empty state → Manage plans</w:t>
            </w:r>
          </w:p>
        </w:tc>
      </w:tr>
    </w:tbl>
    <w:p/>
    <w:p>
      <w:pPr>
        <w:pStyle w:val="Heading1"/>
      </w:pPr>
      <w:r>
        <w:t>Submit</w:t>
      </w:r>
    </w:p>
    <w:p>
      <w:pPr>
        <w:pStyle w:val="ListBullet"/>
      </w:pPr>
      <w:r>
        <w:t>Start membership → POST memberships/client-memberships; toast “Membership started”.</w:t>
      </w:r>
    </w:p>
    <w:p>
      <w:pPr>
        <w:pStyle w:val="ListBullet"/>
      </w:pPr>
      <w:r>
        <w:t>Requires memberships.manage (or Owner/Admin).</w:t>
      </w:r>
    </w:p>
    <w:p>
      <w:pPr>
        <w:pStyle w:val="ListBullet"/>
      </w:pPr>
      <w:r>
        <w:t>Optional startDate on API; UI uses server default when omitted.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