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Create Service</w:t>
      </w:r>
    </w:p>
    <w:p>
      <w:r>
        <w:rPr>
          <w:i/>
        </w:rPr>
        <w:t>“New service” form when Add service is chosen under a category.</w:t>
      </w:r>
    </w:p>
    <w:p>
      <w:pPr>
        <w:pStyle w:val="Heading1"/>
      </w:pPr>
      <w:r>
        <w:t>Header</w:t>
      </w:r>
    </w:p>
    <w:p>
      <w:pPr>
        <w:pStyle w:val="ListBullet"/>
      </w:pPr>
      <w:r>
        <w:t>Category name (muted)</w:t>
      </w:r>
    </w:p>
    <w:p>
      <w:pPr>
        <w:pStyle w:val="ListBullet"/>
      </w:pPr>
      <w:r>
        <w:t>Title: New service</w:t>
      </w:r>
    </w:p>
    <w:p>
      <w:pPr>
        <w:pStyle w:val="Heading1"/>
      </w:pPr>
      <w:r>
        <w:t>Primary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Service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e.g. Haircut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Number ≥ 0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Yes (default 60)</w:t>
            </w:r>
          </w:p>
        </w:tc>
        <w:tc>
          <w:tcPr>
            <w:tcW w:type="dxa" w:w="2880"/>
          </w:tcPr>
          <w:p>
            <w:r>
              <w:t>Select presets 15–120 min</w:t>
            </w:r>
          </w:p>
        </w:tc>
      </w:tr>
    </w:tbl>
    <w:p/>
    <w:p>
      <w:pPr>
        <w:pStyle w:val="Heading1"/>
      </w:pPr>
      <w:r>
        <w:t>Processing time</w:t>
      </w:r>
    </w:p>
    <w:p>
      <w:pPr>
        <w:pStyle w:val="ListBullet"/>
      </w:pPr>
      <w:r>
        <w:t>Switch: “Has processing time” — client unattended; provider available for other appointments.</w:t>
      </w:r>
    </w:p>
    <w:p>
      <w:pPr>
        <w:pStyle w:val="ListBullet"/>
      </w:pPr>
      <w:r>
        <w:t>When on: Processing (min), Finish (min, optional).</w:t>
      </w:r>
    </w:p>
    <w:p>
      <w:pPr>
        <w:pStyle w:val="Heading1"/>
      </w:pPr>
      <w:r>
        <w:t>Buffer time</w:t>
      </w:r>
    </w:p>
    <w:p>
      <w:pPr>
        <w:pStyle w:val="ListBullet"/>
      </w:pPr>
      <w:r>
        <w:t>Switch: “Has buffer time” — prep/cleanup.</w:t>
      </w:r>
    </w:p>
    <w:p>
      <w:pPr>
        <w:pStyle w:val="ListBullet"/>
      </w:pPr>
      <w:r>
        <w:t>When on: Before (min), After (min).</w:t>
      </w:r>
    </w:p>
    <w:p>
      <w:pPr>
        <w:pStyle w:val="Heading1"/>
      </w:pPr>
      <w:r>
        <w:t>Additional options (collapsed)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Toggle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Description / fields</w:t>
            </w:r>
          </w:p>
        </w:tc>
      </w:tr>
      <w:tr>
        <w:tc>
          <w:tcPr>
            <w:tcW w:type="dxa" w:w="4320"/>
          </w:tcPr>
          <w:p>
            <w:r>
              <w:t>This service uses products</w:t>
            </w:r>
          </w:p>
        </w:tc>
        <w:tc>
          <w:tcPr>
            <w:tcW w:type="dxa" w:w="4320"/>
          </w:tcPr>
          <w:p>
            <w:r>
              <w:t>Track products for cost/inventory (copy says coming soon); enables product usages on Details later</w:t>
            </w:r>
          </w:p>
        </w:tc>
      </w:tr>
      <w:tr>
        <w:tc>
          <w:tcPr>
            <w:tcW w:type="dxa" w:w="4320"/>
          </w:tcPr>
          <w:p>
            <w:r>
              <w:t>Requires no staff (resources only)</w:t>
            </w:r>
          </w:p>
        </w:tc>
        <w:tc>
          <w:tcPr>
            <w:tcW w:type="dxa" w:w="4320"/>
          </w:tcPr>
          <w:p>
            <w:r>
              <w:t>Resource but no staff member; mutually exclusive with two staff</w:t>
            </w:r>
          </w:p>
        </w:tc>
      </w:tr>
      <w:tr>
        <w:tc>
          <w:tcPr>
            <w:tcW w:type="dxa" w:w="4320"/>
          </w:tcPr>
          <w:p>
            <w:r>
              <w:t>Requires two staff members</w:t>
            </w:r>
          </w:p>
        </w:tc>
        <w:tc>
          <w:tcPr>
            <w:tcW w:type="dxa" w:w="4320"/>
          </w:tcPr>
          <w:p>
            <w:r>
              <w:t>Both providers blocked on calendar; mutually exclusive with no staff</w:t>
            </w:r>
          </w:p>
        </w:tc>
      </w:tr>
      <w:tr>
        <w:tc>
          <w:tcPr>
            <w:tcW w:type="dxa" w:w="4320"/>
          </w:tcPr>
          <w:p>
            <w:r>
              <w:t>Commission deduction</w:t>
            </w:r>
          </w:p>
        </w:tc>
        <w:tc>
          <w:tcPr>
            <w:tcW w:type="dxa" w:w="4320"/>
          </w:tcPr>
          <w:p>
            <w:r>
              <w:t>Flat ($) or Percent (%) + value</w:t>
            </w:r>
          </w:p>
        </w:tc>
      </w:tr>
    </w:tbl>
    <w:p/>
    <w:p>
      <w:pPr>
        <w:pStyle w:val="Heading1"/>
      </w:pPr>
      <w:r>
        <w:t>Actions</w:t>
      </w:r>
    </w:p>
    <w:p>
      <w:pPr>
        <w:pStyle w:val="ListBullet"/>
      </w:pPr>
      <w:r>
        <w:t>Cancel — back to empty / previous selection.</w:t>
      </w:r>
    </w:p>
    <w:p>
      <w:pPr>
        <w:pStyle w:val="ListBullet"/>
      </w:pPr>
      <w:r>
        <w:t>Create — disabled without name; toast “Service created”; selects new service in panel.</w:t>
      </w:r>
    </w:p>
    <w:p>
      <w:pPr>
        <w:pStyle w:val="ListBullet"/>
      </w:pPr>
      <w:r>
        <w:t>Body always includes categoryId from the chosen category.</w:t>
      </w:r>
    </w:p>
    <w:p>
      <w:pPr>
        <w:pStyle w:val="Heading1"/>
      </w:pPr>
      <w:r>
        <w:t>Legacy dialog (not primary path)</w:t>
      </w:r>
    </w:p>
    <w:p>
      <w:pPr>
        <w:pStyle w:val="ListBullet"/>
      </w:pPr>
      <w:r>
        <w:t>ServiceFormDialog + serviceProfileSchema: name, category text, description, price, status ACTIVE/ARCHIVED.</w:t>
      </w:r>
    </w:p>
    <w:p>
      <w:pPr>
        <w:pStyle w:val="ListBullet"/>
      </w:pPr>
      <w:r>
        <w:t>Simpler CRUD dialog; catalog create form is the Settings path used in production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