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Add Client Package</w:t>
      </w:r>
    </w:p>
    <w:p>
      <w:r>
        <w:rPr>
          <w:i/>
        </w:rPr>
        <w:t>Staff assigns a template to a contact (source STAFF).</w:t>
      </w:r>
    </w:p>
    <w:p>
      <w:pPr>
        <w:pStyle w:val="Heading1"/>
      </w:pPr>
      <w:r>
        <w:t>Dialog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SearchableSelect contacts</w:t>
            </w:r>
          </w:p>
        </w:tc>
      </w:tr>
      <w:tr>
        <w:tc>
          <w:tcPr>
            <w:tcW w:type="dxa" w:w="2880"/>
          </w:tcPr>
          <w:p>
            <w:r>
              <w:t>Package template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From listPackageTemplates</w:t>
            </w:r>
          </w:p>
        </w:tc>
      </w:tr>
      <w:tr>
        <w:tc>
          <w:tcPr>
            <w:tcW w:type="dxa" w:w="2880"/>
          </w:tcPr>
          <w:p>
            <w:r>
              <w:t>Purchase 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Date input; default today</w:t>
            </w:r>
          </w:p>
        </w:tc>
      </w:tr>
      <w:tr>
        <w:tc>
          <w:tcPr>
            <w:tcW w:type="dxa" w:w="2880"/>
          </w:tcPr>
          <w:p>
            <w:r>
              <w:t>Mark as demo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Checkbox isDemo</w:t>
            </w:r>
          </w:p>
        </w:tc>
      </w:tr>
    </w:tbl>
    <w:p/>
    <w:p>
      <w:pPr>
        <w:pStyle w:val="Heading1"/>
      </w:pPr>
      <w:r>
        <w:t>Submit</w:t>
      </w:r>
    </w:p>
    <w:p>
      <w:pPr>
        <w:pStyle w:val="ListBullet"/>
      </w:pPr>
      <w:r>
        <w:t>Add package → POST client-packages; toast “Package added”; opens detail.</w:t>
      </w:r>
    </w:p>
    <w:p>
      <w:pPr>
        <w:pStyle w:val="ListBullet"/>
      </w:pPr>
      <w:r>
        <w:t>Requires packages.manage (or Owner/Admin).</w:t>
      </w:r>
    </w:p>
    <w:p>
      <w:pPr>
        <w:pStyle w:val="ListBullet"/>
      </w:pPr>
      <w:r>
        <w:t>Creates service allocations from template service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