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Products — Bundles, Sales Checkout &amp; Related</w:t>
      </w:r>
    </w:p>
    <w:p>
      <w:r>
        <w:rPr>
          <w:i/>
          <w:color w:val="666666"/>
        </w:rPr>
        <w:t>How products connect outside the catalog workspace.</w:t>
      </w:r>
    </w:p>
    <w:p>
      <w:pPr>
        <w:pStyle w:val="Heading1"/>
      </w:pPr>
      <w:r>
        <w:t>Bundles</w:t>
      </w:r>
    </w:p>
    <w:p>
      <w:pPr>
        <w:pStyle w:val="ListBullet"/>
      </w:pPr>
      <w:r>
        <w:t>Create type BUNDLE is available in UI.</w:t>
      </w:r>
    </w:p>
    <w:p>
      <w:pPr>
        <w:pStyle w:val="ListBullet"/>
      </w:pPr>
      <w:r>
        <w:t>UI message: bundle item configuration after create.</w:t>
      </w:r>
    </w:p>
    <w:p>
      <w:pPr>
        <w:pStyle w:val="ListBullet"/>
      </w:pPr>
      <w:r>
        <w:t>API: GET /products/:id/bundle-items (controller product-bundles) and PUT to replace bundle composition.</w:t>
      </w:r>
    </w:p>
    <w:p>
      <w:pPr>
        <w:pStyle w:val="ListBullet"/>
      </w:pPr>
      <w:r>
        <w:t>Detail payload includes bundleItems array.</w:t>
      </w:r>
    </w:p>
    <w:p>
      <w:pPr>
        <w:pStyle w:val="ListBullet"/>
      </w:pPr>
      <w:r>
        <w:t>Designers should plan a bundle composition editor even if current UI is minimal.</w:t>
      </w:r>
    </w:p>
    <w:p>
      <w:pPr>
        <w:pStyle w:val="Heading1"/>
      </w:pPr>
      <w:r>
        <w:t>Sales checkout — Add product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4" w:val="clear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4320"/>
            <w:shd w:fill="E8EEF4" w:val="clear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t>Entry</w:t>
            </w:r>
          </w:p>
        </w:tc>
        <w:tc>
          <w:tcPr>
            <w:tcW w:type="dxa" w:w="4320"/>
          </w:tcPr>
          <w:p>
            <w:r>
              <w:t>Open sale → Add to sale → Product</w:t>
            </w:r>
          </w:p>
        </w:tc>
      </w:tr>
      <w:tr>
        <w:tc>
          <w:tcPr>
            <w:tcW w:type="dxa" w:w="4320"/>
          </w:tcPr>
          <w:p>
            <w:r>
              <w:t>Picker</w:t>
            </w:r>
          </w:p>
        </w:tc>
        <w:tc>
          <w:tcPr>
            <w:tcW w:type="dxa" w:w="4320"/>
          </w:tcPr>
          <w:p>
            <w:r>
              <w:t>Searchable products/variants with price; stock-aware</w:t>
            </w:r>
          </w:p>
        </w:tc>
      </w:tr>
      <w:tr>
        <w:tc>
          <w:tcPr>
            <w:tcW w:type="dxa" w:w="4320"/>
          </w:tcPr>
          <w:p>
            <w:r>
              <w:t>Quantity</w:t>
            </w:r>
          </w:p>
        </w:tc>
        <w:tc>
          <w:tcPr>
            <w:tcW w:type="dxa" w:w="4320"/>
          </w:tcPr>
          <w:p>
            <w:r>
              <w:t>Number &gt; 0</w:t>
            </w:r>
          </w:p>
        </w:tc>
      </w:tr>
      <w:tr>
        <w:tc>
          <w:tcPr>
            <w:tcW w:type="dxa" w:w="4320"/>
          </w:tcPr>
          <w:p>
            <w:r>
              <w:t>Staff</w:t>
            </w:r>
          </w:p>
        </w:tc>
        <w:tc>
          <w:tcPr>
            <w:tcW w:type="dxa" w:w="4320"/>
          </w:tcPr>
          <w:p>
            <w:r>
              <w:t>Required if product.assignStaffToSale</w:t>
            </w:r>
          </w:p>
        </w:tc>
      </w:tr>
      <w:tr>
        <w:tc>
          <w:tcPr>
            <w:tcW w:type="dxa" w:w="4320"/>
          </w:tcPr>
          <w:p>
            <w:r>
              <w:t>Non-retail</w:t>
            </w:r>
          </w:p>
        </w:tc>
        <w:tc>
          <w:tcPr>
            <w:tcW w:type="dxa" w:w="4320"/>
          </w:tcPr>
          <w:p>
            <w:r>
              <w:t>Hidden unless staff has sales.sell_non_retail</w:t>
            </w:r>
          </w:p>
        </w:tc>
      </w:tr>
      <w:tr>
        <w:tc>
          <w:tcPr>
            <w:tcW w:type="dxa" w:w="4320"/>
          </w:tcPr>
          <w:p>
            <w:r>
              <w:t>Submit</w:t>
            </w:r>
          </w:p>
        </w:tc>
        <w:tc>
          <w:tcPr>
            <w:tcW w:type="dxa" w:w="4320"/>
          </w:tcPr>
          <w:p>
            <w:r>
              <w:t>Add to sale</w:t>
            </w:r>
          </w:p>
        </w:tc>
      </w:tr>
    </w:tbl>
    <w:p/>
    <w:p>
      <w:pPr>
        <w:pStyle w:val="Heading1"/>
      </w:pPr>
      <w:r>
        <w:t>Picker API</w:t>
      </w:r>
    </w:p>
    <w:p>
      <w:pPr>
        <w:pStyle w:val="ListBullet"/>
      </w:pPr>
      <w:r>
        <w:t>GET /products/picker?search=… (catalog)</w:t>
      </w:r>
    </w:p>
    <w:p>
      <w:pPr>
        <w:pStyle w:val="ListBullet"/>
      </w:pPr>
      <w:r>
        <w:t>Also exposed via checkout picker products endpoint for POS</w:t>
      </w:r>
    </w:p>
    <w:p>
      <w:pPr>
        <w:pStyle w:val="ListBullet"/>
      </w:pPr>
      <w:r>
        <w:t>Returns productId, variantId, name, variantLabel, unitPrice, stock, trackInventory, isNonRetail, assignStaffToSale, etc.</w:t>
      </w:r>
    </w:p>
    <w:p>
      <w:pPr>
        <w:pStyle w:val="Heading1"/>
      </w:pPr>
      <w:r>
        <w:t>Inventory from sales</w:t>
      </w:r>
    </w:p>
    <w:p>
      <w:pPr>
        <w:pStyle w:val="ListBullet"/>
      </w:pPr>
      <w:r>
        <w:t>Closing a sale that includes tracked products creates SALE adjustments.</w:t>
      </w:r>
    </w:p>
    <w:p>
      <w:pPr>
        <w:pStyle w:val="ListBullet"/>
      </w:pPr>
      <w:r>
        <w:t>Customer returns can be recorded manually as RETURNED adjustments.</w:t>
      </w:r>
    </w:p>
    <w:p>
      <w:pPr>
        <w:pStyle w:val="ListBullet"/>
      </w:pPr>
      <w:r>
        <w:t>Professional-use depletion can be recorded as PROFESSIONAL_USE.</w:t>
      </w:r>
    </w:p>
    <w:p>
      <w:pPr>
        <w:pStyle w:val="Heading1"/>
      </w:pPr>
      <w:r>
        <w:t>Related apps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4" w:val="clear"/>
          </w:tcPr>
          <w:p>
            <w:r>
              <w:rPr>
                <w:b/>
              </w:rPr>
              <w:t>App</w:t>
            </w:r>
          </w:p>
        </w:tc>
        <w:tc>
          <w:tcPr>
            <w:tcW w:type="dxa" w:w="4320"/>
            <w:shd w:fill="E8EEF4" w:val="clear"/>
          </w:tcPr>
          <w:p>
            <w:r>
              <w:rPr>
                <w:b/>
              </w:rPr>
              <w:t>Relationship</w:t>
            </w:r>
          </w:p>
        </w:tc>
      </w:tr>
      <w:tr>
        <w:tc>
          <w:tcPr>
            <w:tcW w:type="dxa" w:w="4320"/>
          </w:tcPr>
          <w:p>
            <w:r>
              <w:t>Sales</w:t>
            </w:r>
          </w:p>
        </w:tc>
        <w:tc>
          <w:tcPr>
            <w:tcW w:type="dxa" w:w="4320"/>
          </w:tcPr>
          <w:p>
            <w:r>
              <w:t>Sells products; staff assignment; non-retail gate</w:t>
            </w:r>
          </w:p>
        </w:tc>
      </w:tr>
      <w:tr>
        <w:tc>
          <w:tcPr>
            <w:tcW w:type="dxa" w:w="4320"/>
          </w:tcPr>
          <w:p>
            <w:r>
              <w:t>Settings → Team</w:t>
            </w:r>
          </w:p>
        </w:tc>
        <w:tc>
          <w:tcPr>
            <w:tcW w:type="dxa" w:w="4320"/>
          </w:tcPr>
          <w:p>
            <w:r>
              <w:t>Active members listed when Assign staff to sale is on</w:t>
            </w:r>
          </w:p>
        </w:tc>
      </w:tr>
      <w:tr>
        <w:tc>
          <w:tcPr>
            <w:tcW w:type="dxa" w:w="4320"/>
          </w:tcPr>
          <w:p>
            <w:r>
              <w:t>Memberships</w:t>
            </w:r>
          </w:p>
        </w:tc>
        <w:tc>
          <w:tcPr>
            <w:tcW w:type="dxa" w:w="4320"/>
          </w:tcPr>
          <w:p>
            <w:r>
              <w:t>May include product discount % on plans (separate feature)</w:t>
            </w:r>
          </w:p>
        </w:tc>
      </w:tr>
      <w:tr>
        <w:tc>
          <w:tcPr>
            <w:tcW w:type="dxa" w:w="4320"/>
          </w:tcPr>
          <w:p>
            <w:r>
              <w:t>Reports</w:t>
            </w:r>
          </w:p>
        </w:tc>
        <w:tc>
          <w:tcPr>
            <w:tcW w:type="dxa" w:w="4320"/>
          </w:tcPr>
          <w:p>
            <w:r>
              <w:t>Backend has product sales report providers (reporting module)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