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Inbox — Internal Notes &amp; Quick Replies</w:t>
      </w:r>
    </w:p>
    <w:p>
      <w:r>
        <w:rPr>
          <w:i/>
          <w:color w:val="666666"/>
        </w:rPr>
        <w:t>Staff-only notes on a conversation and canned response library.</w:t>
      </w:r>
    </w:p>
    <w:p>
      <w:pPr>
        <w:pStyle w:val="Heading1"/>
      </w:pPr>
      <w:r>
        <w:t>Internal notes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Header</w:t>
            </w:r>
          </w:p>
        </w:tc>
        <w:tc>
          <w:tcPr>
            <w:tcW w:type="dxa" w:w="4320"/>
          </w:tcPr>
          <w:p>
            <w:r>
              <w:t>Internal notes + count badge; expand/collapse</w:t>
            </w:r>
          </w:p>
        </w:tc>
      </w:tr>
      <w:tr>
        <w:tc>
          <w:tcPr>
            <w:tcW w:type="dxa" w:w="4320"/>
          </w:tcPr>
          <w:p>
            <w:r>
              <w:t>Empty copy</w:t>
            </w:r>
          </w:p>
        </w:tc>
        <w:tc>
          <w:tcPr>
            <w:tcW w:type="dxa" w:w="4320"/>
          </w:tcPr>
          <w:p>
            <w:r>
              <w:t>Staff-only notes are not visible to the visitor.</w:t>
            </w:r>
          </w:p>
        </w:tc>
      </w:tr>
      <w:tr>
        <w:tc>
          <w:tcPr>
            <w:tcW w:type="dxa" w:w="4320"/>
          </w:tcPr>
          <w:p>
            <w:r>
              <w:t>Note row</w:t>
            </w:r>
          </w:p>
        </w:tc>
        <w:tc>
          <w:tcPr>
            <w:tcW w:type="dxa" w:w="4320"/>
          </w:tcPr>
          <w:p>
            <w:r>
              <w:t>Body + author · relative time</w:t>
            </w:r>
          </w:p>
        </w:tc>
      </w:tr>
      <w:tr>
        <w:tc>
          <w:tcPr>
            <w:tcW w:type="dxa" w:w="4320"/>
          </w:tcPr>
          <w:p>
            <w:r>
              <w:t>Composer</w:t>
            </w:r>
          </w:p>
        </w:tc>
        <w:tc>
          <w:tcPr>
            <w:tcW w:type="dxa" w:w="4320"/>
          </w:tcPr>
          <w:p>
            <w:r>
              <w:t>Textarea + add action</w:t>
            </w:r>
          </w:p>
        </w:tc>
      </w:tr>
      <w:tr>
        <w:tc>
          <w:tcPr>
            <w:tcW w:type="dxa" w:w="4320"/>
          </w:tcPr>
          <w:p>
            <w:r>
              <w:t>Success toast</w:t>
            </w:r>
          </w:p>
        </w:tc>
        <w:tc>
          <w:tcPr>
            <w:tcW w:type="dxa" w:w="4320"/>
          </w:tcPr>
          <w:p>
            <w:r>
              <w:t>Internal note added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GET/POST /conversations/:id/notes</w:t>
            </w:r>
          </w:p>
        </w:tc>
      </w:tr>
    </w:tbl>
    <w:p/>
    <w:p>
      <w:pPr>
        <w:pStyle w:val="Heading1"/>
      </w:pPr>
      <w:r>
        <w:t>Quick replies dialog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Entry</w:t>
            </w:r>
          </w:p>
        </w:tc>
        <w:tc>
          <w:tcPr>
            <w:tcW w:type="dxa" w:w="4320"/>
          </w:tcPr>
          <w:p>
            <w:r>
              <w:t>Composer Tags icon — aria “Quick replies”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Quick replies</w:t>
            </w:r>
          </w:p>
        </w:tc>
      </w:tr>
      <w:tr>
        <w:tc>
          <w:tcPr>
            <w:tcW w:type="dxa" w:w="4320"/>
          </w:tcPr>
          <w:p>
            <w:r>
              <w:t>Search</w:t>
            </w:r>
          </w:p>
        </w:tc>
        <w:tc>
          <w:tcPr>
            <w:tcW w:type="dxa" w:w="4320"/>
          </w:tcPr>
          <w:p>
            <w:r>
              <w:t>Filter saved replies</w:t>
            </w:r>
          </w:p>
        </w:tc>
      </w:tr>
      <w:tr>
        <w:tc>
          <w:tcPr>
            <w:tcW w:type="dxa" w:w="4320"/>
          </w:tcPr>
          <w:p>
            <w:r>
              <w:t>Sort</w:t>
            </w:r>
          </w:p>
        </w:tc>
        <w:tc>
          <w:tcPr>
            <w:tcW w:type="dxa" w:w="4320"/>
          </w:tcPr>
          <w:p>
            <w:r>
              <w:t>Recent (default) / other sort modes</w:t>
            </w:r>
          </w:p>
        </w:tc>
      </w:tr>
      <w:tr>
        <w:tc>
          <w:tcPr>
            <w:tcW w:type="dxa" w:w="4320"/>
          </w:tcPr>
          <w:p>
            <w:r>
              <w:t>List</w:t>
            </w:r>
          </w:p>
        </w:tc>
        <w:tc>
          <w:tcPr>
            <w:tcW w:type="dxa" w:w="4320"/>
          </w:tcPr>
          <w:p>
            <w:r>
              <w:t>Saved canned responses</w:t>
            </w:r>
          </w:p>
        </w:tc>
      </w:tr>
      <w:tr>
        <w:tc>
          <w:tcPr>
            <w:tcW w:type="dxa" w:w="4320"/>
          </w:tcPr>
          <w:p>
            <w:r>
              <w:t>Use</w:t>
            </w:r>
          </w:p>
        </w:tc>
        <w:tc>
          <w:tcPr>
            <w:tcW w:type="dxa" w:w="4320"/>
          </w:tcPr>
          <w:p>
            <w:r>
              <w:t>Inserts body into composer</w:t>
            </w:r>
          </w:p>
        </w:tc>
      </w:tr>
      <w:tr>
        <w:tc>
          <w:tcPr>
            <w:tcW w:type="dxa" w:w="4320"/>
          </w:tcPr>
          <w:p>
            <w:r>
              <w:t>Create / Edit</w:t>
            </w:r>
          </w:p>
        </w:tc>
        <w:tc>
          <w:tcPr>
            <w:tcW w:type="dxa" w:w="4320"/>
          </w:tcPr>
          <w:p>
            <w:r>
              <w:t>Title (max 120) + Body (max 4000)</w:t>
            </w:r>
          </w:p>
        </w:tc>
      </w:tr>
      <w:tr>
        <w:tc>
          <w:tcPr>
            <w:tcW w:type="dxa" w:w="4320"/>
          </w:tcPr>
          <w:p>
            <w:r>
              <w:t>Delete</w:t>
            </w:r>
          </w:p>
        </w:tc>
        <w:tc>
          <w:tcPr>
            <w:tcW w:type="dxa" w:w="4320"/>
          </w:tcPr>
          <w:p>
            <w:r>
              <w:t>Confirm delete</w:t>
            </w:r>
          </w:p>
        </w:tc>
      </w:tr>
      <w:tr>
        <w:tc>
          <w:tcPr>
            <w:tcW w:type="dxa" w:w="4320"/>
          </w:tcPr>
          <w:p>
            <w:r>
              <w:t>API base</w:t>
            </w:r>
          </w:p>
        </w:tc>
        <w:tc>
          <w:tcPr>
            <w:tcW w:type="dxa" w:w="4320"/>
          </w:tcPr>
          <w:p>
            <w:r>
              <w:t>canned-responses (business) / platform/canned-responses</w:t>
            </w:r>
          </w:p>
        </w:tc>
      </w:tr>
    </w:tbl>
    <w:p/>
    <w:p>
      <w:pPr>
        <w:pStyle w:val="Heading1"/>
      </w:pPr>
      <w:r>
        <w:t>Quick reply CRUD actions</w:t>
      </w:r>
    </w:p>
    <w:p>
      <w:pPr>
        <w:pStyle w:val="ListBullet"/>
      </w:pPr>
      <w:r>
        <w:t>Create canned response</w:t>
      </w:r>
    </w:p>
    <w:p>
      <w:pPr>
        <w:pStyle w:val="ListBullet"/>
      </w:pPr>
      <w:r>
        <w:t>Update title/body</w:t>
      </w:r>
    </w:p>
    <w:p>
      <w:pPr>
        <w:pStyle w:val="ListBullet"/>
      </w:pPr>
      <w:r>
        <w:t>Delete</w:t>
      </w:r>
    </w:p>
    <w:p>
      <w:pPr>
        <w:pStyle w:val="ListBullet"/>
      </w:pPr>
      <w:r>
        <w:t>Mark as recently used (local sort preference)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