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Payments — Related Entry Points</w:t>
      </w:r>
    </w:p>
    <w:p>
      <w:r>
        <w:rPr>
          <w:i/>
        </w:rPr>
        <w:t>Connections to Sales, Contacts, booking, and standalone invoice/estimate routes.</w:t>
      </w:r>
    </w:p>
    <w:p>
      <w:pPr>
        <w:pStyle w:val="Heading1"/>
      </w:pPr>
      <w:r>
        <w:t>Sales (POS)</w:t>
      </w:r>
    </w:p>
    <w:p>
      <w:pPr>
        <w:pStyle w:val="ListBullet"/>
      </w:pPr>
      <w:r>
        <w:t>Closing a sale reuses InvoiceCollectPaymentPanel (collectOverride).</w:t>
      </w:r>
    </w:p>
    <w:p>
      <w:pPr>
        <w:pStyle w:val="ListBullet"/>
      </w:pPr>
      <w:r>
        <w:t>Sale refunds share sales.refund / sales.refund_open with Transactions refund.</w:t>
      </w:r>
    </w:p>
    <w:p>
      <w:pPr>
        <w:pStyle w:val="ListBullet"/>
      </w:pPr>
      <w:r>
        <w:t>Do not confuse Payments workspace with Sales list — different primary jobs.</w:t>
      </w:r>
    </w:p>
    <w:p>
      <w:pPr>
        <w:pStyle w:val="Heading1"/>
      </w:pPr>
      <w:r>
        <w:t>Contacts / Clients</w:t>
      </w:r>
    </w:p>
    <w:p>
      <w:pPr>
        <w:pStyle w:val="ListBullet"/>
      </w:pPr>
      <w:r>
        <w:t>Invoices/estimates require a customer (contact).</w:t>
      </w:r>
    </w:p>
    <w:p>
      <w:pPr>
        <w:pStyle w:val="ListBullet"/>
      </w:pPr>
      <w:r>
        <w:t>Wallet balance and gift cards feed collect methods.</w:t>
      </w:r>
    </w:p>
    <w:p>
      <w:pPr>
        <w:pStyle w:val="ListBullet"/>
      </w:pPr>
      <w:r>
        <w:t>Adjustments / financial history may link to invoices.</w:t>
      </w:r>
    </w:p>
    <w:p>
      <w:pPr>
        <w:pStyle w:val="Heading1"/>
      </w:pPr>
      <w:r>
        <w:t>Appointments / booking</w:t>
      </w:r>
    </w:p>
    <w:p>
      <w:pPr>
        <w:pStyle w:val="ListBullet"/>
      </w:pPr>
      <w:r>
        <w:t>Booking deposits can use payableType BOOKING_DEPOSIT via payments/collect.</w:t>
      </w:r>
    </w:p>
    <w:p>
      <w:pPr>
        <w:pStyle w:val="ListBullet"/>
      </w:pPr>
      <w:r>
        <w:t>Online booking payment settings live under Services / Online Booking settings.</w:t>
      </w:r>
    </w:p>
    <w:p>
      <w:pPr>
        <w:pStyle w:val="Heading1"/>
      </w:pPr>
      <w:r>
        <w:t>Legacy / alternate routes</w:t>
      </w:r>
    </w:p>
    <w:p>
      <w:pPr>
        <w:pStyle w:val="ListBullet"/>
      </w:pPr>
      <w:r>
        <w:t>Capability map still lists /business/invoices and /business/estimates modules — primary UX is unified Payments tabs.</w:t>
      </w:r>
    </w:p>
    <w:p>
      <w:pPr>
        <w:pStyle w:val="Heading1"/>
      </w:pPr>
      <w:r>
        <w:t>Work items</w:t>
      </w:r>
    </w:p>
    <w:p>
      <w:pPr>
        <w:pStyle w:val="ListBullet"/>
      </w:pPr>
      <w:r>
        <w:t>Estimates/invoices can link to a work item (shown on estimate detail).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