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Online Booking Tab</w:t>
      </w:r>
    </w:p>
    <w:p>
      <w:r>
        <w:rPr>
          <w:i/>
        </w:rPr>
        <w:t>Per-service public booking flags + direct booking link.</w:t>
      </w:r>
    </w:p>
    <w:p>
      <w:pPr>
        <w:pStyle w:val="Heading1"/>
      </w:pPr>
      <w:r>
        <w:t>Toggles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Available in online booking</w:t>
            </w:r>
          </w:p>
        </w:tc>
        <w:tc>
          <w:tcPr>
            <w:tcW w:type="dxa" w:w="4320"/>
          </w:tcPr>
          <w:p>
            <w:r>
              <w:t>onlineBookingEnabled (default true)</w:t>
            </w:r>
          </w:p>
        </w:tc>
      </w:tr>
      <w:tr>
        <w:tc>
          <w:tcPr>
            <w:tcW w:type="dxa" w:w="4320"/>
          </w:tcPr>
          <w:p>
            <w:r>
              <w:t>Customize price display</w:t>
            </w:r>
          </w:p>
        </w:tc>
        <w:tc>
          <w:tcPr>
            <w:tcW w:type="dxa" w:w="4320"/>
          </w:tcPr>
          <w:p>
            <w:r>
              <w:t>customizePriceDisplay</w:t>
            </w:r>
          </w:p>
        </w:tc>
      </w:tr>
      <w:tr>
        <w:tc>
          <w:tcPr>
            <w:tcW w:type="dxa" w:w="4320"/>
          </w:tcPr>
          <w:p>
            <w:r>
              <w:t>Show prompt to call</w:t>
            </w:r>
          </w:p>
        </w:tc>
        <w:tc>
          <w:tcPr>
            <w:tcW w:type="dxa" w:w="4320"/>
          </w:tcPr>
          <w:p>
            <w:r>
              <w:t>showPromptToCall</w:t>
            </w:r>
          </w:p>
        </w:tc>
      </w:tr>
      <w:tr>
        <w:tc>
          <w:tcPr>
            <w:tcW w:type="dxa" w:w="4320"/>
          </w:tcPr>
          <w:p>
            <w:r>
              <w:t>Require home address</w:t>
            </w:r>
          </w:p>
        </w:tc>
        <w:tc>
          <w:tcPr>
            <w:tcW w:type="dxa" w:w="4320"/>
          </w:tcPr>
          <w:p>
            <w:r>
              <w:t>requireHomeAddress</w:t>
            </w:r>
          </w:p>
        </w:tc>
      </w:tr>
      <w:tr>
        <w:tc>
          <w:tcPr>
            <w:tcW w:type="dxa" w:w="4320"/>
          </w:tcPr>
          <w:p>
            <w:r>
              <w:t>Require credit card</w:t>
            </w:r>
          </w:p>
        </w:tc>
        <w:tc>
          <w:tcPr>
            <w:tcW w:type="dxa" w:w="4320"/>
          </w:tcPr>
          <w:p>
            <w:r>
              <w:t>requireCreditCard</w:t>
            </w:r>
          </w:p>
        </w:tc>
      </w:tr>
    </w:tbl>
    <w:p/>
    <w:p>
      <w:pPr>
        <w:pStyle w:val="Heading1"/>
      </w:pPr>
      <w:r>
        <w:t>Direct link</w:t>
      </w:r>
    </w:p>
    <w:p>
      <w:pPr>
        <w:pStyle w:val="ListBullet"/>
      </w:pPr>
      <w:r>
        <w:t>Fetched when Online tab is active: GET …/online-booking/direct-link.</w:t>
      </w:r>
    </w:p>
    <w:p>
      <w:pPr>
        <w:pStyle w:val="ListBullet"/>
      </w:pPr>
      <w:r>
        <w:t>Shows serviceLink with Copy, or a hint string if link unavailable.</w:t>
      </w:r>
    </w:p>
    <w:p>
      <w:pPr>
        <w:pStyle w:val="ListBullet"/>
      </w:pPr>
      <w:r>
        <w:t>Staff-specific URLs also returned (staffLinks) — copy from Staff tab when present.</w:t>
      </w:r>
    </w:p>
    <w:p>
      <w:pPr>
        <w:pStyle w:val="Heading1"/>
      </w:pPr>
      <w:r>
        <w:t>Save</w:t>
      </w:r>
    </w:p>
    <w:p>
      <w:pPr>
        <w:pStyle w:val="ListBullet"/>
      </w:pPr>
      <w:r>
        <w:t>Save online booking → PATCH …/online-booking; toast “Online booking settings saved”.</w:t>
      </w:r>
    </w:p>
    <w:p>
      <w:pPr>
        <w:pStyle w:val="Heading1"/>
      </w:pPr>
      <w:r>
        <w:t>API fields with little/no UI</w:t>
      </w:r>
    </w:p>
    <w:p>
      <w:pPr>
        <w:pStyle w:val="ListBullet"/>
      </w:pPr>
      <w:r>
        <w:t>calendarId — optional booking calendar override.</w:t>
      </w:r>
    </w:p>
    <w:p>
      <w:pPr>
        <w:pStyle w:val="ListBullet"/>
      </w:pPr>
      <w:r>
        <w:t>requirePaymentAtBooking — enum (e.g. NO / …); held in client form defaults but no dedicated control on this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