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44"/>
        </w:rPr>
        <w:t>PandaCue — External Dependencies Audit</w:t>
      </w:r>
    </w:p>
    <w:p>
      <w:pPr>
        <w:jc w:val="center"/>
      </w:pPr>
      <w:r>
        <w:rPr>
          <w:rFonts w:ascii="Calibri" w:hAnsi="Calibri"/>
          <w:b/>
          <w:color w:val="2B6CB0"/>
          <w:sz w:val="28"/>
        </w:rPr>
        <w:t>Pricing Tier Planning Document</w:t>
      </w:r>
    </w:p>
    <w:p>
      <w:pPr>
        <w:jc w:val="center"/>
      </w:pPr>
      <w:r>
        <w:rPr>
          <w:rFonts w:ascii="Calibri" w:hAnsi="Calibri"/>
          <w:b w:val="0"/>
          <w:color w:val="4A5568"/>
          <w:sz w:val="18"/>
        </w:rPr>
        <w:t>Product: PandaCue (business-ops-product)  |  Report date: 2026-09-13</w:t>
        <w:br/>
        <w:t>Scope: Runtime external services + open-source libraries  |  Audience: Pricing / product leadership</w:t>
      </w:r>
    </w:p>
    <w:p>
      <w:pPr>
        <w:pStyle w:val="Heading1"/>
      </w:pPr>
      <w:r>
        <w:rPr>
          <w:color w:val="1A365D"/>
        </w:rPr>
        <w:t>1. Executive Summary</w:t>
      </w:r>
    </w:p>
    <w:p>
      <w:pPr>
        <w:spacing w:after="160"/>
      </w:pPr>
      <w:r>
        <w:rPr>
          <w:rFonts w:ascii="Calibri" w:hAnsi="Calibri"/>
          <w:b w:val="0"/>
          <w:color w:val="4A5568"/>
          <w:sz w:val="18"/>
        </w:rPr>
        <w:t>This audit separates dependencies into two commercial buckets for SaaS tier design: (A) Free / open-source / quota-based developer APIs that do not create direct variable COGS for PandaCue, and (B) Paid / usage-metered services where PandaCue or the tenant incurs real charges. Vendor list prices below are approximate public rates as of September 2026 and should be re-verified before finalizing published plan prices.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3456"/>
            <w:shd w:fill="1A365D"/>
          </w:tcPr>
          <w:p>
            <w:pPr>
              <w:spacing w:before="40" w:after="40"/>
              <w:jc w:val="center"/>
            </w:pPr>
            <w:r/>
            <w:r>
              <w:rPr>
                <w:rFonts w:ascii="Calibri" w:hAnsi="Calibri"/>
                <w:b/>
                <w:color w:val="FFFFFF"/>
                <w:sz w:val="18"/>
              </w:rPr>
              <w:t>Category</w:t>
            </w:r>
          </w:p>
        </w:tc>
        <w:tc>
          <w:tcPr>
            <w:tcW w:type="dxa" w:w="1872"/>
            <w:shd w:fill="1A365D"/>
          </w:tcPr>
          <w:p>
            <w:pPr>
              <w:spacing w:before="40" w:after="40"/>
              <w:jc w:val="center"/>
            </w:pPr>
            <w:r/>
            <w:r>
              <w:rPr>
                <w:rFonts w:ascii="Calibri" w:hAnsi="Calibri"/>
                <w:b/>
                <w:color w:val="FFFFFF"/>
                <w:sz w:val="18"/>
              </w:rPr>
              <w:t>Count</w:t>
            </w:r>
          </w:p>
        </w:tc>
        <w:tc>
          <w:tcPr>
            <w:tcW w:type="dxa" w:w="2304"/>
            <w:shd w:fill="1A365D"/>
          </w:tcPr>
          <w:p>
            <w:pPr>
              <w:spacing w:before="40" w:after="40"/>
              <w:jc w:val="center"/>
            </w:pPr>
            <w:r/>
            <w:r>
              <w:rPr>
                <w:rFonts w:ascii="Calibri" w:hAnsi="Calibri"/>
                <w:b/>
                <w:color w:val="FFFFFF"/>
                <w:sz w:val="18"/>
              </w:rPr>
              <w:t>Who typically pays</w:t>
            </w:r>
          </w:p>
        </w:tc>
        <w:tc>
          <w:tcPr>
            <w:tcW w:type="dxa" w:w="3168"/>
            <w:shd w:fill="1A365D"/>
          </w:tcPr>
          <w:p>
            <w:pPr>
              <w:spacing w:before="40" w:after="40"/>
              <w:jc w:val="center"/>
            </w:pPr>
            <w:r/>
            <w:r>
              <w:rPr>
                <w:rFonts w:ascii="Calibri" w:hAnsi="Calibri"/>
                <w:b/>
                <w:color w:val="FFFFFF"/>
                <w:sz w:val="18"/>
              </w:rPr>
              <w:t>Pricing impact</w:t>
            </w:r>
          </w:p>
        </w:tc>
      </w:tr>
      <w:tr>
        <w:tc>
          <w:tcPr>
            <w:tcW w:type="dxa" w:w="3456"/>
          </w:tcPr>
          <w:p>
            <w:pPr>
              <w:spacing w:before="40" w:after="40"/>
            </w:pPr>
            <w:r/>
            <w:r>
              <w:rPr>
                <w:rFonts w:ascii="Calibri" w:hAnsi="Calibri"/>
                <w:b w:val="0"/>
                <w:sz w:val="16"/>
              </w:rPr>
              <w:t>Paid / metered SaaS &amp; infra (platform COGS)</w:t>
            </w:r>
          </w:p>
        </w:tc>
        <w:tc>
          <w:tcPr>
            <w:tcW w:type="dxa" w:w="1872"/>
          </w:tcPr>
          <w:p>
            <w:pPr>
              <w:spacing w:before="40" w:after="40"/>
            </w:pPr>
            <w:r/>
            <w:r>
              <w:rPr>
                <w:rFonts w:ascii="Calibri" w:hAnsi="Calibri"/>
                <w:b w:val="0"/>
                <w:sz w:val="16"/>
              </w:rPr>
              <w:t>8 core</w:t>
            </w:r>
          </w:p>
        </w:tc>
        <w:tc>
          <w:tcPr>
            <w:tcW w:type="dxa" w:w="2304"/>
          </w:tcPr>
          <w:p>
            <w:pPr>
              <w:spacing w:before="40" w:after="40"/>
            </w:pPr>
            <w:r/>
            <w:r>
              <w:rPr>
                <w:rFonts w:ascii="Calibri" w:hAnsi="Calibri"/>
                <w:b w:val="0"/>
                <w:sz w:val="16"/>
              </w:rPr>
              <w:t>PandaCue (platform)</w:t>
            </w:r>
          </w:p>
        </w:tc>
        <w:tc>
          <w:tcPr>
            <w:tcW w:type="dxa" w:w="3168"/>
          </w:tcPr>
          <w:p>
            <w:pPr>
              <w:spacing w:before="40" w:after="40"/>
            </w:pPr>
            <w:r/>
            <w:r>
              <w:rPr>
                <w:rFonts w:ascii="Calibri" w:hAnsi="Calibri"/>
                <w:b w:val="0"/>
                <w:sz w:val="16"/>
              </w:rPr>
              <w:t>Must be covered by base plan + usage packs / overage</w:t>
            </w:r>
          </w:p>
        </w:tc>
      </w:tr>
      <w:tr>
        <w:tc>
          <w:tcPr>
            <w:tcW w:type="dxa" w:w="3456"/>
            <w:shd w:fill="F7FAFC"/>
          </w:tcPr>
          <w:p>
            <w:pPr>
              <w:spacing w:before="40" w:after="40"/>
            </w:pPr>
            <w:r/>
            <w:r>
              <w:rPr>
                <w:rFonts w:ascii="Calibri" w:hAnsi="Calibri"/>
                <w:b w:val="0"/>
                <w:sz w:val="16"/>
              </w:rPr>
              <w:t>Paid / metered but tenant-borne</w:t>
            </w:r>
          </w:p>
        </w:tc>
        <w:tc>
          <w:tcPr>
            <w:tcW w:type="dxa" w:w="1872"/>
            <w:shd w:fill="F7FAFC"/>
          </w:tcPr>
          <w:p>
            <w:pPr>
              <w:spacing w:before="40" w:after="40"/>
            </w:pPr>
            <w:r/>
            <w:r>
              <w:rPr>
                <w:rFonts w:ascii="Calibri" w:hAnsi="Calibri"/>
                <w:b w:val="0"/>
                <w:sz w:val="16"/>
              </w:rPr>
              <w:t>4 core</w:t>
            </w:r>
          </w:p>
        </w:tc>
        <w:tc>
          <w:tcPr>
            <w:tcW w:type="dxa" w:w="2304"/>
            <w:shd w:fill="F7FAFC"/>
          </w:tcPr>
          <w:p>
            <w:pPr>
              <w:spacing w:before="40" w:after="40"/>
            </w:pPr>
            <w:r/>
            <w:r>
              <w:rPr>
                <w:rFonts w:ascii="Calibri" w:hAnsi="Calibri"/>
                <w:b w:val="0"/>
                <w:sz w:val="16"/>
              </w:rPr>
              <w:t>Business / Meta / Stripe Connect</w:t>
            </w:r>
          </w:p>
        </w:tc>
        <w:tc>
          <w:tcPr>
            <w:tcW w:type="dxa" w:w="3168"/>
            <w:shd w:fill="F7FAFC"/>
          </w:tcPr>
          <w:p>
            <w:pPr>
              <w:spacing w:before="40" w:after="40"/>
            </w:pPr>
            <w:r/>
            <w:r>
              <w:rPr>
                <w:rFonts w:ascii="Calibri" w:hAnsi="Calibri"/>
                <w:b w:val="0"/>
                <w:sz w:val="16"/>
              </w:rPr>
              <w:t>Feature gates OK; avoid subsidizing unlimited usage</w:t>
            </w:r>
          </w:p>
        </w:tc>
      </w:tr>
      <w:tr>
        <w:tc>
          <w:tcPr>
            <w:tcW w:type="dxa" w:w="3456"/>
          </w:tcPr>
          <w:p>
            <w:pPr>
              <w:spacing w:before="40" w:after="40"/>
            </w:pPr>
            <w:r/>
            <w:r>
              <w:rPr>
                <w:rFonts w:ascii="Calibri" w:hAnsi="Calibri"/>
                <w:b w:val="0"/>
                <w:sz w:val="16"/>
              </w:rPr>
              <w:t>Freemium / quota developer APIs</w:t>
            </w:r>
          </w:p>
        </w:tc>
        <w:tc>
          <w:tcPr>
            <w:tcW w:type="dxa" w:w="1872"/>
          </w:tcPr>
          <w:p>
            <w:pPr>
              <w:spacing w:before="40" w:after="40"/>
            </w:pPr>
            <w:r/>
            <w:r>
              <w:rPr>
                <w:rFonts w:ascii="Calibri" w:hAnsi="Calibri"/>
                <w:b w:val="0"/>
                <w:sz w:val="16"/>
              </w:rPr>
              <w:t>6+</w:t>
            </w:r>
          </w:p>
        </w:tc>
        <w:tc>
          <w:tcPr>
            <w:tcW w:type="dxa" w:w="2304"/>
          </w:tcPr>
          <w:p>
            <w:pPr>
              <w:spacing w:before="40" w:after="40"/>
            </w:pPr>
            <w:r/>
            <w:r>
              <w:rPr>
                <w:rFonts w:ascii="Calibri" w:hAnsi="Calibri"/>
                <w:b w:val="0"/>
                <w:sz w:val="16"/>
              </w:rPr>
              <w:t>Mostly platform app quotas</w:t>
            </w:r>
          </w:p>
        </w:tc>
        <w:tc>
          <w:tcPr>
            <w:tcW w:type="dxa" w:w="3168"/>
          </w:tcPr>
          <w:p>
            <w:pPr>
              <w:spacing w:before="40" w:after="40"/>
            </w:pPr>
            <w:r/>
            <w:r>
              <w:rPr>
                <w:rFonts w:ascii="Calibri" w:hAnsi="Calibri"/>
                <w:b w:val="0"/>
                <w:sz w:val="16"/>
              </w:rPr>
              <w:t>Low direct COGS; watch API plan upgrades (e.g. X)</w:t>
            </w:r>
          </w:p>
        </w:tc>
      </w:tr>
      <w:tr>
        <w:tc>
          <w:tcPr>
            <w:tcW w:type="dxa" w:w="3456"/>
            <w:shd w:fill="F7FAFC"/>
          </w:tcPr>
          <w:p>
            <w:pPr>
              <w:spacing w:before="40" w:after="40"/>
            </w:pPr>
            <w:r/>
            <w:r>
              <w:rPr>
                <w:rFonts w:ascii="Calibri" w:hAnsi="Calibri"/>
                <w:b w:val="0"/>
                <w:sz w:val="16"/>
              </w:rPr>
              <w:t>Open-source npm libraries</w:t>
            </w:r>
          </w:p>
        </w:tc>
        <w:tc>
          <w:tcPr>
            <w:tcW w:type="dxa" w:w="1872"/>
            <w:shd w:fill="F7FAFC"/>
          </w:tcPr>
          <w:p>
            <w:pPr>
              <w:spacing w:before="40" w:after="40"/>
            </w:pPr>
            <w:r/>
            <w:r>
              <w:rPr>
                <w:rFonts w:ascii="Calibri" w:hAnsi="Calibri"/>
                <w:b w:val="0"/>
                <w:sz w:val="16"/>
              </w:rPr>
              <w:t>Backend 45 + Frontend 35 runtime</w:t>
            </w:r>
          </w:p>
        </w:tc>
        <w:tc>
          <w:tcPr>
            <w:tcW w:type="dxa" w:w="2304"/>
            <w:shd w:fill="F7FAFC"/>
          </w:tcPr>
          <w:p>
            <w:pPr>
              <w:spacing w:before="40" w:after="40"/>
            </w:pPr>
            <w:r/>
            <w:r>
              <w:rPr>
                <w:rFonts w:ascii="Calibri" w:hAnsi="Calibri"/>
                <w:b w:val="0"/>
                <w:sz w:val="16"/>
              </w:rPr>
              <w:t>None (license/maintenance only)</w:t>
            </w:r>
          </w:p>
        </w:tc>
        <w:tc>
          <w:tcPr>
            <w:tcW w:type="dxa" w:w="3168"/>
            <w:shd w:fill="F7FAFC"/>
          </w:tcPr>
          <w:p>
            <w:pPr>
              <w:spacing w:before="40" w:after="40"/>
            </w:pPr>
            <w:r/>
            <w:r>
              <w:rPr>
                <w:rFonts w:ascii="Calibri" w:hAnsi="Calibri"/>
                <w:b w:val="0"/>
                <w:sz w:val="16"/>
              </w:rPr>
              <w:t>No per-tenant COGS</w:t>
            </w:r>
          </w:p>
        </w:tc>
      </w:tr>
      <w:tr>
        <w:tc>
          <w:tcPr>
            <w:tcW w:type="dxa" w:w="3456"/>
          </w:tcPr>
          <w:p>
            <w:pPr>
              <w:spacing w:before="40" w:after="40"/>
            </w:pPr>
            <w:r/>
            <w:r>
              <w:rPr>
                <w:rFonts w:ascii="Calibri" w:hAnsi="Calibri"/>
                <w:b w:val="0"/>
                <w:sz w:val="16"/>
              </w:rPr>
              <w:t>Infra (Postgres, Redis, hosting)</w:t>
            </w:r>
          </w:p>
        </w:tc>
        <w:tc>
          <w:tcPr>
            <w:tcW w:type="dxa" w:w="1872"/>
          </w:tcPr>
          <w:p>
            <w:pPr>
              <w:spacing w:before="40" w:after="40"/>
            </w:pPr>
            <w:r/>
            <w:r>
              <w:rPr>
                <w:rFonts w:ascii="Calibri" w:hAnsi="Calibri"/>
                <w:b w:val="0"/>
                <w:sz w:val="16"/>
              </w:rPr>
              <w:t>Always-on</w:t>
            </w:r>
          </w:p>
        </w:tc>
        <w:tc>
          <w:tcPr>
            <w:tcW w:type="dxa" w:w="2304"/>
          </w:tcPr>
          <w:p>
            <w:pPr>
              <w:spacing w:before="40" w:after="40"/>
            </w:pPr>
            <w:r/>
            <w:r>
              <w:rPr>
                <w:rFonts w:ascii="Calibri" w:hAnsi="Calibri"/>
                <w:b w:val="0"/>
                <w:sz w:val="16"/>
              </w:rPr>
              <w:t>PandaCue</w:t>
            </w:r>
          </w:p>
        </w:tc>
        <w:tc>
          <w:tcPr>
            <w:tcW w:type="dxa" w:w="3168"/>
          </w:tcPr>
          <w:p>
            <w:pPr>
              <w:spacing w:before="40" w:after="40"/>
            </w:pPr>
            <w:r/>
            <w:r>
              <w:rPr>
                <w:rFonts w:ascii="Calibri" w:hAnsi="Calibri"/>
                <w:b w:val="0"/>
                <w:sz w:val="16"/>
              </w:rPr>
              <w:t>Fixed + scale cost in every tier</w:t>
            </w:r>
          </w:p>
        </w:tc>
      </w:tr>
    </w:tbl>
    <w:p/>
    <w:p>
      <w:pPr>
        <w:pStyle w:val="Heading1"/>
      </w:pPr>
      <w:r>
        <w:rPr>
          <w:color w:val="1A365D"/>
        </w:rPr>
        <w:t>2. How to Read Cost Bearer</w:t>
      </w:r>
    </w:p>
    <w:tbl>
      <w:tblPr>
        <w:tblStyle w:val="TableGrid"/>
        <w:tblW w:type="auto" w:w="0"/>
        <w:jc w:val="center"/>
        <w:tblLook w:firstColumn="1" w:firstRow="1" w:lastColumn="0" w:lastRow="0" w:noHBand="0" w:noVBand="1" w:val="04A0"/>
      </w:tblPr>
      <w:tblGrid>
        <w:gridCol w:w="3400"/>
        <w:gridCol w:w="3400"/>
        <w:gridCol w:w="3400"/>
      </w:tblGrid>
      <w:tr>
        <w:tc>
          <w:tcPr>
            <w:tcW w:type="dxa" w:w="1728"/>
            <w:shd w:fill="1A365D"/>
          </w:tcPr>
          <w:p>
            <w:pPr>
              <w:spacing w:before="40" w:after="40"/>
              <w:jc w:val="center"/>
            </w:pPr>
            <w:r/>
            <w:r>
              <w:rPr>
                <w:rFonts w:ascii="Calibri" w:hAnsi="Calibri"/>
                <w:b/>
                <w:color w:val="FFFFFF"/>
                <w:sz w:val="18"/>
              </w:rPr>
              <w:t>Bearer</w:t>
            </w:r>
          </w:p>
        </w:tc>
        <w:tc>
          <w:tcPr>
            <w:tcW w:type="dxa" w:w="4032"/>
            <w:shd w:fill="1A365D"/>
          </w:tcPr>
          <w:p>
            <w:pPr>
              <w:spacing w:before="40" w:after="40"/>
              <w:jc w:val="center"/>
            </w:pPr>
            <w:r/>
            <w:r>
              <w:rPr>
                <w:rFonts w:ascii="Calibri" w:hAnsi="Calibri"/>
                <w:b/>
                <w:color w:val="FFFFFF"/>
                <w:sz w:val="18"/>
              </w:rPr>
              <w:t>Meaning</w:t>
            </w:r>
          </w:p>
        </w:tc>
        <w:tc>
          <w:tcPr>
            <w:tcW w:type="dxa" w:w="5040"/>
            <w:shd w:fill="1A365D"/>
          </w:tcPr>
          <w:p>
            <w:pPr>
              <w:spacing w:before="40" w:after="40"/>
              <w:jc w:val="center"/>
            </w:pPr>
            <w:r/>
            <w:r>
              <w:rPr>
                <w:rFonts w:ascii="Calibri" w:hAnsi="Calibri"/>
                <w:b/>
                <w:color w:val="FFFFFF"/>
                <w:sz w:val="18"/>
              </w:rPr>
              <w:t>Tier design implication</w:t>
            </w:r>
          </w:p>
        </w:tc>
      </w:tr>
      <w:tr>
        <w:tc>
          <w:tcPr>
            <w:tcW w:type="dxa" w:w="1728"/>
          </w:tcPr>
          <w:p>
            <w:pPr>
              <w:spacing w:before="40" w:after="40"/>
            </w:pPr>
            <w:r/>
            <w:r>
              <w:rPr>
                <w:rFonts w:ascii="Calibri" w:hAnsi="Calibri"/>
                <w:b w:val="0"/>
                <w:sz w:val="16"/>
              </w:rPr>
              <w:t>Platform</w:t>
            </w:r>
          </w:p>
        </w:tc>
        <w:tc>
          <w:tcPr>
            <w:tcW w:type="dxa" w:w="4032"/>
          </w:tcPr>
          <w:p>
            <w:pPr>
              <w:spacing w:before="40" w:after="40"/>
            </w:pPr>
            <w:r/>
            <w:r>
              <w:rPr>
                <w:rFonts w:ascii="Calibri" w:hAnsi="Calibri"/>
                <w:b w:val="0"/>
                <w:sz w:val="16"/>
              </w:rPr>
              <w:t>PandaCue pays the vendor from its own account</w:t>
            </w:r>
          </w:p>
        </w:tc>
        <w:tc>
          <w:tcPr>
            <w:tcW w:type="dxa" w:w="5040"/>
          </w:tcPr>
          <w:p>
            <w:pPr>
              <w:spacing w:before="40" w:after="40"/>
            </w:pPr>
            <w:r/>
            <w:r>
              <w:rPr>
                <w:rFonts w:ascii="Calibri" w:hAnsi="Calibri"/>
                <w:b w:val="0"/>
                <w:sz w:val="16"/>
              </w:rPr>
              <w:t>Include in COGS; meter or cap in lower tiers</w:t>
            </w:r>
          </w:p>
        </w:tc>
      </w:tr>
      <w:tr>
        <w:tc>
          <w:tcPr>
            <w:tcW w:type="dxa" w:w="1728"/>
            <w:shd w:fill="F7FAFC"/>
          </w:tcPr>
          <w:p>
            <w:pPr>
              <w:spacing w:before="40" w:after="40"/>
            </w:pPr>
            <w:r/>
            <w:r>
              <w:rPr>
                <w:rFonts w:ascii="Calibri" w:hAnsi="Calibri"/>
                <w:b w:val="0"/>
                <w:sz w:val="16"/>
              </w:rPr>
              <w:t>Tenant</w:t>
            </w:r>
          </w:p>
        </w:tc>
        <w:tc>
          <w:tcPr>
            <w:tcW w:type="dxa" w:w="4032"/>
            <w:shd w:fill="F7FAFC"/>
          </w:tcPr>
          <w:p>
            <w:pPr>
              <w:spacing w:before="40" w:after="40"/>
            </w:pPr>
            <w:r/>
            <w:r>
              <w:rPr>
                <w:rFonts w:ascii="Calibri" w:hAnsi="Calibri"/>
                <w:b w:val="0"/>
                <w:sz w:val="16"/>
              </w:rPr>
              <w:t>Customer pays via their Meta / Stripe / BYO Twilio</w:t>
            </w:r>
          </w:p>
        </w:tc>
        <w:tc>
          <w:tcPr>
            <w:tcW w:type="dxa" w:w="5040"/>
            <w:shd w:fill="F7FAFC"/>
          </w:tcPr>
          <w:p>
            <w:pPr>
              <w:spacing w:before="40" w:after="40"/>
            </w:pPr>
            <w:r/>
            <w:r>
              <w:rPr>
                <w:rFonts w:ascii="Calibri" w:hAnsi="Calibri"/>
                <w:b w:val="0"/>
                <w:sz w:val="16"/>
              </w:rPr>
              <w:t>Enable as feature; do not include unlimited in base price</w:t>
            </w:r>
          </w:p>
        </w:tc>
      </w:tr>
      <w:tr>
        <w:tc>
          <w:tcPr>
            <w:tcW w:type="dxa" w:w="1728"/>
          </w:tcPr>
          <w:p>
            <w:pPr>
              <w:spacing w:before="40" w:after="40"/>
            </w:pPr>
            <w:r/>
            <w:r>
              <w:rPr>
                <w:rFonts w:ascii="Calibri" w:hAnsi="Calibri"/>
                <w:b w:val="0"/>
                <w:sz w:val="16"/>
              </w:rPr>
              <w:t>Hybrid</w:t>
            </w:r>
          </w:p>
        </w:tc>
        <w:tc>
          <w:tcPr>
            <w:tcW w:type="dxa" w:w="4032"/>
          </w:tcPr>
          <w:p>
            <w:pPr>
              <w:spacing w:before="40" w:after="40"/>
            </w:pPr>
            <w:r/>
            <w:r>
              <w:rPr>
                <w:rFonts w:ascii="Calibri" w:hAnsi="Calibri"/>
                <w:b w:val="0"/>
                <w:sz w:val="16"/>
              </w:rPr>
              <w:t>Platform pays until BYO or overage kicks in</w:t>
            </w:r>
          </w:p>
        </w:tc>
        <w:tc>
          <w:tcPr>
            <w:tcW w:type="dxa" w:w="5040"/>
          </w:tcPr>
          <w:p>
            <w:pPr>
              <w:spacing w:before="40" w:after="40"/>
            </w:pPr>
            <w:r/>
            <w:r>
              <w:rPr>
                <w:rFonts w:ascii="Calibri" w:hAnsi="Calibri"/>
                <w:b w:val="0"/>
                <w:sz w:val="16"/>
              </w:rPr>
              <w:t>Sell SMS/email packs; force BYO above a threshold</w:t>
            </w:r>
          </w:p>
        </w:tc>
      </w:tr>
      <w:tr>
        <w:tc>
          <w:tcPr>
            <w:tcW w:type="dxa" w:w="1728"/>
            <w:shd w:fill="F7FAFC"/>
          </w:tcPr>
          <w:p>
            <w:pPr>
              <w:spacing w:before="40" w:after="40"/>
            </w:pPr>
            <w:r/>
            <w:r>
              <w:rPr>
                <w:rFonts w:ascii="Calibri" w:hAnsi="Calibri"/>
                <w:b w:val="0"/>
                <w:sz w:val="16"/>
              </w:rPr>
              <w:t>Pass-through</w:t>
            </w:r>
          </w:p>
        </w:tc>
        <w:tc>
          <w:tcPr>
            <w:tcW w:type="dxa" w:w="4032"/>
            <w:shd w:fill="F7FAFC"/>
          </w:tcPr>
          <w:p>
            <w:pPr>
              <w:spacing w:before="40" w:after="40"/>
            </w:pPr>
            <w:r/>
            <w:r>
              <w:rPr>
                <w:rFonts w:ascii="Calibri" w:hAnsi="Calibri"/>
                <w:b w:val="0"/>
                <w:sz w:val="16"/>
              </w:rPr>
              <w:t>Fee deducted from payment volume (Stripe)</w:t>
            </w:r>
          </w:p>
        </w:tc>
        <w:tc>
          <w:tcPr>
            <w:tcW w:type="dxa" w:w="5040"/>
            <w:shd w:fill="F7FAFC"/>
          </w:tcPr>
          <w:p>
            <w:pPr>
              <w:spacing w:before="40" w:after="40"/>
            </w:pPr>
            <w:r/>
            <w:r>
              <w:rPr>
                <w:rFonts w:ascii="Calibri" w:hAnsi="Calibri"/>
                <w:b w:val="0"/>
                <w:sz w:val="16"/>
              </w:rPr>
              <w:t>Price SaaS separately from payment processing</w:t>
            </w:r>
          </w:p>
        </w:tc>
      </w:tr>
    </w:tbl>
    <w:p/>
    <w:p>
      <w:pPr>
        <w:pStyle w:val="Heading1"/>
      </w:pPr>
      <w:r>
        <w:rPr>
          <w:color w:val="1A365D"/>
        </w:rPr>
        <w:t>3. Type B — Paid / Metered External Dependencies</w:t>
      </w:r>
    </w:p>
    <w:p>
      <w:pPr>
        <w:spacing w:after="160"/>
      </w:pPr>
      <w:r>
        <w:rPr>
          <w:rFonts w:ascii="Calibri" w:hAnsi="Calibri"/>
          <w:b w:val="0"/>
          <w:color w:val="4A5568"/>
          <w:sz w:val="18"/>
        </w:rPr>
        <w:t>These are the dependencies that matter most for pricing. Approximate public rates are shown; actual invoices may include taxes, carrier fees, volume discounts, and negotiated contracts.</w:t>
      </w:r>
    </w:p>
    <w:p>
      <w:pPr>
        <w:pStyle w:val="Heading2"/>
      </w:pPr>
      <w:r>
        <w:rPr>
          <w:color w:val="1A365D"/>
        </w:rPr>
        <w:t>3.1 Master Paid Services Table</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656"/>
            <w:shd w:fill="1A365D"/>
          </w:tcPr>
          <w:p>
            <w:pPr>
              <w:spacing w:before="40" w:after="40"/>
              <w:jc w:val="center"/>
            </w:pPr>
            <w:r/>
            <w:r>
              <w:rPr>
                <w:rFonts w:ascii="Calibri" w:hAnsi="Calibri"/>
                <w:b/>
                <w:color w:val="FFFFFF"/>
                <w:sz w:val="18"/>
              </w:rPr>
              <w:t>Service</w:t>
            </w:r>
          </w:p>
        </w:tc>
        <w:tc>
          <w:tcPr>
            <w:tcW w:type="dxa" w:w="2160"/>
            <w:shd w:fill="1A365D"/>
          </w:tcPr>
          <w:p>
            <w:pPr>
              <w:spacing w:before="40" w:after="40"/>
              <w:jc w:val="center"/>
            </w:pPr>
            <w:r/>
            <w:r>
              <w:rPr>
                <w:rFonts w:ascii="Calibri" w:hAnsi="Calibri"/>
                <w:b/>
                <w:color w:val="FFFFFF"/>
                <w:sz w:val="18"/>
              </w:rPr>
              <w:t>Used for</w:t>
            </w:r>
          </w:p>
        </w:tc>
        <w:tc>
          <w:tcPr>
            <w:tcW w:type="dxa" w:w="1944"/>
            <w:shd w:fill="1A365D"/>
          </w:tcPr>
          <w:p>
            <w:pPr>
              <w:spacing w:before="40" w:after="40"/>
              <w:jc w:val="center"/>
            </w:pPr>
            <w:r/>
            <w:r>
              <w:rPr>
                <w:rFonts w:ascii="Calibri" w:hAnsi="Calibri"/>
                <w:b/>
                <w:color w:val="FFFFFF"/>
                <w:sz w:val="18"/>
              </w:rPr>
              <w:t>Meter / cost drivers</w:t>
            </w:r>
          </w:p>
        </w:tc>
        <w:tc>
          <w:tcPr>
            <w:tcW w:type="dxa" w:w="2448"/>
            <w:shd w:fill="1A365D"/>
          </w:tcPr>
          <w:p>
            <w:pPr>
              <w:spacing w:before="40" w:after="40"/>
              <w:jc w:val="center"/>
            </w:pPr>
            <w:r/>
            <w:r>
              <w:rPr>
                <w:rFonts w:ascii="Calibri" w:hAnsi="Calibri"/>
                <w:b/>
                <w:color w:val="FFFFFF"/>
                <w:sz w:val="18"/>
              </w:rPr>
              <w:t>Approx. public rate (Sep 2026)</w:t>
            </w:r>
          </w:p>
        </w:tc>
        <w:tc>
          <w:tcPr>
            <w:tcW w:type="dxa" w:w="1440"/>
            <w:shd w:fill="1A365D"/>
          </w:tcPr>
          <w:p>
            <w:pPr>
              <w:spacing w:before="40" w:after="40"/>
              <w:jc w:val="center"/>
            </w:pPr>
            <w:r/>
            <w:r>
              <w:rPr>
                <w:rFonts w:ascii="Calibri" w:hAnsi="Calibri"/>
                <w:b/>
                <w:color w:val="FFFFFF"/>
                <w:sz w:val="18"/>
              </w:rPr>
              <w:t>Bearer</w:t>
            </w:r>
          </w:p>
        </w:tc>
        <w:tc>
          <w:tcPr>
            <w:tcW w:type="dxa" w:w="1656"/>
            <w:shd w:fill="1A365D"/>
          </w:tcPr>
          <w:p>
            <w:pPr>
              <w:spacing w:before="40" w:after="40"/>
              <w:jc w:val="center"/>
            </w:pPr>
            <w:r/>
            <w:r>
              <w:rPr>
                <w:rFonts w:ascii="Calibri" w:hAnsi="Calibri"/>
                <w:b/>
                <w:color w:val="FFFFFF"/>
                <w:sz w:val="18"/>
              </w:rPr>
              <w:t>Enable flag</w:t>
            </w:r>
          </w:p>
        </w:tc>
      </w:tr>
      <w:tr>
        <w:tc>
          <w:tcPr>
            <w:tcW w:type="dxa" w:w="1656"/>
          </w:tcPr>
          <w:p>
            <w:pPr>
              <w:spacing w:before="40" w:after="40"/>
            </w:pPr>
            <w:r/>
            <w:r>
              <w:rPr>
                <w:rFonts w:ascii="Calibri" w:hAnsi="Calibri"/>
                <w:b w:val="0"/>
                <w:sz w:val="16"/>
              </w:rPr>
              <w:t>Twilio SMS</w:t>
            </w:r>
          </w:p>
        </w:tc>
        <w:tc>
          <w:tcPr>
            <w:tcW w:type="dxa" w:w="2160"/>
          </w:tcPr>
          <w:p>
            <w:pPr>
              <w:spacing w:before="40" w:after="40"/>
            </w:pPr>
            <w:r/>
            <w:r>
              <w:rPr>
                <w:rFonts w:ascii="Calibri" w:hAnsi="Calibri"/>
                <w:b w:val="0"/>
                <w:sz w:val="16"/>
              </w:rPr>
              <w:t>Platform notification SMS; auto-buy US local numbers; optional BYO Twilio inbox</w:t>
            </w:r>
          </w:p>
        </w:tc>
        <w:tc>
          <w:tcPr>
            <w:tcW w:type="dxa" w:w="1944"/>
          </w:tcPr>
          <w:p>
            <w:pPr>
              <w:spacing w:before="40" w:after="40"/>
            </w:pPr>
            <w:r/>
            <w:r>
              <w:rPr>
                <w:rFonts w:ascii="Calibri" w:hAnsi="Calibri"/>
                <w:b w:val="0"/>
                <w:sz w:val="16"/>
              </w:rPr>
              <w:t>Per SMS segment; monthly number rent; A2P brand/campaign fees; MMS higher</w:t>
            </w:r>
          </w:p>
        </w:tc>
        <w:tc>
          <w:tcPr>
            <w:tcW w:type="dxa" w:w="2448"/>
          </w:tcPr>
          <w:p>
            <w:pPr>
              <w:spacing w:before="40" w:after="40"/>
            </w:pPr>
            <w:r/>
            <w:r>
              <w:rPr>
                <w:rFonts w:ascii="Calibri" w:hAnsi="Calibri"/>
                <w:b w:val="0"/>
                <w:sz w:val="16"/>
              </w:rPr>
              <w:t>US SMS ~$0.0083/segment + carrier fees; US local # ~$1.15/mo; A2P registration/campaign fees apply</w:t>
            </w:r>
          </w:p>
        </w:tc>
        <w:tc>
          <w:tcPr>
            <w:tcW w:type="dxa" w:w="1440"/>
          </w:tcPr>
          <w:p>
            <w:pPr>
              <w:spacing w:before="40" w:after="40"/>
            </w:pPr>
            <w:r/>
            <w:r>
              <w:rPr>
                <w:rFonts w:ascii="Calibri" w:hAnsi="Calibri"/>
                <w:b w:val="0"/>
                <w:sz w:val="16"/>
              </w:rPr>
              <w:t>Platform (shared) / Tenant (BYO)</w:t>
            </w:r>
          </w:p>
        </w:tc>
        <w:tc>
          <w:tcPr>
            <w:tcW w:type="dxa" w:w="1656"/>
          </w:tcPr>
          <w:p>
            <w:pPr>
              <w:spacing w:before="40" w:after="40"/>
            </w:pPr>
            <w:r/>
            <w:r>
              <w:rPr>
                <w:rFonts w:ascii="Calibri" w:hAnsi="Calibri"/>
                <w:b w:val="0"/>
                <w:sz w:val="16"/>
              </w:rPr>
              <w:t>TWILIO_ENABLED; TWILIO_AUTO_PURCHASE_NUMBERS</w:t>
            </w:r>
          </w:p>
        </w:tc>
      </w:tr>
      <w:tr>
        <w:tc>
          <w:tcPr>
            <w:tcW w:type="dxa" w:w="1656"/>
            <w:shd w:fill="F7FAFC"/>
          </w:tcPr>
          <w:p>
            <w:pPr>
              <w:spacing w:before="40" w:after="40"/>
            </w:pPr>
            <w:r/>
            <w:r>
              <w:rPr>
                <w:rFonts w:ascii="Calibri" w:hAnsi="Calibri"/>
                <w:b w:val="0"/>
                <w:sz w:val="16"/>
              </w:rPr>
              <w:t>Resend (+ Svix signing)</w:t>
            </w:r>
          </w:p>
        </w:tc>
        <w:tc>
          <w:tcPr>
            <w:tcW w:type="dxa" w:w="2160"/>
            <w:shd w:fill="F7FAFC"/>
          </w:tcPr>
          <w:p>
            <w:pPr>
              <w:spacing w:before="40" w:after="40"/>
            </w:pPr>
            <w:r/>
            <w:r>
              <w:rPr>
                <w:rFonts w:ascii="Calibri" w:hAnsi="Calibri"/>
                <w:b w:val="0"/>
                <w:sz w:val="16"/>
              </w:rPr>
              <w:t>Transactional email (auth, invites, invoices, booking); inbound reply threading; delivery webhooks</w:t>
            </w:r>
          </w:p>
        </w:tc>
        <w:tc>
          <w:tcPr>
            <w:tcW w:type="dxa" w:w="1944"/>
            <w:shd w:fill="F7FAFC"/>
          </w:tcPr>
          <w:p>
            <w:pPr>
              <w:spacing w:before="40" w:after="40"/>
            </w:pPr>
            <w:r/>
            <w:r>
              <w:rPr>
                <w:rFonts w:ascii="Calibri" w:hAnsi="Calibri"/>
                <w:b w:val="0"/>
                <w:sz w:val="16"/>
              </w:rPr>
              <w:t>Emails sent/received per month; domains; optional dedicated IP</w:t>
            </w:r>
          </w:p>
        </w:tc>
        <w:tc>
          <w:tcPr>
            <w:tcW w:type="dxa" w:w="2448"/>
            <w:shd w:fill="F7FAFC"/>
          </w:tcPr>
          <w:p>
            <w:pPr>
              <w:spacing w:before="40" w:after="40"/>
            </w:pPr>
            <w:r/>
            <w:r>
              <w:rPr>
                <w:rFonts w:ascii="Calibri" w:hAnsi="Calibri"/>
                <w:b w:val="0"/>
                <w:sz w:val="16"/>
              </w:rPr>
              <w:t>Free: 3k/mo; Pro $20–$35 for 50k–100k; Scale $90+; overage ~$0.46–$0.90 / 1k</w:t>
            </w:r>
          </w:p>
        </w:tc>
        <w:tc>
          <w:tcPr>
            <w:tcW w:type="dxa" w:w="1440"/>
            <w:shd w:fill="F7FAFC"/>
          </w:tcPr>
          <w:p>
            <w:pPr>
              <w:spacing w:before="40" w:after="40"/>
            </w:pPr>
            <w:r/>
            <w:r>
              <w:rPr>
                <w:rFonts w:ascii="Calibri" w:hAnsi="Calibri"/>
                <w:b w:val="0"/>
                <w:sz w:val="16"/>
              </w:rPr>
              <w:t>Platform</w:t>
            </w:r>
          </w:p>
        </w:tc>
        <w:tc>
          <w:tcPr>
            <w:tcW w:type="dxa" w:w="1656"/>
            <w:shd w:fill="F7FAFC"/>
          </w:tcPr>
          <w:p>
            <w:pPr>
              <w:spacing w:before="40" w:after="40"/>
            </w:pPr>
            <w:r/>
            <w:r>
              <w:rPr>
                <w:rFonts w:ascii="Calibri" w:hAnsi="Calibri"/>
                <w:b w:val="0"/>
                <w:sz w:val="16"/>
              </w:rPr>
              <w:t>EMAIL_ENABLED</w:t>
            </w:r>
          </w:p>
        </w:tc>
      </w:tr>
      <w:tr>
        <w:tc>
          <w:tcPr>
            <w:tcW w:type="dxa" w:w="1656"/>
          </w:tcPr>
          <w:p>
            <w:pPr>
              <w:spacing w:before="40" w:after="40"/>
            </w:pPr>
            <w:r/>
            <w:r>
              <w:rPr>
                <w:rFonts w:ascii="Calibri" w:hAnsi="Calibri"/>
                <w:b w:val="0"/>
                <w:sz w:val="16"/>
              </w:rPr>
              <w:t>Stripe — Platform SaaS billing</w:t>
            </w:r>
          </w:p>
        </w:tc>
        <w:tc>
          <w:tcPr>
            <w:tcW w:type="dxa" w:w="2160"/>
          </w:tcPr>
          <w:p>
            <w:pPr>
              <w:spacing w:before="40" w:after="40"/>
            </w:pPr>
            <w:r/>
            <w:r>
              <w:rPr>
                <w:rFonts w:ascii="Calibri" w:hAnsi="Calibri"/>
                <w:b w:val="0"/>
                <w:sz w:val="16"/>
              </w:rPr>
              <w:t>PandaCue subscriptions, plan tiers, addons, customer portal, public pricing checkout</w:t>
            </w:r>
          </w:p>
        </w:tc>
        <w:tc>
          <w:tcPr>
            <w:tcW w:type="dxa" w:w="1944"/>
          </w:tcPr>
          <w:p>
            <w:pPr>
              <w:spacing w:before="40" w:after="40"/>
            </w:pPr>
            <w:r/>
            <w:r>
              <w:rPr>
                <w:rFonts w:ascii="Calibri" w:hAnsi="Calibri"/>
                <w:b w:val="0"/>
                <w:sz w:val="16"/>
              </w:rPr>
              <w:t>% of SaaS revenue + fixed fee; Stripe Billing add-on on subscription volume</w:t>
            </w:r>
          </w:p>
        </w:tc>
        <w:tc>
          <w:tcPr>
            <w:tcW w:type="dxa" w:w="2448"/>
          </w:tcPr>
          <w:p>
            <w:pPr>
              <w:spacing w:before="40" w:after="40"/>
            </w:pPr>
            <w:r/>
            <w:r>
              <w:rPr>
                <w:rFonts w:ascii="Calibri" w:hAnsi="Calibri"/>
                <w:b w:val="0"/>
                <w:sz w:val="16"/>
              </w:rPr>
              <w:t>US cards ~2.9% + $0.30; Billing often +~0.7% of Billing volume (pay-as-you-go)</w:t>
            </w:r>
          </w:p>
        </w:tc>
        <w:tc>
          <w:tcPr>
            <w:tcW w:type="dxa" w:w="1440"/>
          </w:tcPr>
          <w:p>
            <w:pPr>
              <w:spacing w:before="40" w:after="40"/>
            </w:pPr>
            <w:r/>
            <w:r>
              <w:rPr>
                <w:rFonts w:ascii="Calibri" w:hAnsi="Calibri"/>
                <w:b w:val="0"/>
                <w:sz w:val="16"/>
              </w:rPr>
              <w:t>Platform (fee on your revenue)</w:t>
            </w:r>
          </w:p>
        </w:tc>
        <w:tc>
          <w:tcPr>
            <w:tcW w:type="dxa" w:w="1656"/>
          </w:tcPr>
          <w:p>
            <w:pPr>
              <w:spacing w:before="40" w:after="40"/>
            </w:pPr>
            <w:r/>
            <w:r>
              <w:rPr>
                <w:rFonts w:ascii="Calibri" w:hAnsi="Calibri"/>
                <w:b w:val="0"/>
                <w:sz w:val="16"/>
              </w:rPr>
              <w:t>Platform Stripe keys / webhooks</w:t>
            </w:r>
          </w:p>
        </w:tc>
      </w:tr>
      <w:tr>
        <w:tc>
          <w:tcPr>
            <w:tcW w:type="dxa" w:w="1656"/>
            <w:shd w:fill="F7FAFC"/>
          </w:tcPr>
          <w:p>
            <w:pPr>
              <w:spacing w:before="40" w:after="40"/>
            </w:pPr>
            <w:r/>
            <w:r>
              <w:rPr>
                <w:rFonts w:ascii="Calibri" w:hAnsi="Calibri"/>
                <w:b w:val="0"/>
                <w:sz w:val="16"/>
              </w:rPr>
              <w:t>Stripe — Connect (tenant payments)</w:t>
            </w:r>
          </w:p>
        </w:tc>
        <w:tc>
          <w:tcPr>
            <w:tcW w:type="dxa" w:w="2160"/>
            <w:shd w:fill="F7FAFC"/>
          </w:tcPr>
          <w:p>
            <w:pPr>
              <w:spacing w:before="40" w:after="40"/>
            </w:pPr>
            <w:r/>
            <w:r>
              <w:rPr>
                <w:rFonts w:ascii="Calibri" w:hAnsi="Calibri"/>
                <w:b w:val="0"/>
                <w:sz w:val="16"/>
              </w:rPr>
              <w:t>Invoices, booking deposits, forms, memberships, packages, gift cards via connected accounts</w:t>
            </w:r>
          </w:p>
        </w:tc>
        <w:tc>
          <w:tcPr>
            <w:tcW w:type="dxa" w:w="1944"/>
            <w:shd w:fill="F7FAFC"/>
          </w:tcPr>
          <w:p>
            <w:pPr>
              <w:spacing w:before="40" w:after="40"/>
            </w:pPr>
            <w:r/>
            <w:r>
              <w:rPr>
                <w:rFonts w:ascii="Calibri" w:hAnsi="Calibri"/>
                <w:b w:val="0"/>
                <w:sz w:val="16"/>
              </w:rPr>
              <w:t>Card processing on connected account; disputes; refunds</w:t>
            </w:r>
          </w:p>
        </w:tc>
        <w:tc>
          <w:tcPr>
            <w:tcW w:type="dxa" w:w="2448"/>
            <w:shd w:fill="F7FAFC"/>
          </w:tcPr>
          <w:p>
            <w:pPr>
              <w:spacing w:before="40" w:after="40"/>
            </w:pPr>
            <w:r/>
            <w:r>
              <w:rPr>
                <w:rFonts w:ascii="Calibri" w:hAnsi="Calibri"/>
                <w:b w:val="0"/>
                <w:sz w:val="16"/>
              </w:rPr>
              <w:t>Same Stripe card rates on tenant account; code currently has no application_fee take-rate</w:t>
            </w:r>
          </w:p>
        </w:tc>
        <w:tc>
          <w:tcPr>
            <w:tcW w:type="dxa" w:w="1440"/>
            <w:shd w:fill="F7FAFC"/>
          </w:tcPr>
          <w:p>
            <w:pPr>
              <w:spacing w:before="40" w:after="40"/>
            </w:pPr>
            <w:r/>
            <w:r>
              <w:rPr>
                <w:rFonts w:ascii="Calibri" w:hAnsi="Calibri"/>
                <w:b w:val="0"/>
                <w:sz w:val="16"/>
              </w:rPr>
              <w:t>Tenant (pass-through)</w:t>
            </w:r>
          </w:p>
        </w:tc>
        <w:tc>
          <w:tcPr>
            <w:tcW w:type="dxa" w:w="1656"/>
            <w:shd w:fill="F7FAFC"/>
          </w:tcPr>
          <w:p>
            <w:pPr>
              <w:spacing w:before="40" w:after="40"/>
            </w:pPr>
            <w:r/>
            <w:r>
              <w:rPr>
                <w:rFonts w:ascii="Calibri" w:hAnsi="Calibri"/>
                <w:b w:val="0"/>
                <w:sz w:val="16"/>
              </w:rPr>
              <w:t>STRIPE_CONNECT_ENABLED</w:t>
            </w:r>
          </w:p>
        </w:tc>
      </w:tr>
      <w:tr>
        <w:tc>
          <w:tcPr>
            <w:tcW w:type="dxa" w:w="1656"/>
          </w:tcPr>
          <w:p>
            <w:pPr>
              <w:spacing w:before="40" w:after="40"/>
            </w:pPr>
            <w:r/>
            <w:r>
              <w:rPr>
                <w:rFonts w:ascii="Calibri" w:hAnsi="Calibri"/>
                <w:b w:val="0"/>
                <w:sz w:val="16"/>
              </w:rPr>
              <w:t>Cloudflare R2</w:t>
            </w:r>
          </w:p>
        </w:tc>
        <w:tc>
          <w:tcPr>
            <w:tcW w:type="dxa" w:w="2160"/>
          </w:tcPr>
          <w:p>
            <w:pPr>
              <w:spacing w:before="40" w:after="40"/>
            </w:pPr>
            <w:r/>
            <w:r>
              <w:rPr>
                <w:rFonts w:ascii="Calibri" w:hAnsi="Calibri"/>
                <w:b w:val="0"/>
                <w:sz w:val="16"/>
              </w:rPr>
              <w:t>File assets, logos, social media upload URLs, attachments (S3-compatible via AWS SDK)</w:t>
            </w:r>
          </w:p>
        </w:tc>
        <w:tc>
          <w:tcPr>
            <w:tcW w:type="dxa" w:w="1944"/>
          </w:tcPr>
          <w:p>
            <w:pPr>
              <w:spacing w:before="40" w:after="40"/>
            </w:pPr>
            <w:r/>
            <w:r>
              <w:rPr>
                <w:rFonts w:ascii="Calibri" w:hAnsi="Calibri"/>
                <w:b w:val="0"/>
                <w:sz w:val="16"/>
              </w:rPr>
              <w:t>GB stored; Class A (write/list); Class B (read); egress free</w:t>
            </w:r>
          </w:p>
        </w:tc>
        <w:tc>
          <w:tcPr>
            <w:tcW w:type="dxa" w:w="2448"/>
          </w:tcPr>
          <w:p>
            <w:pPr>
              <w:spacing w:before="40" w:after="40"/>
            </w:pPr>
            <w:r/>
            <w:r>
              <w:rPr>
                <w:rFonts w:ascii="Calibri" w:hAnsi="Calibri"/>
                <w:b w:val="0"/>
                <w:sz w:val="16"/>
              </w:rPr>
              <w:t>Free: 10 GB + ops; then ~$0.015/GB-mo; Class A $4.50/M; Class B $0.36/M</w:t>
            </w:r>
          </w:p>
        </w:tc>
        <w:tc>
          <w:tcPr>
            <w:tcW w:type="dxa" w:w="1440"/>
          </w:tcPr>
          <w:p>
            <w:pPr>
              <w:spacing w:before="40" w:after="40"/>
            </w:pPr>
            <w:r/>
            <w:r>
              <w:rPr>
                <w:rFonts w:ascii="Calibri" w:hAnsi="Calibri"/>
                <w:b w:val="0"/>
                <w:sz w:val="16"/>
              </w:rPr>
              <w:t>Platform</w:t>
            </w:r>
          </w:p>
        </w:tc>
        <w:tc>
          <w:tcPr>
            <w:tcW w:type="dxa" w:w="1656"/>
          </w:tcPr>
          <w:p>
            <w:pPr>
              <w:spacing w:before="40" w:after="40"/>
            </w:pPr>
            <w:r/>
            <w:r>
              <w:rPr>
                <w:rFonts w:ascii="Calibri" w:hAnsi="Calibri"/>
                <w:b w:val="0"/>
                <w:sz w:val="16"/>
              </w:rPr>
              <w:t>R2_* credentials (no master switch)</w:t>
            </w:r>
          </w:p>
        </w:tc>
      </w:tr>
      <w:tr>
        <w:tc>
          <w:tcPr>
            <w:tcW w:type="dxa" w:w="1656"/>
            <w:shd w:fill="F7FAFC"/>
          </w:tcPr>
          <w:p>
            <w:pPr>
              <w:spacing w:before="40" w:after="40"/>
            </w:pPr>
            <w:r/>
            <w:r>
              <w:rPr>
                <w:rFonts w:ascii="Calibri" w:hAnsi="Calibri"/>
                <w:b w:val="0"/>
                <w:sz w:val="16"/>
              </w:rPr>
              <w:t>Meta WhatsApp Cloud API</w:t>
            </w:r>
          </w:p>
        </w:tc>
        <w:tc>
          <w:tcPr>
            <w:tcW w:type="dxa" w:w="2160"/>
            <w:shd w:fill="F7FAFC"/>
          </w:tcPr>
          <w:p>
            <w:pPr>
              <w:spacing w:before="40" w:after="40"/>
            </w:pPr>
            <w:r/>
            <w:r>
              <w:rPr>
                <w:rFonts w:ascii="Calibri" w:hAnsi="Calibri"/>
                <w:b w:val="0"/>
                <w:sz w:val="16"/>
              </w:rPr>
              <w:t>Business WhatsApp inbox, templates, media, Embedded Signup</w:t>
            </w:r>
          </w:p>
        </w:tc>
        <w:tc>
          <w:tcPr>
            <w:tcW w:type="dxa" w:w="1944"/>
            <w:shd w:fill="F7FAFC"/>
          </w:tcPr>
          <w:p>
            <w:pPr>
              <w:spacing w:before="40" w:after="40"/>
            </w:pPr>
            <w:r/>
            <w:r>
              <w:rPr>
                <w:rFonts w:ascii="Calibri" w:hAnsi="Calibri"/>
                <w:b w:val="0"/>
                <w:sz w:val="16"/>
              </w:rPr>
              <w:t>Per delivered message by category (marketing / utility / auth / service) and country</w:t>
            </w:r>
          </w:p>
        </w:tc>
        <w:tc>
          <w:tcPr>
            <w:tcW w:type="dxa" w:w="2448"/>
            <w:shd w:fill="F7FAFC"/>
          </w:tcPr>
          <w:p>
            <w:pPr>
              <w:spacing w:before="40" w:after="40"/>
            </w:pPr>
            <w:r/>
            <w:r>
              <w:rPr>
                <w:rFonts w:ascii="Calibri" w:hAnsi="Calibri"/>
                <w:b w:val="0"/>
                <w:sz w:val="16"/>
              </w:rPr>
              <w:t>Country + category rate cards (Meta); service messages historically free in window — Meta announced further changes Oct 2026</w:t>
            </w:r>
          </w:p>
        </w:tc>
        <w:tc>
          <w:tcPr>
            <w:tcW w:type="dxa" w:w="1440"/>
            <w:shd w:fill="F7FAFC"/>
          </w:tcPr>
          <w:p>
            <w:pPr>
              <w:spacing w:before="40" w:after="40"/>
            </w:pPr>
            <w:r/>
            <w:r>
              <w:rPr>
                <w:rFonts w:ascii="Calibri" w:hAnsi="Calibri"/>
                <w:b w:val="0"/>
                <w:sz w:val="16"/>
              </w:rPr>
              <w:t>Tenant (WABA / Meta Business)</w:t>
            </w:r>
          </w:p>
        </w:tc>
        <w:tc>
          <w:tcPr>
            <w:tcW w:type="dxa" w:w="1656"/>
            <w:shd w:fill="F7FAFC"/>
          </w:tcPr>
          <w:p>
            <w:pPr>
              <w:spacing w:before="40" w:after="40"/>
            </w:pPr>
            <w:r/>
            <w:r>
              <w:rPr>
                <w:rFonts w:ascii="Calibri" w:hAnsi="Calibri"/>
                <w:b w:val="0"/>
                <w:sz w:val="16"/>
              </w:rPr>
              <w:t>META_OAUTH_ENABLED + META_EMBEDDED_SIGNUP_CONFIG_ID</w:t>
            </w:r>
          </w:p>
        </w:tc>
      </w:tr>
      <w:tr>
        <w:tc>
          <w:tcPr>
            <w:tcW w:type="dxa" w:w="1656"/>
          </w:tcPr>
          <w:p>
            <w:pPr>
              <w:spacing w:before="40" w:after="40"/>
            </w:pPr>
            <w:r/>
            <w:r>
              <w:rPr>
                <w:rFonts w:ascii="Calibri" w:hAnsi="Calibri"/>
                <w:b w:val="0"/>
                <w:sz w:val="16"/>
              </w:rPr>
              <w:t>Meta Facebook / Instagram messaging</w:t>
            </w:r>
          </w:p>
        </w:tc>
        <w:tc>
          <w:tcPr>
            <w:tcW w:type="dxa" w:w="2160"/>
          </w:tcPr>
          <w:p>
            <w:pPr>
              <w:spacing w:before="40" w:after="40"/>
            </w:pPr>
            <w:r/>
            <w:r>
              <w:rPr>
                <w:rFonts w:ascii="Calibri" w:hAnsi="Calibri"/>
                <w:b w:val="0"/>
                <w:sz w:val="16"/>
              </w:rPr>
              <w:t>Page / IG inbox, social planner posts, webhooks</w:t>
            </w:r>
          </w:p>
        </w:tc>
        <w:tc>
          <w:tcPr>
            <w:tcW w:type="dxa" w:w="1944"/>
          </w:tcPr>
          <w:p>
            <w:pPr>
              <w:spacing w:before="40" w:after="40"/>
            </w:pPr>
            <w:r/>
            <w:r>
              <w:rPr>
                <w:rFonts w:ascii="Calibri" w:hAnsi="Calibri"/>
                <w:b w:val="0"/>
                <w:sz w:val="16"/>
              </w:rPr>
              <w:t>API quotas; Messenger/IG conversation pricing where Meta bills the Page</w:t>
            </w:r>
          </w:p>
        </w:tc>
        <w:tc>
          <w:tcPr>
            <w:tcW w:type="dxa" w:w="2448"/>
          </w:tcPr>
          <w:p>
            <w:pPr>
              <w:spacing w:before="40" w:after="40"/>
            </w:pPr>
            <w:r/>
            <w:r>
              <w:rPr>
                <w:rFonts w:ascii="Calibri" w:hAnsi="Calibri"/>
                <w:b w:val="0"/>
                <w:sz w:val="16"/>
              </w:rPr>
              <w:t>Mostly freemium quotas; messaging may incur Meta fees on tenant business</w:t>
            </w:r>
          </w:p>
        </w:tc>
        <w:tc>
          <w:tcPr>
            <w:tcW w:type="dxa" w:w="1440"/>
          </w:tcPr>
          <w:p>
            <w:pPr>
              <w:spacing w:before="40" w:after="40"/>
            </w:pPr>
            <w:r/>
            <w:r>
              <w:rPr>
                <w:rFonts w:ascii="Calibri" w:hAnsi="Calibri"/>
                <w:b w:val="0"/>
                <w:sz w:val="16"/>
              </w:rPr>
              <w:t>Tenant (Meta) + Platform (app)</w:t>
            </w:r>
          </w:p>
        </w:tc>
        <w:tc>
          <w:tcPr>
            <w:tcW w:type="dxa" w:w="1656"/>
          </w:tcPr>
          <w:p>
            <w:pPr>
              <w:spacing w:before="40" w:after="40"/>
            </w:pPr>
            <w:r/>
            <w:r>
              <w:rPr>
                <w:rFonts w:ascii="Calibri" w:hAnsi="Calibri"/>
                <w:b w:val="0"/>
                <w:sz w:val="16"/>
              </w:rPr>
              <w:t>META_OAUTH_ENABLED</w:t>
            </w:r>
          </w:p>
        </w:tc>
      </w:tr>
      <w:tr>
        <w:tc>
          <w:tcPr>
            <w:tcW w:type="dxa" w:w="1656"/>
            <w:shd w:fill="F7FAFC"/>
          </w:tcPr>
          <w:p>
            <w:pPr>
              <w:spacing w:before="40" w:after="40"/>
            </w:pPr>
            <w:r/>
            <w:r>
              <w:rPr>
                <w:rFonts w:ascii="Calibri" w:hAnsi="Calibri"/>
                <w:b w:val="0"/>
                <w:sz w:val="16"/>
              </w:rPr>
              <w:t>X (Twitter) API</w:t>
            </w:r>
          </w:p>
        </w:tc>
        <w:tc>
          <w:tcPr>
            <w:tcW w:type="dxa" w:w="2160"/>
            <w:shd w:fill="F7FAFC"/>
          </w:tcPr>
          <w:p>
            <w:pPr>
              <w:spacing w:before="40" w:after="40"/>
            </w:pPr>
            <w:r/>
            <w:r>
              <w:rPr>
                <w:rFonts w:ascii="Calibri" w:hAnsi="Calibri"/>
                <w:b w:val="0"/>
                <w:sz w:val="16"/>
              </w:rPr>
              <w:t>Social Planner tweets / media</w:t>
            </w:r>
          </w:p>
        </w:tc>
        <w:tc>
          <w:tcPr>
            <w:tcW w:type="dxa" w:w="1944"/>
            <w:shd w:fill="F7FAFC"/>
          </w:tcPr>
          <w:p>
            <w:pPr>
              <w:spacing w:before="40" w:after="40"/>
            </w:pPr>
            <w:r/>
            <w:r>
              <w:rPr>
                <w:rFonts w:ascii="Calibri" w:hAnsi="Calibri"/>
                <w:b w:val="0"/>
                <w:sz w:val="16"/>
              </w:rPr>
              <w:t>Developer plan tier (write access historically paid)</w:t>
            </w:r>
          </w:p>
        </w:tc>
        <w:tc>
          <w:tcPr>
            <w:tcW w:type="dxa" w:w="2448"/>
            <w:shd w:fill="F7FAFC"/>
          </w:tcPr>
          <w:p>
            <w:pPr>
              <w:spacing w:before="40" w:after="40"/>
            </w:pPr>
            <w:r/>
            <w:r>
              <w:rPr>
                <w:rFonts w:ascii="Calibri" w:hAnsi="Calibri"/>
                <w:b w:val="0"/>
                <w:sz w:val="16"/>
              </w:rPr>
              <w:t>X API paid tiers required for production write — verify current X pricing</w:t>
            </w:r>
          </w:p>
        </w:tc>
        <w:tc>
          <w:tcPr>
            <w:tcW w:type="dxa" w:w="1440"/>
            <w:shd w:fill="F7FAFC"/>
          </w:tcPr>
          <w:p>
            <w:pPr>
              <w:spacing w:before="40" w:after="40"/>
            </w:pPr>
            <w:r/>
            <w:r>
              <w:rPr>
                <w:rFonts w:ascii="Calibri" w:hAnsi="Calibri"/>
                <w:b w:val="0"/>
                <w:sz w:val="16"/>
              </w:rPr>
              <w:t>Platform (API plan)</w:t>
            </w:r>
          </w:p>
        </w:tc>
        <w:tc>
          <w:tcPr>
            <w:tcW w:type="dxa" w:w="1656"/>
            <w:shd w:fill="F7FAFC"/>
          </w:tcPr>
          <w:p>
            <w:pPr>
              <w:spacing w:before="40" w:after="40"/>
            </w:pPr>
            <w:r/>
            <w:r>
              <w:rPr>
                <w:rFonts w:ascii="Calibri" w:hAnsi="Calibri"/>
                <w:b w:val="0"/>
                <w:sz w:val="16"/>
              </w:rPr>
              <w:t>X_OAUTH_* credentials</w:t>
            </w:r>
          </w:p>
        </w:tc>
      </w:tr>
      <w:tr>
        <w:tc>
          <w:tcPr>
            <w:tcW w:type="dxa" w:w="1656"/>
          </w:tcPr>
          <w:p>
            <w:pPr>
              <w:spacing w:before="40" w:after="40"/>
            </w:pPr>
            <w:r/>
            <w:r>
              <w:rPr>
                <w:rFonts w:ascii="Calibri" w:hAnsi="Calibri"/>
                <w:b w:val="0"/>
                <w:sz w:val="16"/>
              </w:rPr>
              <w:t>PostgreSQL (managed in prod)</w:t>
            </w:r>
          </w:p>
        </w:tc>
        <w:tc>
          <w:tcPr>
            <w:tcW w:type="dxa" w:w="2160"/>
          </w:tcPr>
          <w:p>
            <w:pPr>
              <w:spacing w:before="40" w:after="40"/>
            </w:pPr>
            <w:r/>
            <w:r>
              <w:rPr>
                <w:rFonts w:ascii="Calibri" w:hAnsi="Calibri"/>
                <w:b w:val="0"/>
                <w:sz w:val="16"/>
              </w:rPr>
              <w:t>Primary application database (Prisma)</w:t>
            </w:r>
          </w:p>
        </w:tc>
        <w:tc>
          <w:tcPr>
            <w:tcW w:type="dxa" w:w="1944"/>
          </w:tcPr>
          <w:p>
            <w:pPr>
              <w:spacing w:before="40" w:after="40"/>
            </w:pPr>
            <w:r/>
            <w:r>
              <w:rPr>
                <w:rFonts w:ascii="Calibri" w:hAnsi="Calibri"/>
                <w:b w:val="0"/>
                <w:sz w:val="16"/>
              </w:rPr>
              <w:t>vCPU, RAM, storage, IOPS, backups, HA</w:t>
            </w:r>
          </w:p>
        </w:tc>
        <w:tc>
          <w:tcPr>
            <w:tcW w:type="dxa" w:w="2448"/>
          </w:tcPr>
          <w:p>
            <w:pPr>
              <w:spacing w:before="40" w:after="40"/>
            </w:pPr>
            <w:r/>
            <w:r>
              <w:rPr>
                <w:rFonts w:ascii="Calibri" w:hAnsi="Calibri"/>
                <w:b w:val="0"/>
                <w:sz w:val="16"/>
              </w:rPr>
              <w:t>Depends on host (VPS / managed DB); local Docker free for dev</w:t>
            </w:r>
          </w:p>
        </w:tc>
        <w:tc>
          <w:tcPr>
            <w:tcW w:type="dxa" w:w="1440"/>
          </w:tcPr>
          <w:p>
            <w:pPr>
              <w:spacing w:before="40" w:after="40"/>
            </w:pPr>
            <w:r/>
            <w:r>
              <w:rPr>
                <w:rFonts w:ascii="Calibri" w:hAnsi="Calibri"/>
                <w:b w:val="0"/>
                <w:sz w:val="16"/>
              </w:rPr>
              <w:t>Platform</w:t>
            </w:r>
          </w:p>
        </w:tc>
        <w:tc>
          <w:tcPr>
            <w:tcW w:type="dxa" w:w="1656"/>
          </w:tcPr>
          <w:p>
            <w:pPr>
              <w:spacing w:before="40" w:after="40"/>
            </w:pPr>
            <w:r/>
            <w:r>
              <w:rPr>
                <w:rFonts w:ascii="Calibri" w:hAnsi="Calibri"/>
                <w:b w:val="0"/>
                <w:sz w:val="16"/>
              </w:rPr>
              <w:t>DATABASE_URL / DB_*</w:t>
            </w:r>
          </w:p>
        </w:tc>
      </w:tr>
      <w:tr>
        <w:tc>
          <w:tcPr>
            <w:tcW w:type="dxa" w:w="1656"/>
            <w:shd w:fill="F7FAFC"/>
          </w:tcPr>
          <w:p>
            <w:pPr>
              <w:spacing w:before="40" w:after="40"/>
            </w:pPr>
            <w:r/>
            <w:r>
              <w:rPr>
                <w:rFonts w:ascii="Calibri" w:hAnsi="Calibri"/>
                <w:b w:val="0"/>
                <w:sz w:val="16"/>
              </w:rPr>
              <w:t>Redis (managed in prod)</w:t>
            </w:r>
          </w:p>
        </w:tc>
        <w:tc>
          <w:tcPr>
            <w:tcW w:type="dxa" w:w="2160"/>
            <w:shd w:fill="F7FAFC"/>
          </w:tcPr>
          <w:p>
            <w:pPr>
              <w:spacing w:before="40" w:after="40"/>
            </w:pPr>
            <w:r/>
            <w:r>
              <w:rPr>
                <w:rFonts w:ascii="Calibri" w:hAnsi="Calibri"/>
                <w:b w:val="0"/>
                <w:sz w:val="16"/>
              </w:rPr>
              <w:t>BullMQ queues, webhook jobs, idempotency, realtime pub/sub</w:t>
            </w:r>
          </w:p>
        </w:tc>
        <w:tc>
          <w:tcPr>
            <w:tcW w:type="dxa" w:w="1944"/>
            <w:shd w:fill="F7FAFC"/>
          </w:tcPr>
          <w:p>
            <w:pPr>
              <w:spacing w:before="40" w:after="40"/>
            </w:pPr>
            <w:r/>
            <w:r>
              <w:rPr>
                <w:rFonts w:ascii="Calibri" w:hAnsi="Calibri"/>
                <w:b w:val="0"/>
                <w:sz w:val="16"/>
              </w:rPr>
              <w:t>Memory size, connections, persistence, HA</w:t>
            </w:r>
          </w:p>
        </w:tc>
        <w:tc>
          <w:tcPr>
            <w:tcW w:type="dxa" w:w="2448"/>
            <w:shd w:fill="F7FAFC"/>
          </w:tcPr>
          <w:p>
            <w:pPr>
              <w:spacing w:before="40" w:after="40"/>
            </w:pPr>
            <w:r/>
            <w:r>
              <w:rPr>
                <w:rFonts w:ascii="Calibri" w:hAnsi="Calibri"/>
                <w:b w:val="0"/>
                <w:sz w:val="16"/>
              </w:rPr>
              <w:t>Depends on host / managed Redis; local Docker free for dev</w:t>
            </w:r>
          </w:p>
        </w:tc>
        <w:tc>
          <w:tcPr>
            <w:tcW w:type="dxa" w:w="1440"/>
            <w:shd w:fill="F7FAFC"/>
          </w:tcPr>
          <w:p>
            <w:pPr>
              <w:spacing w:before="40" w:after="40"/>
            </w:pPr>
            <w:r/>
            <w:r>
              <w:rPr>
                <w:rFonts w:ascii="Calibri" w:hAnsi="Calibri"/>
                <w:b w:val="0"/>
                <w:sz w:val="16"/>
              </w:rPr>
              <w:t>Platform</w:t>
            </w:r>
          </w:p>
        </w:tc>
        <w:tc>
          <w:tcPr>
            <w:tcW w:type="dxa" w:w="1656"/>
            <w:shd w:fill="F7FAFC"/>
          </w:tcPr>
          <w:p>
            <w:pPr>
              <w:spacing w:before="40" w:after="40"/>
            </w:pPr>
            <w:r/>
            <w:r>
              <w:rPr>
                <w:rFonts w:ascii="Calibri" w:hAnsi="Calibri"/>
                <w:b w:val="0"/>
                <w:sz w:val="16"/>
              </w:rPr>
              <w:t>REDIS_URL; REQUIRE_REDIS</w:t>
            </w:r>
          </w:p>
        </w:tc>
      </w:tr>
      <w:tr>
        <w:tc>
          <w:tcPr>
            <w:tcW w:type="dxa" w:w="1656"/>
          </w:tcPr>
          <w:p>
            <w:pPr>
              <w:spacing w:before="40" w:after="40"/>
            </w:pPr>
            <w:r/>
            <w:r>
              <w:rPr>
                <w:rFonts w:ascii="Calibri" w:hAnsi="Calibri"/>
                <w:b w:val="0"/>
                <w:sz w:val="16"/>
              </w:rPr>
              <w:t>App hosting (API + worker + scheduler + Next.js)</w:t>
            </w:r>
          </w:p>
        </w:tc>
        <w:tc>
          <w:tcPr>
            <w:tcW w:type="dxa" w:w="2160"/>
          </w:tcPr>
          <w:p>
            <w:pPr>
              <w:spacing w:before="40" w:after="40"/>
            </w:pPr>
            <w:r/>
            <w:r>
              <w:rPr>
                <w:rFonts w:ascii="Calibri" w:hAnsi="Calibri"/>
                <w:b w:val="0"/>
                <w:sz w:val="16"/>
              </w:rPr>
              <w:t>Runtime for NestJS apps and frontend</w:t>
            </w:r>
          </w:p>
        </w:tc>
        <w:tc>
          <w:tcPr>
            <w:tcW w:type="dxa" w:w="1944"/>
          </w:tcPr>
          <w:p>
            <w:pPr>
              <w:spacing w:before="40" w:after="40"/>
            </w:pPr>
            <w:r/>
            <w:r>
              <w:rPr>
                <w:rFonts w:ascii="Calibri" w:hAnsi="Calibri"/>
                <w:b w:val="0"/>
                <w:sz w:val="16"/>
              </w:rPr>
              <w:t>CPU, RAM, bandwidth, replicas, SSL, domains</w:t>
            </w:r>
          </w:p>
        </w:tc>
        <w:tc>
          <w:tcPr>
            <w:tcW w:type="dxa" w:w="2448"/>
          </w:tcPr>
          <w:p>
            <w:pPr>
              <w:spacing w:before="40" w:after="40"/>
            </w:pPr>
            <w:r/>
            <w:r>
              <w:rPr>
                <w:rFonts w:ascii="Calibri" w:hAnsi="Calibri"/>
                <w:b w:val="0"/>
                <w:sz w:val="16"/>
              </w:rPr>
              <w:t>Depends on deployment (e.g. VPS / container platform)</w:t>
            </w:r>
          </w:p>
        </w:tc>
        <w:tc>
          <w:tcPr>
            <w:tcW w:type="dxa" w:w="1440"/>
          </w:tcPr>
          <w:p>
            <w:pPr>
              <w:spacing w:before="40" w:after="40"/>
            </w:pPr>
            <w:r/>
            <w:r>
              <w:rPr>
                <w:rFonts w:ascii="Calibri" w:hAnsi="Calibri"/>
                <w:b w:val="0"/>
                <w:sz w:val="16"/>
              </w:rPr>
              <w:t>Platform</w:t>
            </w:r>
          </w:p>
        </w:tc>
        <w:tc>
          <w:tcPr>
            <w:tcW w:type="dxa" w:w="1656"/>
          </w:tcPr>
          <w:p>
            <w:pPr>
              <w:spacing w:before="40" w:after="40"/>
            </w:pPr>
            <w:r/>
            <w:r>
              <w:rPr>
                <w:rFonts w:ascii="Calibri" w:hAnsi="Calibri"/>
                <w:b w:val="0"/>
                <w:sz w:val="16"/>
              </w:rPr>
              <w:t>N/A</w:t>
            </w:r>
          </w:p>
        </w:tc>
      </w:tr>
    </w:tbl>
    <w:p/>
    <w:p>
      <w:pPr>
        <w:pStyle w:val="Heading2"/>
      </w:pPr>
      <w:r>
        <w:rPr>
          <w:color w:val="1A365D"/>
        </w:rPr>
        <w:t>3.2 Twilio — Detailed Cost Drivers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880"/>
            <w:shd w:fill="1A365D"/>
          </w:tcPr>
          <w:p>
            <w:pPr>
              <w:spacing w:before="40" w:after="40"/>
              <w:jc w:val="center"/>
            </w:pPr>
            <w:r/>
            <w:r>
              <w:rPr>
                <w:rFonts w:ascii="Calibri" w:hAnsi="Calibri"/>
                <w:b/>
                <w:color w:val="FFFFFF"/>
                <w:sz w:val="18"/>
              </w:rPr>
              <w:t>Cost item</w:t>
            </w:r>
          </w:p>
        </w:tc>
        <w:tc>
          <w:tcPr>
            <w:tcW w:type="dxa" w:w="1728"/>
            <w:shd w:fill="1A365D"/>
          </w:tcPr>
          <w:p>
            <w:pPr>
              <w:spacing w:before="40" w:after="40"/>
              <w:jc w:val="center"/>
            </w:pPr>
            <w:r/>
            <w:r>
              <w:rPr>
                <w:rFonts w:ascii="Calibri" w:hAnsi="Calibri"/>
                <w:b/>
                <w:color w:val="FFFFFF"/>
                <w:sz w:val="18"/>
              </w:rPr>
              <w:t>Unit</w:t>
            </w:r>
          </w:p>
        </w:tc>
        <w:tc>
          <w:tcPr>
            <w:tcW w:type="dxa" w:w="2880"/>
            <w:shd w:fill="1A365D"/>
          </w:tcPr>
          <w:p>
            <w:pPr>
              <w:spacing w:before="40" w:after="40"/>
              <w:jc w:val="center"/>
            </w:pPr>
            <w:r/>
            <w:r>
              <w:rPr>
                <w:rFonts w:ascii="Calibri" w:hAnsi="Calibri"/>
                <w:b/>
                <w:color w:val="FFFFFF"/>
                <w:sz w:val="18"/>
              </w:rPr>
              <w:t>Approx. rate</w:t>
            </w:r>
          </w:p>
        </w:tc>
        <w:tc>
          <w:tcPr>
            <w:tcW w:type="dxa" w:w="3312"/>
            <w:shd w:fill="1A365D"/>
          </w:tcPr>
          <w:p>
            <w:pPr>
              <w:spacing w:before="40" w:after="40"/>
              <w:jc w:val="center"/>
            </w:pPr>
            <w:r/>
            <w:r>
              <w:rPr>
                <w:rFonts w:ascii="Calibri" w:hAnsi="Calibri"/>
                <w:b/>
                <w:color w:val="FFFFFF"/>
                <w:sz w:val="18"/>
              </w:rPr>
              <w:t>Notes for tiers</w:t>
            </w:r>
          </w:p>
        </w:tc>
      </w:tr>
      <w:tr>
        <w:tc>
          <w:tcPr>
            <w:tcW w:type="dxa" w:w="2880"/>
          </w:tcPr>
          <w:p>
            <w:pPr>
              <w:spacing w:before="40" w:after="40"/>
            </w:pPr>
            <w:r/>
            <w:r>
              <w:rPr>
                <w:rFonts w:ascii="Calibri" w:hAnsi="Calibri"/>
                <w:b w:val="0"/>
                <w:sz w:val="16"/>
              </w:rPr>
              <w:t>Outbound / inbound SMS (US long code)</w:t>
            </w:r>
          </w:p>
        </w:tc>
        <w:tc>
          <w:tcPr>
            <w:tcW w:type="dxa" w:w="1728"/>
          </w:tcPr>
          <w:p>
            <w:pPr>
              <w:spacing w:before="40" w:after="40"/>
            </w:pPr>
            <w:r/>
            <w:r>
              <w:rPr>
                <w:rFonts w:ascii="Calibri" w:hAnsi="Calibri"/>
                <w:b w:val="0"/>
                <w:sz w:val="16"/>
              </w:rPr>
              <w:t>Per segment</w:t>
            </w:r>
          </w:p>
        </w:tc>
        <w:tc>
          <w:tcPr>
            <w:tcW w:type="dxa" w:w="2880"/>
          </w:tcPr>
          <w:p>
            <w:pPr>
              <w:spacing w:before="40" w:after="40"/>
            </w:pPr>
            <w:r/>
            <w:r>
              <w:rPr>
                <w:rFonts w:ascii="Calibri" w:hAnsi="Calibri"/>
                <w:b w:val="0"/>
                <w:sz w:val="16"/>
              </w:rPr>
              <w:t>~$0.0083 + carrier fees</w:t>
            </w:r>
          </w:p>
        </w:tc>
        <w:tc>
          <w:tcPr>
            <w:tcW w:type="dxa" w:w="3312"/>
          </w:tcPr>
          <w:p>
            <w:pPr>
              <w:spacing w:before="40" w:after="40"/>
            </w:pPr>
            <w:r/>
            <w:r>
              <w:rPr>
                <w:rFonts w:ascii="Calibri" w:hAnsi="Calibri"/>
                <w:b w:val="0"/>
                <w:sz w:val="16"/>
              </w:rPr>
              <w:t>Unicode (UCS-2) can 2× segments — UI already warns</w:t>
            </w:r>
          </w:p>
        </w:tc>
      </w:tr>
      <w:tr>
        <w:tc>
          <w:tcPr>
            <w:tcW w:type="dxa" w:w="2880"/>
            <w:shd w:fill="F7FAFC"/>
          </w:tcPr>
          <w:p>
            <w:pPr>
              <w:spacing w:before="40" w:after="40"/>
            </w:pPr>
            <w:r/>
            <w:r>
              <w:rPr>
                <w:rFonts w:ascii="Calibri" w:hAnsi="Calibri"/>
                <w:b w:val="0"/>
                <w:sz w:val="16"/>
              </w:rPr>
              <w:t>MMS outbound (US)</w:t>
            </w:r>
          </w:p>
        </w:tc>
        <w:tc>
          <w:tcPr>
            <w:tcW w:type="dxa" w:w="1728"/>
            <w:shd w:fill="F7FAFC"/>
          </w:tcPr>
          <w:p>
            <w:pPr>
              <w:spacing w:before="40" w:after="40"/>
            </w:pPr>
            <w:r/>
            <w:r>
              <w:rPr>
                <w:rFonts w:ascii="Calibri" w:hAnsi="Calibri"/>
                <w:b w:val="0"/>
                <w:sz w:val="16"/>
              </w:rPr>
              <w:t>Per message</w:t>
            </w:r>
          </w:p>
        </w:tc>
        <w:tc>
          <w:tcPr>
            <w:tcW w:type="dxa" w:w="2880"/>
            <w:shd w:fill="F7FAFC"/>
          </w:tcPr>
          <w:p>
            <w:pPr>
              <w:spacing w:before="40" w:after="40"/>
            </w:pPr>
            <w:r/>
            <w:r>
              <w:rPr>
                <w:rFonts w:ascii="Calibri" w:hAnsi="Calibri"/>
                <w:b w:val="0"/>
                <w:sz w:val="16"/>
              </w:rPr>
              <w:t>~$0.022</w:t>
            </w:r>
          </w:p>
        </w:tc>
        <w:tc>
          <w:tcPr>
            <w:tcW w:type="dxa" w:w="3312"/>
            <w:shd w:fill="F7FAFC"/>
          </w:tcPr>
          <w:p>
            <w:pPr>
              <w:spacing w:before="40" w:after="40"/>
            </w:pPr>
            <w:r/>
            <w:r>
              <w:rPr>
                <w:rFonts w:ascii="Calibri" w:hAnsi="Calibri"/>
                <w:b w:val="0"/>
                <w:sz w:val="16"/>
              </w:rPr>
              <w:t>Media campaigns are expensive — gate in lower tiers</w:t>
            </w:r>
          </w:p>
        </w:tc>
      </w:tr>
      <w:tr>
        <w:tc>
          <w:tcPr>
            <w:tcW w:type="dxa" w:w="2880"/>
          </w:tcPr>
          <w:p>
            <w:pPr>
              <w:spacing w:before="40" w:after="40"/>
            </w:pPr>
            <w:r/>
            <w:r>
              <w:rPr>
                <w:rFonts w:ascii="Calibri" w:hAnsi="Calibri"/>
                <w:b w:val="0"/>
                <w:sz w:val="16"/>
              </w:rPr>
              <w:t>US local phone number</w:t>
            </w:r>
          </w:p>
        </w:tc>
        <w:tc>
          <w:tcPr>
            <w:tcW w:type="dxa" w:w="1728"/>
          </w:tcPr>
          <w:p>
            <w:pPr>
              <w:spacing w:before="40" w:after="40"/>
            </w:pPr>
            <w:r/>
            <w:r>
              <w:rPr>
                <w:rFonts w:ascii="Calibri" w:hAnsi="Calibri"/>
                <w:b w:val="0"/>
                <w:sz w:val="16"/>
              </w:rPr>
              <w:t>Per month</w:t>
            </w:r>
          </w:p>
        </w:tc>
        <w:tc>
          <w:tcPr>
            <w:tcW w:type="dxa" w:w="2880"/>
          </w:tcPr>
          <w:p>
            <w:pPr>
              <w:spacing w:before="40" w:after="40"/>
            </w:pPr>
            <w:r/>
            <w:r>
              <w:rPr>
                <w:rFonts w:ascii="Calibri" w:hAnsi="Calibri"/>
                <w:b w:val="0"/>
                <w:sz w:val="16"/>
              </w:rPr>
              <w:t>~$1.15</w:t>
            </w:r>
          </w:p>
        </w:tc>
        <w:tc>
          <w:tcPr>
            <w:tcW w:type="dxa" w:w="3312"/>
          </w:tcPr>
          <w:p>
            <w:pPr>
              <w:spacing w:before="40" w:after="40"/>
            </w:pPr>
            <w:r/>
            <w:r>
              <w:rPr>
                <w:rFonts w:ascii="Calibri" w:hAnsi="Calibri"/>
                <w:b w:val="0"/>
                <w:sz w:val="16"/>
              </w:rPr>
              <w:t>Code auto-purchases when TWILIO_AUTO_PURCHASE_NUMBERS=true (~$1.15 note in .env.example)</w:t>
            </w:r>
          </w:p>
        </w:tc>
      </w:tr>
      <w:tr>
        <w:tc>
          <w:tcPr>
            <w:tcW w:type="dxa" w:w="2880"/>
            <w:shd w:fill="F7FAFC"/>
          </w:tcPr>
          <w:p>
            <w:pPr>
              <w:spacing w:before="40" w:after="40"/>
            </w:pPr>
            <w:r/>
            <w:r>
              <w:rPr>
                <w:rFonts w:ascii="Calibri" w:hAnsi="Calibri"/>
                <w:b w:val="0"/>
                <w:sz w:val="16"/>
              </w:rPr>
              <w:t>A2P 10DLC brand / campaign</w:t>
            </w:r>
          </w:p>
        </w:tc>
        <w:tc>
          <w:tcPr>
            <w:tcW w:type="dxa" w:w="1728"/>
            <w:shd w:fill="F7FAFC"/>
          </w:tcPr>
          <w:p>
            <w:pPr>
              <w:spacing w:before="40" w:after="40"/>
            </w:pPr>
            <w:r/>
            <w:r>
              <w:rPr>
                <w:rFonts w:ascii="Calibri" w:hAnsi="Calibri"/>
                <w:b w:val="0"/>
                <w:sz w:val="16"/>
              </w:rPr>
              <w:t>One-time + monthly</w:t>
            </w:r>
          </w:p>
        </w:tc>
        <w:tc>
          <w:tcPr>
            <w:tcW w:type="dxa" w:w="2880"/>
            <w:shd w:fill="F7FAFC"/>
          </w:tcPr>
          <w:p>
            <w:pPr>
              <w:spacing w:before="40" w:after="40"/>
            </w:pPr>
            <w:r/>
            <w:r>
              <w:rPr>
                <w:rFonts w:ascii="Calibri" w:hAnsi="Calibri"/>
                <w:b w:val="0"/>
                <w:sz w:val="16"/>
              </w:rPr>
              <w:t>Brand ~$4–$44+; campaign vetting ~$15; campaign ~$1.50–$10/mo</w:t>
            </w:r>
          </w:p>
        </w:tc>
        <w:tc>
          <w:tcPr>
            <w:tcW w:type="dxa" w:w="3312"/>
            <w:shd w:fill="F7FAFC"/>
          </w:tcPr>
          <w:p>
            <w:pPr>
              <w:spacing w:before="40" w:after="40"/>
            </w:pPr>
            <w:r/>
            <w:r>
              <w:rPr>
                <w:rFonts w:ascii="Calibri" w:hAnsi="Calibri"/>
                <w:b w:val="0"/>
                <w:sz w:val="16"/>
              </w:rPr>
              <w:t>ISV registration required for US business SMS</w:t>
            </w:r>
          </w:p>
        </w:tc>
      </w:tr>
      <w:tr>
        <w:tc>
          <w:tcPr>
            <w:tcW w:type="dxa" w:w="2880"/>
          </w:tcPr>
          <w:p>
            <w:pPr>
              <w:spacing w:before="40" w:after="40"/>
            </w:pPr>
            <w:r/>
            <w:r>
              <w:rPr>
                <w:rFonts w:ascii="Calibri" w:hAnsi="Calibri"/>
                <w:b w:val="0"/>
                <w:sz w:val="16"/>
              </w:rPr>
              <w:t>BYO Twilio mode</w:t>
            </w:r>
          </w:p>
        </w:tc>
        <w:tc>
          <w:tcPr>
            <w:tcW w:type="dxa" w:w="1728"/>
          </w:tcPr>
          <w:p>
            <w:pPr>
              <w:spacing w:before="40" w:after="40"/>
            </w:pPr>
            <w:r/>
            <w:r>
              <w:rPr>
                <w:rFonts w:ascii="Calibri" w:hAnsi="Calibri"/>
                <w:b w:val="0"/>
                <w:sz w:val="16"/>
              </w:rPr>
              <w:t>Tenant account</w:t>
            </w:r>
          </w:p>
        </w:tc>
        <w:tc>
          <w:tcPr>
            <w:tcW w:type="dxa" w:w="2880"/>
          </w:tcPr>
          <w:p>
            <w:pPr>
              <w:spacing w:before="40" w:after="40"/>
            </w:pPr>
            <w:r/>
            <w:r>
              <w:rPr>
                <w:rFonts w:ascii="Calibri" w:hAnsi="Calibri"/>
                <w:b w:val="0"/>
                <w:sz w:val="16"/>
              </w:rPr>
              <w:t>Tenant pays Twilio directly</w:t>
            </w:r>
          </w:p>
        </w:tc>
        <w:tc>
          <w:tcPr>
            <w:tcW w:type="dxa" w:w="3312"/>
          </w:tcPr>
          <w:p>
            <w:pPr>
              <w:spacing w:before="40" w:after="40"/>
            </w:pPr>
            <w:r/>
            <w:r>
              <w:rPr>
                <w:rFonts w:ascii="Calibri" w:hAnsi="Calibri"/>
                <w:b w:val="0"/>
                <w:sz w:val="16"/>
              </w:rPr>
              <w:t>Best control for high-volume SMS tenants</w:t>
            </w:r>
          </w:p>
        </w:tc>
      </w:tr>
    </w:tbl>
    <w:p/>
    <w:p>
      <w:pPr>
        <w:pStyle w:val="Heading2"/>
      </w:pPr>
      <w:r>
        <w:rPr>
          <w:color w:val="1A365D"/>
        </w:rPr>
        <w:t>3.3 Resend — Detailed Cost Drivers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160"/>
            <w:shd w:fill="1A365D"/>
          </w:tcPr>
          <w:p>
            <w:pPr>
              <w:spacing w:before="40" w:after="40"/>
              <w:jc w:val="center"/>
            </w:pPr>
            <w:r/>
            <w:r>
              <w:rPr>
                <w:rFonts w:ascii="Calibri" w:hAnsi="Calibri"/>
                <w:b/>
                <w:color w:val="FFFFFF"/>
                <w:sz w:val="18"/>
              </w:rPr>
              <w:t>Plan</w:t>
            </w:r>
          </w:p>
        </w:tc>
        <w:tc>
          <w:tcPr>
            <w:tcW w:type="dxa" w:w="1872"/>
            <w:shd w:fill="1A365D"/>
          </w:tcPr>
          <w:p>
            <w:pPr>
              <w:spacing w:before="40" w:after="40"/>
              <w:jc w:val="center"/>
            </w:pPr>
            <w:r/>
            <w:r>
              <w:rPr>
                <w:rFonts w:ascii="Calibri" w:hAnsi="Calibri"/>
                <w:b/>
                <w:color w:val="FFFFFF"/>
                <w:sz w:val="18"/>
              </w:rPr>
              <w:t>Monthly price</w:t>
            </w:r>
          </w:p>
        </w:tc>
        <w:tc>
          <w:tcPr>
            <w:tcW w:type="dxa" w:w="2160"/>
            <w:shd w:fill="1A365D"/>
          </w:tcPr>
          <w:p>
            <w:pPr>
              <w:spacing w:before="40" w:after="40"/>
              <w:jc w:val="center"/>
            </w:pPr>
            <w:r/>
            <w:r>
              <w:rPr>
                <w:rFonts w:ascii="Calibri" w:hAnsi="Calibri"/>
                <w:b/>
                <w:color w:val="FFFFFF"/>
                <w:sz w:val="18"/>
              </w:rPr>
              <w:t>Included emails</w:t>
            </w:r>
          </w:p>
        </w:tc>
        <w:tc>
          <w:tcPr>
            <w:tcW w:type="dxa" w:w="2016"/>
            <w:shd w:fill="1A365D"/>
          </w:tcPr>
          <w:p>
            <w:pPr>
              <w:spacing w:before="40" w:after="40"/>
              <w:jc w:val="center"/>
            </w:pPr>
            <w:r/>
            <w:r>
              <w:rPr>
                <w:rFonts w:ascii="Calibri" w:hAnsi="Calibri"/>
                <w:b/>
                <w:color w:val="FFFFFF"/>
                <w:sz w:val="18"/>
              </w:rPr>
              <w:t>Overage</w:t>
            </w:r>
          </w:p>
        </w:tc>
        <w:tc>
          <w:tcPr>
            <w:tcW w:type="dxa" w:w="2880"/>
            <w:shd w:fill="1A365D"/>
          </w:tcPr>
          <w:p>
            <w:pPr>
              <w:spacing w:before="40" w:after="40"/>
              <w:jc w:val="center"/>
            </w:pPr>
            <w:r/>
            <w:r>
              <w:rPr>
                <w:rFonts w:ascii="Calibri" w:hAnsi="Calibri"/>
                <w:b/>
                <w:color w:val="FFFFFF"/>
                <w:sz w:val="18"/>
              </w:rPr>
              <w:t>Tier guidance</w:t>
            </w:r>
          </w:p>
        </w:tc>
      </w:tr>
      <w:tr>
        <w:tc>
          <w:tcPr>
            <w:tcW w:type="dxa" w:w="2160"/>
          </w:tcPr>
          <w:p>
            <w:pPr>
              <w:spacing w:before="40" w:after="40"/>
            </w:pPr>
            <w:r/>
            <w:r>
              <w:rPr>
                <w:rFonts w:ascii="Calibri" w:hAnsi="Calibri"/>
                <w:b w:val="0"/>
                <w:sz w:val="16"/>
              </w:rPr>
              <w:t>Free</w:t>
            </w:r>
          </w:p>
        </w:tc>
        <w:tc>
          <w:tcPr>
            <w:tcW w:type="dxa" w:w="1872"/>
          </w:tcPr>
          <w:p>
            <w:pPr>
              <w:spacing w:before="40" w:after="40"/>
            </w:pPr>
            <w:r/>
            <w:r>
              <w:rPr>
                <w:rFonts w:ascii="Calibri" w:hAnsi="Calibri"/>
                <w:b w:val="0"/>
                <w:sz w:val="16"/>
              </w:rPr>
              <w:t>$0</w:t>
            </w:r>
          </w:p>
        </w:tc>
        <w:tc>
          <w:tcPr>
            <w:tcW w:type="dxa" w:w="2160"/>
          </w:tcPr>
          <w:p>
            <w:pPr>
              <w:spacing w:before="40" w:after="40"/>
            </w:pPr>
            <w:r/>
            <w:r>
              <w:rPr>
                <w:rFonts w:ascii="Calibri" w:hAnsi="Calibri"/>
                <w:b w:val="0"/>
                <w:sz w:val="16"/>
              </w:rPr>
              <w:t>3,000 (100/day cap)</w:t>
            </w:r>
          </w:p>
        </w:tc>
        <w:tc>
          <w:tcPr>
            <w:tcW w:type="dxa" w:w="2016"/>
          </w:tcPr>
          <w:p>
            <w:pPr>
              <w:spacing w:before="40" w:after="40"/>
            </w:pPr>
            <w:r/>
            <w:r>
              <w:rPr>
                <w:rFonts w:ascii="Calibri" w:hAnsi="Calibri"/>
                <w:b w:val="0"/>
                <w:sz w:val="16"/>
              </w:rPr>
              <w:t>None (hard stop)</w:t>
            </w:r>
          </w:p>
        </w:tc>
        <w:tc>
          <w:tcPr>
            <w:tcW w:type="dxa" w:w="2880"/>
          </w:tcPr>
          <w:p>
            <w:pPr>
              <w:spacing w:before="40" w:after="40"/>
            </w:pPr>
            <w:r/>
            <w:r>
              <w:rPr>
                <w:rFonts w:ascii="Calibri" w:hAnsi="Calibri"/>
                <w:b w:val="0"/>
                <w:sz w:val="16"/>
              </w:rPr>
              <w:t>Dev / tiny pilot only</w:t>
            </w:r>
          </w:p>
        </w:tc>
      </w:tr>
      <w:tr>
        <w:tc>
          <w:tcPr>
            <w:tcW w:type="dxa" w:w="2160"/>
            <w:shd w:fill="F7FAFC"/>
          </w:tcPr>
          <w:p>
            <w:pPr>
              <w:spacing w:before="40" w:after="40"/>
            </w:pPr>
            <w:r/>
            <w:r>
              <w:rPr>
                <w:rFonts w:ascii="Calibri" w:hAnsi="Calibri"/>
                <w:b w:val="0"/>
                <w:sz w:val="16"/>
              </w:rPr>
              <w:t>Pro</w:t>
            </w:r>
          </w:p>
        </w:tc>
        <w:tc>
          <w:tcPr>
            <w:tcW w:type="dxa" w:w="1872"/>
            <w:shd w:fill="F7FAFC"/>
          </w:tcPr>
          <w:p>
            <w:pPr>
              <w:spacing w:before="40" w:after="40"/>
            </w:pPr>
            <w:r/>
            <w:r>
              <w:rPr>
                <w:rFonts w:ascii="Calibri" w:hAnsi="Calibri"/>
                <w:b w:val="0"/>
                <w:sz w:val="16"/>
              </w:rPr>
              <w:t>$20 / $35</w:t>
            </w:r>
          </w:p>
        </w:tc>
        <w:tc>
          <w:tcPr>
            <w:tcW w:type="dxa" w:w="2160"/>
            <w:shd w:fill="F7FAFC"/>
          </w:tcPr>
          <w:p>
            <w:pPr>
              <w:spacing w:before="40" w:after="40"/>
            </w:pPr>
            <w:r/>
            <w:r>
              <w:rPr>
                <w:rFonts w:ascii="Calibri" w:hAnsi="Calibri"/>
                <w:b w:val="0"/>
                <w:sz w:val="16"/>
              </w:rPr>
              <w:t>50k / 100k</w:t>
            </w:r>
          </w:p>
        </w:tc>
        <w:tc>
          <w:tcPr>
            <w:tcW w:type="dxa" w:w="2016"/>
            <w:shd w:fill="F7FAFC"/>
          </w:tcPr>
          <w:p>
            <w:pPr>
              <w:spacing w:before="40" w:after="40"/>
            </w:pPr>
            <w:r/>
            <w:r>
              <w:rPr>
                <w:rFonts w:ascii="Calibri" w:hAnsi="Calibri"/>
                <w:b w:val="0"/>
                <w:sz w:val="16"/>
              </w:rPr>
              <w:t>~$0.90 / 1k</w:t>
            </w:r>
          </w:p>
        </w:tc>
        <w:tc>
          <w:tcPr>
            <w:tcW w:type="dxa" w:w="2880"/>
            <w:shd w:fill="F7FAFC"/>
          </w:tcPr>
          <w:p>
            <w:pPr>
              <w:spacing w:before="40" w:after="40"/>
            </w:pPr>
            <w:r/>
            <w:r>
              <w:rPr>
                <w:rFonts w:ascii="Calibri" w:hAnsi="Calibri"/>
                <w:b w:val="0"/>
                <w:sz w:val="16"/>
              </w:rPr>
              <w:t>Early production</w:t>
            </w:r>
          </w:p>
        </w:tc>
      </w:tr>
      <w:tr>
        <w:tc>
          <w:tcPr>
            <w:tcW w:type="dxa" w:w="2160"/>
          </w:tcPr>
          <w:p>
            <w:pPr>
              <w:spacing w:before="40" w:after="40"/>
            </w:pPr>
            <w:r/>
            <w:r>
              <w:rPr>
                <w:rFonts w:ascii="Calibri" w:hAnsi="Calibri"/>
                <w:b w:val="0"/>
                <w:sz w:val="16"/>
              </w:rPr>
              <w:t>Scale</w:t>
            </w:r>
          </w:p>
        </w:tc>
        <w:tc>
          <w:tcPr>
            <w:tcW w:type="dxa" w:w="1872"/>
          </w:tcPr>
          <w:p>
            <w:pPr>
              <w:spacing w:before="40" w:after="40"/>
            </w:pPr>
            <w:r/>
            <w:r>
              <w:rPr>
                <w:rFonts w:ascii="Calibri" w:hAnsi="Calibri"/>
                <w:b w:val="0"/>
                <w:sz w:val="16"/>
              </w:rPr>
              <w:t>$90 – $1,150</w:t>
            </w:r>
          </w:p>
        </w:tc>
        <w:tc>
          <w:tcPr>
            <w:tcW w:type="dxa" w:w="2160"/>
          </w:tcPr>
          <w:p>
            <w:pPr>
              <w:spacing w:before="40" w:after="40"/>
            </w:pPr>
            <w:r/>
            <w:r>
              <w:rPr>
                <w:rFonts w:ascii="Calibri" w:hAnsi="Calibri"/>
                <w:b w:val="0"/>
                <w:sz w:val="16"/>
              </w:rPr>
              <w:t>100k – 2.5M</w:t>
            </w:r>
          </w:p>
        </w:tc>
        <w:tc>
          <w:tcPr>
            <w:tcW w:type="dxa" w:w="2016"/>
          </w:tcPr>
          <w:p>
            <w:pPr>
              <w:spacing w:before="40" w:after="40"/>
            </w:pPr>
            <w:r/>
            <w:r>
              <w:rPr>
                <w:rFonts w:ascii="Calibri" w:hAnsi="Calibri"/>
                <w:b w:val="0"/>
                <w:sz w:val="16"/>
              </w:rPr>
              <w:t>~$0.46 – $0.90 / 1k</w:t>
            </w:r>
          </w:p>
        </w:tc>
        <w:tc>
          <w:tcPr>
            <w:tcW w:type="dxa" w:w="2880"/>
          </w:tcPr>
          <w:p>
            <w:pPr>
              <w:spacing w:before="40" w:after="40"/>
            </w:pPr>
            <w:r/>
            <w:r>
              <w:rPr>
                <w:rFonts w:ascii="Calibri" w:hAnsi="Calibri"/>
                <w:b w:val="0"/>
                <w:sz w:val="16"/>
              </w:rPr>
              <w:t>Multi-tenant growth</w:t>
            </w:r>
          </w:p>
        </w:tc>
      </w:tr>
      <w:tr>
        <w:tc>
          <w:tcPr>
            <w:tcW w:type="dxa" w:w="2160"/>
            <w:shd w:fill="F7FAFC"/>
          </w:tcPr>
          <w:p>
            <w:pPr>
              <w:spacing w:before="40" w:after="40"/>
            </w:pPr>
            <w:r/>
            <w:r>
              <w:rPr>
                <w:rFonts w:ascii="Calibri" w:hAnsi="Calibri"/>
                <w:b w:val="0"/>
                <w:sz w:val="16"/>
              </w:rPr>
              <w:t>Dedicated IP (Scale)</w:t>
            </w:r>
          </w:p>
        </w:tc>
        <w:tc>
          <w:tcPr>
            <w:tcW w:type="dxa" w:w="1872"/>
            <w:shd w:fill="F7FAFC"/>
          </w:tcPr>
          <w:p>
            <w:pPr>
              <w:spacing w:before="40" w:after="40"/>
            </w:pPr>
            <w:r/>
            <w:r>
              <w:rPr>
                <w:rFonts w:ascii="Calibri" w:hAnsi="Calibri"/>
                <w:b w:val="0"/>
                <w:sz w:val="16"/>
              </w:rPr>
              <w:t>+$30/mo</w:t>
            </w:r>
          </w:p>
        </w:tc>
        <w:tc>
          <w:tcPr>
            <w:tcW w:type="dxa" w:w="2160"/>
            <w:shd w:fill="F7FAFC"/>
          </w:tcPr>
          <w:p>
            <w:pPr>
              <w:spacing w:before="40" w:after="40"/>
            </w:pPr>
            <w:r/>
            <w:r>
              <w:rPr>
                <w:rFonts w:ascii="Calibri" w:hAnsi="Calibri"/>
                <w:b w:val="0"/>
                <w:sz w:val="16"/>
              </w:rPr>
              <w:t>—</w:t>
            </w:r>
          </w:p>
        </w:tc>
        <w:tc>
          <w:tcPr>
            <w:tcW w:type="dxa" w:w="2016"/>
            <w:shd w:fill="F7FAFC"/>
          </w:tcPr>
          <w:p>
            <w:pPr>
              <w:spacing w:before="40" w:after="40"/>
            </w:pPr>
            <w:r/>
            <w:r>
              <w:rPr>
                <w:rFonts w:ascii="Calibri" w:hAnsi="Calibri"/>
                <w:b w:val="0"/>
                <w:sz w:val="16"/>
              </w:rPr>
              <w:t>—</w:t>
            </w:r>
          </w:p>
        </w:tc>
        <w:tc>
          <w:tcPr>
            <w:tcW w:type="dxa" w:w="2880"/>
            <w:shd w:fill="F7FAFC"/>
          </w:tcPr>
          <w:p>
            <w:pPr>
              <w:spacing w:before="40" w:after="40"/>
            </w:pPr>
            <w:r/>
            <w:r>
              <w:rPr>
                <w:rFonts w:ascii="Calibri" w:hAnsi="Calibri"/>
                <w:b w:val="0"/>
                <w:sz w:val="16"/>
              </w:rPr>
              <w:t>Reputation isolation at volume</w:t>
            </w:r>
          </w:p>
        </w:tc>
      </w:tr>
    </w:tbl>
    <w:p/>
    <w:p>
      <w:pPr>
        <w:spacing w:after="160"/>
      </w:pPr>
      <w:r>
        <w:rPr>
          <w:rFonts w:ascii="Calibri" w:hAnsi="Calibri"/>
          <w:b w:val="0"/>
          <w:color w:val="4A5568"/>
          <w:sz w:val="18"/>
        </w:rPr>
        <w:t>Svix is used as the webhook signature verifier for Resend delivery events — not a separate billable product in this stack.</w:t>
      </w:r>
    </w:p>
    <w:p>
      <w:pPr>
        <w:pStyle w:val="Heading2"/>
      </w:pPr>
      <w:r>
        <w:rPr>
          <w:color w:val="1A365D"/>
        </w:rPr>
        <w:t>3.4 Stripe — Two Distinct Cost Paths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16"/>
            <w:shd w:fill="1A365D"/>
          </w:tcPr>
          <w:p>
            <w:pPr>
              <w:spacing w:before="40" w:after="40"/>
              <w:jc w:val="center"/>
            </w:pPr>
            <w:r/>
            <w:r>
              <w:rPr>
                <w:rFonts w:ascii="Calibri" w:hAnsi="Calibri"/>
                <w:b/>
                <w:color w:val="FFFFFF"/>
                <w:sz w:val="18"/>
              </w:rPr>
              <w:t>Path</w:t>
            </w:r>
          </w:p>
        </w:tc>
        <w:tc>
          <w:tcPr>
            <w:tcW w:type="dxa" w:w="2304"/>
            <w:shd w:fill="1A365D"/>
          </w:tcPr>
          <w:p>
            <w:pPr>
              <w:spacing w:before="40" w:after="40"/>
              <w:jc w:val="center"/>
            </w:pPr>
            <w:r/>
            <w:r>
              <w:rPr>
                <w:rFonts w:ascii="Calibri" w:hAnsi="Calibri"/>
                <w:b/>
                <w:color w:val="FFFFFF"/>
                <w:sz w:val="18"/>
              </w:rPr>
              <w:t>What it bills</w:t>
            </w:r>
          </w:p>
        </w:tc>
        <w:tc>
          <w:tcPr>
            <w:tcW w:type="dxa" w:w="2160"/>
            <w:shd w:fill="1A365D"/>
          </w:tcPr>
          <w:p>
            <w:pPr>
              <w:spacing w:before="40" w:after="40"/>
              <w:jc w:val="center"/>
            </w:pPr>
            <w:r/>
            <w:r>
              <w:rPr>
                <w:rFonts w:ascii="Calibri" w:hAnsi="Calibri"/>
                <w:b/>
                <w:color w:val="FFFFFF"/>
                <w:sz w:val="18"/>
              </w:rPr>
              <w:t>Who pays Stripe</w:t>
            </w:r>
          </w:p>
        </w:tc>
        <w:tc>
          <w:tcPr>
            <w:tcW w:type="dxa" w:w="2592"/>
            <w:shd w:fill="1A365D"/>
          </w:tcPr>
          <w:p>
            <w:pPr>
              <w:spacing w:before="40" w:after="40"/>
              <w:jc w:val="center"/>
            </w:pPr>
            <w:r/>
            <w:r>
              <w:rPr>
                <w:rFonts w:ascii="Calibri" w:hAnsi="Calibri"/>
                <w:b/>
                <w:color w:val="FFFFFF"/>
                <w:sz w:val="18"/>
              </w:rPr>
              <w:t>Current product behavior</w:t>
            </w:r>
          </w:p>
        </w:tc>
        <w:tc>
          <w:tcPr>
            <w:tcW w:type="dxa" w:w="2592"/>
            <w:shd w:fill="1A365D"/>
          </w:tcPr>
          <w:p>
            <w:pPr>
              <w:spacing w:before="40" w:after="40"/>
              <w:jc w:val="center"/>
            </w:pPr>
            <w:r/>
            <w:r>
              <w:rPr>
                <w:rFonts w:ascii="Calibri" w:hAnsi="Calibri"/>
                <w:b/>
                <w:color w:val="FFFFFF"/>
                <w:sz w:val="18"/>
              </w:rPr>
              <w:t>Pricing opportunity</w:t>
            </w:r>
          </w:p>
        </w:tc>
      </w:tr>
      <w:tr>
        <w:tc>
          <w:tcPr>
            <w:tcW w:type="dxa" w:w="2016"/>
          </w:tcPr>
          <w:p>
            <w:pPr>
              <w:spacing w:before="40" w:after="40"/>
            </w:pPr>
            <w:r/>
            <w:r>
              <w:rPr>
                <w:rFonts w:ascii="Calibri" w:hAnsi="Calibri"/>
                <w:b w:val="0"/>
                <w:sz w:val="16"/>
              </w:rPr>
              <w:t>Platform SaaS billing</w:t>
            </w:r>
          </w:p>
        </w:tc>
        <w:tc>
          <w:tcPr>
            <w:tcW w:type="dxa" w:w="2304"/>
          </w:tcPr>
          <w:p>
            <w:pPr>
              <w:spacing w:before="40" w:after="40"/>
            </w:pPr>
            <w:r/>
            <w:r>
              <w:rPr>
                <w:rFonts w:ascii="Calibri" w:hAnsi="Calibri"/>
                <w:b w:val="0"/>
                <w:sz w:val="16"/>
              </w:rPr>
              <w:t>PandaCue plan subscriptions &amp; addons</w:t>
            </w:r>
          </w:p>
        </w:tc>
        <w:tc>
          <w:tcPr>
            <w:tcW w:type="dxa" w:w="2160"/>
          </w:tcPr>
          <w:p>
            <w:pPr>
              <w:spacing w:before="40" w:after="40"/>
            </w:pPr>
            <w:r/>
            <w:r>
              <w:rPr>
                <w:rFonts w:ascii="Calibri" w:hAnsi="Calibri"/>
                <w:b w:val="0"/>
                <w:sz w:val="16"/>
              </w:rPr>
              <w:t>PandaCue (fee deducted from SaaS revenue)</w:t>
            </w:r>
          </w:p>
        </w:tc>
        <w:tc>
          <w:tcPr>
            <w:tcW w:type="dxa" w:w="2592"/>
          </w:tcPr>
          <w:p>
            <w:pPr>
              <w:spacing w:before="40" w:after="40"/>
            </w:pPr>
            <w:r/>
            <w:r>
              <w:rPr>
                <w:rFonts w:ascii="Calibri" w:hAnsi="Calibri"/>
                <w:b w:val="0"/>
                <w:sz w:val="16"/>
              </w:rPr>
              <w:t>Checkout, portal, tier/addon Price sync, webhooks</w:t>
            </w:r>
          </w:p>
        </w:tc>
        <w:tc>
          <w:tcPr>
            <w:tcW w:type="dxa" w:w="2592"/>
          </w:tcPr>
          <w:p>
            <w:pPr>
              <w:spacing w:before="40" w:after="40"/>
            </w:pPr>
            <w:r/>
            <w:r>
              <w:rPr>
                <w:rFonts w:ascii="Calibri" w:hAnsi="Calibri"/>
                <w:b w:val="0"/>
                <w:sz w:val="16"/>
              </w:rPr>
              <w:t>Net SaaS price after ~2.9%+$0.30 (+ Billing % if applicable)</w:t>
            </w:r>
          </w:p>
        </w:tc>
      </w:tr>
      <w:tr>
        <w:tc>
          <w:tcPr>
            <w:tcW w:type="dxa" w:w="2016"/>
            <w:shd w:fill="F7FAFC"/>
          </w:tcPr>
          <w:p>
            <w:pPr>
              <w:spacing w:before="40" w:after="40"/>
            </w:pPr>
            <w:r/>
            <w:r>
              <w:rPr>
                <w:rFonts w:ascii="Calibri" w:hAnsi="Calibri"/>
                <w:b w:val="0"/>
                <w:sz w:val="16"/>
              </w:rPr>
              <w:t>Stripe Connect</w:t>
            </w:r>
          </w:p>
        </w:tc>
        <w:tc>
          <w:tcPr>
            <w:tcW w:type="dxa" w:w="2304"/>
            <w:shd w:fill="F7FAFC"/>
          </w:tcPr>
          <w:p>
            <w:pPr>
              <w:spacing w:before="40" w:after="40"/>
            </w:pPr>
            <w:r/>
            <w:r>
              <w:rPr>
                <w:rFonts w:ascii="Calibri" w:hAnsi="Calibri"/>
                <w:b w:val="0"/>
                <w:sz w:val="16"/>
              </w:rPr>
              <w:t>Tenant charges to end clients</w:t>
            </w:r>
          </w:p>
        </w:tc>
        <w:tc>
          <w:tcPr>
            <w:tcW w:type="dxa" w:w="2160"/>
            <w:shd w:fill="F7FAFC"/>
          </w:tcPr>
          <w:p>
            <w:pPr>
              <w:spacing w:before="40" w:after="40"/>
            </w:pPr>
            <w:r/>
            <w:r>
              <w:rPr>
                <w:rFonts w:ascii="Calibri" w:hAnsi="Calibri"/>
                <w:b w:val="0"/>
                <w:sz w:val="16"/>
              </w:rPr>
              <w:t>Tenant connected account</w:t>
            </w:r>
          </w:p>
        </w:tc>
        <w:tc>
          <w:tcPr>
            <w:tcW w:type="dxa" w:w="2592"/>
            <w:shd w:fill="F7FAFC"/>
          </w:tcPr>
          <w:p>
            <w:pPr>
              <w:spacing w:before="40" w:after="40"/>
            </w:pPr>
            <w:r/>
            <w:r>
              <w:rPr>
                <w:rFonts w:ascii="Calibri" w:hAnsi="Calibri"/>
                <w:b w:val="0"/>
                <w:sz w:val="16"/>
              </w:rPr>
              <w:t>No application_fee in code today — full pass-through</w:t>
            </w:r>
          </w:p>
        </w:tc>
        <w:tc>
          <w:tcPr>
            <w:tcW w:type="dxa" w:w="2592"/>
            <w:shd w:fill="F7FAFC"/>
          </w:tcPr>
          <w:p>
            <w:pPr>
              <w:spacing w:before="40" w:after="40"/>
            </w:pPr>
            <w:r/>
            <w:r>
              <w:rPr>
                <w:rFonts w:ascii="Calibri" w:hAnsi="Calibri"/>
                <w:b w:val="0"/>
                <w:sz w:val="16"/>
              </w:rPr>
              <w:t>Optional future take-rate / platform fee on Connect</w:t>
            </w:r>
          </w:p>
        </w:tc>
      </w:tr>
    </w:tbl>
    <w:p/>
    <w:p>
      <w:pPr>
        <w:pStyle w:val="Heading2"/>
      </w:pPr>
      <w:r>
        <w:rPr>
          <w:color w:val="1A365D"/>
        </w:rPr>
        <w:t>3.5 WhatsApp (Meta) — Tenant-Borne Messaging</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016"/>
            <w:shd w:fill="1A365D"/>
          </w:tcPr>
          <w:p>
            <w:pPr>
              <w:spacing w:before="40" w:after="40"/>
              <w:jc w:val="center"/>
            </w:pPr>
            <w:r/>
            <w:r>
              <w:rPr>
                <w:rFonts w:ascii="Calibri" w:hAnsi="Calibri"/>
                <w:b/>
                <w:color w:val="FFFFFF"/>
                <w:sz w:val="18"/>
              </w:rPr>
              <w:t>Category</w:t>
            </w:r>
          </w:p>
        </w:tc>
        <w:tc>
          <w:tcPr>
            <w:tcW w:type="dxa" w:w="3168"/>
            <w:shd w:fill="1A365D"/>
          </w:tcPr>
          <w:p>
            <w:pPr>
              <w:spacing w:before="40" w:after="40"/>
              <w:jc w:val="center"/>
            </w:pPr>
            <w:r/>
            <w:r>
              <w:rPr>
                <w:rFonts w:ascii="Calibri" w:hAnsi="Calibri"/>
                <w:b/>
                <w:color w:val="FFFFFF"/>
                <w:sz w:val="18"/>
              </w:rPr>
              <w:t>Typical use</w:t>
            </w:r>
          </w:p>
        </w:tc>
        <w:tc>
          <w:tcPr>
            <w:tcW w:type="dxa" w:w="2160"/>
            <w:shd w:fill="1A365D"/>
          </w:tcPr>
          <w:p>
            <w:pPr>
              <w:spacing w:before="40" w:after="40"/>
              <w:jc w:val="center"/>
            </w:pPr>
            <w:r/>
            <w:r>
              <w:rPr>
                <w:rFonts w:ascii="Calibri" w:hAnsi="Calibri"/>
                <w:b/>
                <w:color w:val="FFFFFF"/>
                <w:sz w:val="18"/>
              </w:rPr>
              <w:t>Who pays</w:t>
            </w:r>
          </w:p>
        </w:tc>
        <w:tc>
          <w:tcPr>
            <w:tcW w:type="dxa" w:w="3456"/>
            <w:shd w:fill="1A365D"/>
          </w:tcPr>
          <w:p>
            <w:pPr>
              <w:spacing w:before="40" w:after="40"/>
              <w:jc w:val="center"/>
            </w:pPr>
            <w:r/>
            <w:r>
              <w:rPr>
                <w:rFonts w:ascii="Calibri" w:hAnsi="Calibri"/>
                <w:b/>
                <w:color w:val="FFFFFF"/>
                <w:sz w:val="18"/>
              </w:rPr>
              <w:t>Pricing note</w:t>
            </w:r>
          </w:p>
        </w:tc>
      </w:tr>
      <w:tr>
        <w:tc>
          <w:tcPr>
            <w:tcW w:type="dxa" w:w="2016"/>
          </w:tcPr>
          <w:p>
            <w:pPr>
              <w:spacing w:before="40" w:after="40"/>
            </w:pPr>
            <w:r/>
            <w:r>
              <w:rPr>
                <w:rFonts w:ascii="Calibri" w:hAnsi="Calibri"/>
                <w:b w:val="0"/>
                <w:sz w:val="16"/>
              </w:rPr>
              <w:t>Marketing</w:t>
            </w:r>
          </w:p>
        </w:tc>
        <w:tc>
          <w:tcPr>
            <w:tcW w:type="dxa" w:w="3168"/>
          </w:tcPr>
          <w:p>
            <w:pPr>
              <w:spacing w:before="40" w:after="40"/>
            </w:pPr>
            <w:r/>
            <w:r>
              <w:rPr>
                <w:rFonts w:ascii="Calibri" w:hAnsi="Calibri"/>
                <w:b w:val="0"/>
                <w:sz w:val="16"/>
              </w:rPr>
              <w:t>Promos, offers, re-engagement</w:t>
            </w:r>
          </w:p>
        </w:tc>
        <w:tc>
          <w:tcPr>
            <w:tcW w:type="dxa" w:w="2160"/>
          </w:tcPr>
          <w:p>
            <w:pPr>
              <w:spacing w:before="40" w:after="40"/>
            </w:pPr>
            <w:r/>
            <w:r>
              <w:rPr>
                <w:rFonts w:ascii="Calibri" w:hAnsi="Calibri"/>
                <w:b w:val="0"/>
                <w:sz w:val="16"/>
              </w:rPr>
              <w:t>Tenant Meta / WABA</w:t>
            </w:r>
          </w:p>
        </w:tc>
        <w:tc>
          <w:tcPr>
            <w:tcW w:type="dxa" w:w="3456"/>
          </w:tcPr>
          <w:p>
            <w:pPr>
              <w:spacing w:before="40" w:after="40"/>
            </w:pPr>
            <w:r/>
            <w:r>
              <w:rPr>
                <w:rFonts w:ascii="Calibri" w:hAnsi="Calibri"/>
                <w:b w:val="0"/>
                <w:sz w:val="16"/>
              </w:rPr>
              <w:t>Highest per-message rates; country-specific</w:t>
            </w:r>
          </w:p>
        </w:tc>
      </w:tr>
      <w:tr>
        <w:tc>
          <w:tcPr>
            <w:tcW w:type="dxa" w:w="2016"/>
            <w:shd w:fill="F7FAFC"/>
          </w:tcPr>
          <w:p>
            <w:pPr>
              <w:spacing w:before="40" w:after="40"/>
            </w:pPr>
            <w:r/>
            <w:r>
              <w:rPr>
                <w:rFonts w:ascii="Calibri" w:hAnsi="Calibri"/>
                <w:b w:val="0"/>
                <w:sz w:val="16"/>
              </w:rPr>
              <w:t>Utility</w:t>
            </w:r>
          </w:p>
        </w:tc>
        <w:tc>
          <w:tcPr>
            <w:tcW w:type="dxa" w:w="3168"/>
            <w:shd w:fill="F7FAFC"/>
          </w:tcPr>
          <w:p>
            <w:pPr>
              <w:spacing w:before="40" w:after="40"/>
            </w:pPr>
            <w:r/>
            <w:r>
              <w:rPr>
                <w:rFonts w:ascii="Calibri" w:hAnsi="Calibri"/>
                <w:b w:val="0"/>
                <w:sz w:val="16"/>
              </w:rPr>
              <w:t>Appointment reminders, transactional updates</w:t>
            </w:r>
          </w:p>
        </w:tc>
        <w:tc>
          <w:tcPr>
            <w:tcW w:type="dxa" w:w="2160"/>
            <w:shd w:fill="F7FAFC"/>
          </w:tcPr>
          <w:p>
            <w:pPr>
              <w:spacing w:before="40" w:after="40"/>
            </w:pPr>
            <w:r/>
            <w:r>
              <w:rPr>
                <w:rFonts w:ascii="Calibri" w:hAnsi="Calibri"/>
                <w:b w:val="0"/>
                <w:sz w:val="16"/>
              </w:rPr>
              <w:t>Tenant</w:t>
            </w:r>
          </w:p>
        </w:tc>
        <w:tc>
          <w:tcPr>
            <w:tcW w:type="dxa" w:w="3456"/>
            <w:shd w:fill="F7FAFC"/>
          </w:tcPr>
          <w:p>
            <w:pPr>
              <w:spacing w:before="40" w:after="40"/>
            </w:pPr>
            <w:r/>
            <w:r>
              <w:rPr>
                <w:rFonts w:ascii="Calibri" w:hAnsi="Calibri"/>
                <w:b w:val="0"/>
                <w:sz w:val="16"/>
              </w:rPr>
              <w:t>Lower than marketing; volume tiers may apply</w:t>
            </w:r>
          </w:p>
        </w:tc>
      </w:tr>
      <w:tr>
        <w:tc>
          <w:tcPr>
            <w:tcW w:type="dxa" w:w="2016"/>
          </w:tcPr>
          <w:p>
            <w:pPr>
              <w:spacing w:before="40" w:after="40"/>
            </w:pPr>
            <w:r/>
            <w:r>
              <w:rPr>
                <w:rFonts w:ascii="Calibri" w:hAnsi="Calibri"/>
                <w:b w:val="0"/>
                <w:sz w:val="16"/>
              </w:rPr>
              <w:t>Authentication</w:t>
            </w:r>
          </w:p>
        </w:tc>
        <w:tc>
          <w:tcPr>
            <w:tcW w:type="dxa" w:w="3168"/>
          </w:tcPr>
          <w:p>
            <w:pPr>
              <w:spacing w:before="40" w:after="40"/>
            </w:pPr>
            <w:r/>
            <w:r>
              <w:rPr>
                <w:rFonts w:ascii="Calibri" w:hAnsi="Calibri"/>
                <w:b w:val="0"/>
                <w:sz w:val="16"/>
              </w:rPr>
              <w:t>OTP / verification</w:t>
            </w:r>
          </w:p>
        </w:tc>
        <w:tc>
          <w:tcPr>
            <w:tcW w:type="dxa" w:w="2160"/>
          </w:tcPr>
          <w:p>
            <w:pPr>
              <w:spacing w:before="40" w:after="40"/>
            </w:pPr>
            <w:r/>
            <w:r>
              <w:rPr>
                <w:rFonts w:ascii="Calibri" w:hAnsi="Calibri"/>
                <w:b w:val="0"/>
                <w:sz w:val="16"/>
              </w:rPr>
              <w:t>Tenant</w:t>
            </w:r>
          </w:p>
        </w:tc>
        <w:tc>
          <w:tcPr>
            <w:tcW w:type="dxa" w:w="3456"/>
          </w:tcPr>
          <w:p>
            <w:pPr>
              <w:spacing w:before="40" w:after="40"/>
            </w:pPr>
            <w:r/>
            <w:r>
              <w:rPr>
                <w:rFonts w:ascii="Calibri" w:hAnsi="Calibri"/>
                <w:b w:val="0"/>
                <w:sz w:val="16"/>
              </w:rPr>
              <w:t>Often similar to utility by market</w:t>
            </w:r>
          </w:p>
        </w:tc>
      </w:tr>
      <w:tr>
        <w:tc>
          <w:tcPr>
            <w:tcW w:type="dxa" w:w="2016"/>
            <w:shd w:fill="F7FAFC"/>
          </w:tcPr>
          <w:p>
            <w:pPr>
              <w:spacing w:before="40" w:after="40"/>
            </w:pPr>
            <w:r/>
            <w:r>
              <w:rPr>
                <w:rFonts w:ascii="Calibri" w:hAnsi="Calibri"/>
                <w:b w:val="0"/>
                <w:sz w:val="16"/>
              </w:rPr>
              <w:t>Service</w:t>
            </w:r>
          </w:p>
        </w:tc>
        <w:tc>
          <w:tcPr>
            <w:tcW w:type="dxa" w:w="3168"/>
            <w:shd w:fill="F7FAFC"/>
          </w:tcPr>
          <w:p>
            <w:pPr>
              <w:spacing w:before="40" w:after="40"/>
            </w:pPr>
            <w:r/>
            <w:r>
              <w:rPr>
                <w:rFonts w:ascii="Calibri" w:hAnsi="Calibri"/>
                <w:b w:val="0"/>
                <w:sz w:val="16"/>
              </w:rPr>
              <w:t>Replies inside customer-initiated 24h window</w:t>
            </w:r>
          </w:p>
        </w:tc>
        <w:tc>
          <w:tcPr>
            <w:tcW w:type="dxa" w:w="2160"/>
            <w:shd w:fill="F7FAFC"/>
          </w:tcPr>
          <w:p>
            <w:pPr>
              <w:spacing w:before="40" w:after="40"/>
            </w:pPr>
            <w:r/>
            <w:r>
              <w:rPr>
                <w:rFonts w:ascii="Calibri" w:hAnsi="Calibri"/>
                <w:b w:val="0"/>
                <w:sz w:val="16"/>
              </w:rPr>
              <w:t>Tenant / Meta policy</w:t>
            </w:r>
          </w:p>
        </w:tc>
        <w:tc>
          <w:tcPr>
            <w:tcW w:type="dxa" w:w="3456"/>
            <w:shd w:fill="F7FAFC"/>
          </w:tcPr>
          <w:p>
            <w:pPr>
              <w:spacing w:before="40" w:after="40"/>
            </w:pPr>
            <w:r/>
            <w:r>
              <w:rPr>
                <w:rFonts w:ascii="Calibri" w:hAnsi="Calibri"/>
                <w:b w:val="0"/>
                <w:sz w:val="16"/>
              </w:rPr>
              <w:t>Historically free in-window; Meta published further Oct 2026 changes — re-check rate card</w:t>
            </w:r>
          </w:p>
        </w:tc>
      </w:tr>
    </w:tbl>
    <w:p/>
    <w:p>
      <w:pPr>
        <w:spacing w:after="160"/>
      </w:pPr>
      <w:r>
        <w:rPr>
          <w:rFonts w:ascii="Calibri" w:hAnsi="Calibri"/>
          <w:b w:val="0"/>
          <w:color w:val="4A5568"/>
          <w:sz w:val="18"/>
        </w:rPr>
        <w:t>PandaCue acts as tech provider (Embedded Signup). Variable WhatsApp message cost should generally not be absorbed into unlimited plan allowances unless explicitly subsidized.</w:t>
      </w:r>
    </w:p>
    <w:p>
      <w:pPr>
        <w:pStyle w:val="Heading2"/>
      </w:pPr>
      <w:r>
        <w:rPr>
          <w:color w:val="1A365D"/>
        </w:rPr>
        <w:t>3.6 Cloudflare R2 — Storage COGS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92"/>
            <w:shd w:fill="1A365D"/>
          </w:tcPr>
          <w:p>
            <w:pPr>
              <w:spacing w:before="40" w:after="40"/>
              <w:jc w:val="center"/>
            </w:pPr>
            <w:r/>
            <w:r>
              <w:rPr>
                <w:rFonts w:ascii="Calibri" w:hAnsi="Calibri"/>
                <w:b/>
                <w:color w:val="FFFFFF"/>
                <w:sz w:val="18"/>
              </w:rPr>
              <w:t>Meter</w:t>
            </w:r>
          </w:p>
        </w:tc>
        <w:tc>
          <w:tcPr>
            <w:tcW w:type="dxa" w:w="2160"/>
            <w:shd w:fill="1A365D"/>
          </w:tcPr>
          <w:p>
            <w:pPr>
              <w:spacing w:before="40" w:after="40"/>
              <w:jc w:val="center"/>
            </w:pPr>
            <w:r/>
            <w:r>
              <w:rPr>
                <w:rFonts w:ascii="Calibri" w:hAnsi="Calibri"/>
                <w:b/>
                <w:color w:val="FFFFFF"/>
                <w:sz w:val="18"/>
              </w:rPr>
              <w:t>Free tier</w:t>
            </w:r>
          </w:p>
        </w:tc>
        <w:tc>
          <w:tcPr>
            <w:tcW w:type="dxa" w:w="2592"/>
            <w:shd w:fill="1A365D"/>
          </w:tcPr>
          <w:p>
            <w:pPr>
              <w:spacing w:before="40" w:after="40"/>
              <w:jc w:val="center"/>
            </w:pPr>
            <w:r/>
            <w:r>
              <w:rPr>
                <w:rFonts w:ascii="Calibri" w:hAnsi="Calibri"/>
                <w:b/>
                <w:color w:val="FFFFFF"/>
                <w:sz w:val="18"/>
              </w:rPr>
              <w:t>Paid rate</w:t>
            </w:r>
          </w:p>
        </w:tc>
        <w:tc>
          <w:tcPr>
            <w:tcW w:type="dxa" w:w="3456"/>
            <w:shd w:fill="1A365D"/>
          </w:tcPr>
          <w:p>
            <w:pPr>
              <w:spacing w:before="40" w:after="40"/>
              <w:jc w:val="center"/>
            </w:pPr>
            <w:r/>
            <w:r>
              <w:rPr>
                <w:rFonts w:ascii="Calibri" w:hAnsi="Calibri"/>
                <w:b/>
                <w:color w:val="FFFFFF"/>
                <w:sz w:val="18"/>
              </w:rPr>
              <w:t>App usage</w:t>
            </w:r>
          </w:p>
        </w:tc>
      </w:tr>
      <w:tr>
        <w:tc>
          <w:tcPr>
            <w:tcW w:type="dxa" w:w="2592"/>
          </w:tcPr>
          <w:p>
            <w:pPr>
              <w:spacing w:before="40" w:after="40"/>
            </w:pPr>
            <w:r/>
            <w:r>
              <w:rPr>
                <w:rFonts w:ascii="Calibri" w:hAnsi="Calibri"/>
                <w:b w:val="0"/>
                <w:sz w:val="16"/>
              </w:rPr>
              <w:t>Storage</w:t>
            </w:r>
          </w:p>
        </w:tc>
        <w:tc>
          <w:tcPr>
            <w:tcW w:type="dxa" w:w="2160"/>
          </w:tcPr>
          <w:p>
            <w:pPr>
              <w:spacing w:before="40" w:after="40"/>
            </w:pPr>
            <w:r/>
            <w:r>
              <w:rPr>
                <w:rFonts w:ascii="Calibri" w:hAnsi="Calibri"/>
                <w:b w:val="0"/>
                <w:sz w:val="16"/>
              </w:rPr>
              <w:t>10 GB-month</w:t>
            </w:r>
          </w:p>
        </w:tc>
        <w:tc>
          <w:tcPr>
            <w:tcW w:type="dxa" w:w="2592"/>
          </w:tcPr>
          <w:p>
            <w:pPr>
              <w:spacing w:before="40" w:after="40"/>
            </w:pPr>
            <w:r/>
            <w:r>
              <w:rPr>
                <w:rFonts w:ascii="Calibri" w:hAnsi="Calibri"/>
                <w:b w:val="0"/>
                <w:sz w:val="16"/>
              </w:rPr>
              <w:t>~$0.015 / GB-month</w:t>
            </w:r>
          </w:p>
        </w:tc>
        <w:tc>
          <w:tcPr>
            <w:tcW w:type="dxa" w:w="3456"/>
          </w:tcPr>
          <w:p>
            <w:pPr>
              <w:spacing w:before="40" w:after="40"/>
            </w:pPr>
            <w:r/>
            <w:r>
              <w:rPr>
                <w:rFonts w:ascii="Calibri" w:hAnsi="Calibri"/>
                <w:b w:val="0"/>
                <w:sz w:val="16"/>
              </w:rPr>
              <w:t>Assets, logos, social media files</w:t>
            </w:r>
          </w:p>
        </w:tc>
      </w:tr>
      <w:tr>
        <w:tc>
          <w:tcPr>
            <w:tcW w:type="dxa" w:w="2592"/>
            <w:shd w:fill="F7FAFC"/>
          </w:tcPr>
          <w:p>
            <w:pPr>
              <w:spacing w:before="40" w:after="40"/>
            </w:pPr>
            <w:r/>
            <w:r>
              <w:rPr>
                <w:rFonts w:ascii="Calibri" w:hAnsi="Calibri"/>
                <w:b w:val="0"/>
                <w:sz w:val="16"/>
              </w:rPr>
              <w:t>Class A (write/list)</w:t>
            </w:r>
          </w:p>
        </w:tc>
        <w:tc>
          <w:tcPr>
            <w:tcW w:type="dxa" w:w="2160"/>
            <w:shd w:fill="F7FAFC"/>
          </w:tcPr>
          <w:p>
            <w:pPr>
              <w:spacing w:before="40" w:after="40"/>
            </w:pPr>
            <w:r/>
            <w:r>
              <w:rPr>
                <w:rFonts w:ascii="Calibri" w:hAnsi="Calibri"/>
                <w:b w:val="0"/>
                <w:sz w:val="16"/>
              </w:rPr>
              <w:t>1M requests</w:t>
            </w:r>
          </w:p>
        </w:tc>
        <w:tc>
          <w:tcPr>
            <w:tcW w:type="dxa" w:w="2592"/>
            <w:shd w:fill="F7FAFC"/>
          </w:tcPr>
          <w:p>
            <w:pPr>
              <w:spacing w:before="40" w:after="40"/>
            </w:pPr>
            <w:r/>
            <w:r>
              <w:rPr>
                <w:rFonts w:ascii="Calibri" w:hAnsi="Calibri"/>
                <w:b w:val="0"/>
                <w:sz w:val="16"/>
              </w:rPr>
              <w:t>~$4.50 / million</w:t>
            </w:r>
          </w:p>
        </w:tc>
        <w:tc>
          <w:tcPr>
            <w:tcW w:type="dxa" w:w="3456"/>
            <w:shd w:fill="F7FAFC"/>
          </w:tcPr>
          <w:p>
            <w:pPr>
              <w:spacing w:before="40" w:after="40"/>
            </w:pPr>
            <w:r/>
            <w:r>
              <w:rPr>
                <w:rFonts w:ascii="Calibri" w:hAnsi="Calibri"/>
                <w:b w:val="0"/>
                <w:sz w:val="16"/>
              </w:rPr>
              <w:t>Uploads, listings</w:t>
            </w:r>
          </w:p>
        </w:tc>
      </w:tr>
      <w:tr>
        <w:tc>
          <w:tcPr>
            <w:tcW w:type="dxa" w:w="2592"/>
          </w:tcPr>
          <w:p>
            <w:pPr>
              <w:spacing w:before="40" w:after="40"/>
            </w:pPr>
            <w:r/>
            <w:r>
              <w:rPr>
                <w:rFonts w:ascii="Calibri" w:hAnsi="Calibri"/>
                <w:b w:val="0"/>
                <w:sz w:val="16"/>
              </w:rPr>
              <w:t>Class B (read)</w:t>
            </w:r>
          </w:p>
        </w:tc>
        <w:tc>
          <w:tcPr>
            <w:tcW w:type="dxa" w:w="2160"/>
          </w:tcPr>
          <w:p>
            <w:pPr>
              <w:spacing w:before="40" w:after="40"/>
            </w:pPr>
            <w:r/>
            <w:r>
              <w:rPr>
                <w:rFonts w:ascii="Calibri" w:hAnsi="Calibri"/>
                <w:b w:val="0"/>
                <w:sz w:val="16"/>
              </w:rPr>
              <w:t>10M requests</w:t>
            </w:r>
          </w:p>
        </w:tc>
        <w:tc>
          <w:tcPr>
            <w:tcW w:type="dxa" w:w="2592"/>
          </w:tcPr>
          <w:p>
            <w:pPr>
              <w:spacing w:before="40" w:after="40"/>
            </w:pPr>
            <w:r/>
            <w:r>
              <w:rPr>
                <w:rFonts w:ascii="Calibri" w:hAnsi="Calibri"/>
                <w:b w:val="0"/>
                <w:sz w:val="16"/>
              </w:rPr>
              <w:t>~$0.36 / million</w:t>
            </w:r>
          </w:p>
        </w:tc>
        <w:tc>
          <w:tcPr>
            <w:tcW w:type="dxa" w:w="3456"/>
          </w:tcPr>
          <w:p>
            <w:pPr>
              <w:spacing w:before="40" w:after="40"/>
            </w:pPr>
            <w:r/>
            <w:r>
              <w:rPr>
                <w:rFonts w:ascii="Calibri" w:hAnsi="Calibri"/>
                <w:b w:val="0"/>
                <w:sz w:val="16"/>
              </w:rPr>
              <w:t>Downloads, previews</w:t>
            </w:r>
          </w:p>
        </w:tc>
      </w:tr>
      <w:tr>
        <w:tc>
          <w:tcPr>
            <w:tcW w:type="dxa" w:w="2592"/>
            <w:shd w:fill="F7FAFC"/>
          </w:tcPr>
          <w:p>
            <w:pPr>
              <w:spacing w:before="40" w:after="40"/>
            </w:pPr>
            <w:r/>
            <w:r>
              <w:rPr>
                <w:rFonts w:ascii="Calibri" w:hAnsi="Calibri"/>
                <w:b w:val="0"/>
                <w:sz w:val="16"/>
              </w:rPr>
              <w:t>Egress</w:t>
            </w:r>
          </w:p>
        </w:tc>
        <w:tc>
          <w:tcPr>
            <w:tcW w:type="dxa" w:w="2160"/>
            <w:shd w:fill="F7FAFC"/>
          </w:tcPr>
          <w:p>
            <w:pPr>
              <w:spacing w:before="40" w:after="40"/>
            </w:pPr>
            <w:r/>
            <w:r>
              <w:rPr>
                <w:rFonts w:ascii="Calibri" w:hAnsi="Calibri"/>
                <w:b w:val="0"/>
                <w:sz w:val="16"/>
              </w:rPr>
              <w:t>Free</w:t>
            </w:r>
          </w:p>
        </w:tc>
        <w:tc>
          <w:tcPr>
            <w:tcW w:type="dxa" w:w="2592"/>
            <w:shd w:fill="F7FAFC"/>
          </w:tcPr>
          <w:p>
            <w:pPr>
              <w:spacing w:before="40" w:after="40"/>
            </w:pPr>
            <w:r/>
            <w:r>
              <w:rPr>
                <w:rFonts w:ascii="Calibri" w:hAnsi="Calibri"/>
                <w:b w:val="0"/>
                <w:sz w:val="16"/>
              </w:rPr>
              <w:t>Free</w:t>
            </w:r>
          </w:p>
        </w:tc>
        <w:tc>
          <w:tcPr>
            <w:tcW w:type="dxa" w:w="3456"/>
            <w:shd w:fill="F7FAFC"/>
          </w:tcPr>
          <w:p>
            <w:pPr>
              <w:spacing w:before="40" w:after="40"/>
            </w:pPr>
            <w:r/>
            <w:r>
              <w:rPr>
                <w:rFonts w:ascii="Calibri" w:hAnsi="Calibri"/>
                <w:b w:val="0"/>
                <w:sz w:val="16"/>
              </w:rPr>
              <w:t>Advantage vs classic S3 for CDN-facing media</w:t>
            </w:r>
          </w:p>
        </w:tc>
      </w:tr>
    </w:tbl>
    <w:p/>
    <w:p>
      <w:pPr>
        <w:pStyle w:val="Heading1"/>
      </w:pPr>
      <w:r>
        <w:rPr>
          <w:color w:val="1A365D"/>
        </w:rPr>
        <w:t>4. Type A — Free / Freemium / Non-Paying Dependencies</w:t>
      </w:r>
    </w:p>
    <w:p>
      <w:pPr>
        <w:spacing w:after="160"/>
      </w:pPr>
      <w:r>
        <w:rPr>
          <w:rFonts w:ascii="Calibri" w:hAnsi="Calibri"/>
          <w:b w:val="0"/>
          <w:color w:val="4A5568"/>
          <w:sz w:val="18"/>
        </w:rPr>
        <w:t>These do not create a direct per-unit vendor invoice like Twilio SMS, but some have paid upgrade paths (API plan tiers, Google Cloud quotas, LinkedIn partner programs). Treat “free” as no current platform COGS, not “forever free at any scale.”</w:t>
      </w:r>
    </w:p>
    <w:p>
      <w:pPr>
        <w:pStyle w:val="Heading2"/>
      </w:pPr>
      <w:r>
        <w:rPr>
          <w:color w:val="1A365D"/>
        </w:rPr>
        <w:t>4.1 External APIs &amp; OAuth (no direct usage invoice today)</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160"/>
            <w:shd w:fill="1A365D"/>
          </w:tcPr>
          <w:p>
            <w:pPr>
              <w:spacing w:before="40" w:after="40"/>
              <w:jc w:val="center"/>
            </w:pPr>
            <w:r/>
            <w:r>
              <w:rPr>
                <w:rFonts w:ascii="Calibri" w:hAnsi="Calibri"/>
                <w:b/>
                <w:color w:val="FFFFFF"/>
                <w:sz w:val="18"/>
              </w:rPr>
              <w:t>Service</w:t>
            </w:r>
          </w:p>
        </w:tc>
        <w:tc>
          <w:tcPr>
            <w:tcW w:type="dxa" w:w="3168"/>
            <w:shd w:fill="1A365D"/>
          </w:tcPr>
          <w:p>
            <w:pPr>
              <w:spacing w:before="40" w:after="40"/>
              <w:jc w:val="center"/>
            </w:pPr>
            <w:r/>
            <w:r>
              <w:rPr>
                <w:rFonts w:ascii="Calibri" w:hAnsi="Calibri"/>
                <w:b/>
                <w:color w:val="FFFFFF"/>
                <w:sz w:val="18"/>
              </w:rPr>
              <w:t>Purpose in PandaCue</w:t>
            </w:r>
          </w:p>
        </w:tc>
        <w:tc>
          <w:tcPr>
            <w:tcW w:type="dxa" w:w="2304"/>
            <w:shd w:fill="1A365D"/>
          </w:tcPr>
          <w:p>
            <w:pPr>
              <w:spacing w:before="40" w:after="40"/>
              <w:jc w:val="center"/>
            </w:pPr>
            <w:r/>
            <w:r>
              <w:rPr>
                <w:rFonts w:ascii="Calibri" w:hAnsi="Calibri"/>
                <w:b/>
                <w:color w:val="FFFFFF"/>
                <w:sz w:val="18"/>
              </w:rPr>
              <w:t>Cost model</w:t>
            </w:r>
          </w:p>
        </w:tc>
        <w:tc>
          <w:tcPr>
            <w:tcW w:type="dxa" w:w="2016"/>
            <w:shd w:fill="1A365D"/>
          </w:tcPr>
          <w:p>
            <w:pPr>
              <w:spacing w:before="40" w:after="40"/>
              <w:jc w:val="center"/>
            </w:pPr>
            <w:r/>
            <w:r>
              <w:rPr>
                <w:rFonts w:ascii="Calibri" w:hAnsi="Calibri"/>
                <w:b/>
                <w:color w:val="FFFFFF"/>
                <w:sz w:val="18"/>
              </w:rPr>
              <w:t>Bearer</w:t>
            </w:r>
          </w:p>
        </w:tc>
        <w:tc>
          <w:tcPr>
            <w:tcW w:type="dxa" w:w="2160"/>
            <w:shd w:fill="1A365D"/>
          </w:tcPr>
          <w:p>
            <w:pPr>
              <w:spacing w:before="40" w:after="40"/>
              <w:jc w:val="center"/>
            </w:pPr>
            <w:r/>
            <w:r>
              <w:rPr>
                <w:rFonts w:ascii="Calibri" w:hAnsi="Calibri"/>
                <w:b/>
                <w:color w:val="FFFFFF"/>
                <w:sz w:val="18"/>
              </w:rPr>
              <w:t>Enable / config</w:t>
            </w:r>
          </w:p>
        </w:tc>
      </w:tr>
      <w:tr>
        <w:tc>
          <w:tcPr>
            <w:tcW w:type="dxa" w:w="2160"/>
          </w:tcPr>
          <w:p>
            <w:pPr>
              <w:spacing w:before="40" w:after="40"/>
            </w:pPr>
            <w:r/>
            <w:r>
              <w:rPr>
                <w:rFonts w:ascii="Calibri" w:hAnsi="Calibri"/>
                <w:b w:val="0"/>
                <w:sz w:val="16"/>
              </w:rPr>
              <w:t>Google OAuth APIs</w:t>
            </w:r>
          </w:p>
        </w:tc>
        <w:tc>
          <w:tcPr>
            <w:tcW w:type="dxa" w:w="3168"/>
          </w:tcPr>
          <w:p>
            <w:pPr>
              <w:spacing w:before="40" w:after="40"/>
            </w:pPr>
            <w:r/>
            <w:r>
              <w:rPr>
                <w:rFonts w:ascii="Calibri" w:hAnsi="Calibri"/>
                <w:b w:val="0"/>
                <w:sz w:val="16"/>
              </w:rPr>
              <w:t>Calendar sync, Business Profile, YouTube publish/comments, Lead Ads scopes</w:t>
            </w:r>
          </w:p>
        </w:tc>
        <w:tc>
          <w:tcPr>
            <w:tcW w:type="dxa" w:w="2304"/>
          </w:tcPr>
          <w:p>
            <w:pPr>
              <w:spacing w:before="40" w:after="40"/>
            </w:pPr>
            <w:r/>
            <w:r>
              <w:rPr>
                <w:rFonts w:ascii="Calibri" w:hAnsi="Calibri"/>
                <w:b w:val="0"/>
                <w:sz w:val="16"/>
              </w:rPr>
              <w:t>Free within Google Cloud quotas; Ads API needs approval</w:t>
            </w:r>
          </w:p>
        </w:tc>
        <w:tc>
          <w:tcPr>
            <w:tcW w:type="dxa" w:w="2016"/>
          </w:tcPr>
          <w:p>
            <w:pPr>
              <w:spacing w:before="40" w:after="40"/>
            </w:pPr>
            <w:r/>
            <w:r>
              <w:rPr>
                <w:rFonts w:ascii="Calibri" w:hAnsi="Calibri"/>
                <w:b w:val="0"/>
                <w:sz w:val="16"/>
              </w:rPr>
              <w:t>Platform app + Tenant Google accounts</w:t>
            </w:r>
          </w:p>
        </w:tc>
        <w:tc>
          <w:tcPr>
            <w:tcW w:type="dxa" w:w="2160"/>
          </w:tcPr>
          <w:p>
            <w:pPr>
              <w:spacing w:before="40" w:after="40"/>
            </w:pPr>
            <w:r/>
            <w:r>
              <w:rPr>
                <w:rFonts w:ascii="Calibri" w:hAnsi="Calibri"/>
                <w:b w:val="0"/>
                <w:sz w:val="16"/>
              </w:rPr>
              <w:t>GOOGLE_OAUTH_ENABLED</w:t>
            </w:r>
          </w:p>
        </w:tc>
      </w:tr>
      <w:tr>
        <w:tc>
          <w:tcPr>
            <w:tcW w:type="dxa" w:w="2160"/>
            <w:shd w:fill="F7FAFC"/>
          </w:tcPr>
          <w:p>
            <w:pPr>
              <w:spacing w:before="40" w:after="40"/>
            </w:pPr>
            <w:r/>
            <w:r>
              <w:rPr>
                <w:rFonts w:ascii="Calibri" w:hAnsi="Calibri"/>
                <w:b w:val="0"/>
                <w:sz w:val="16"/>
              </w:rPr>
              <w:t>Meta Graph (FB/IG non-messaging)</w:t>
            </w:r>
          </w:p>
        </w:tc>
        <w:tc>
          <w:tcPr>
            <w:tcW w:type="dxa" w:w="3168"/>
            <w:shd w:fill="F7FAFC"/>
          </w:tcPr>
          <w:p>
            <w:pPr>
              <w:spacing w:before="40" w:after="40"/>
            </w:pPr>
            <w:r/>
            <w:r>
              <w:rPr>
                <w:rFonts w:ascii="Calibri" w:hAnsi="Calibri"/>
                <w:b w:val="0"/>
                <w:sz w:val="16"/>
              </w:rPr>
              <w:t>Social planner posts, comments, Page connect</w:t>
            </w:r>
          </w:p>
        </w:tc>
        <w:tc>
          <w:tcPr>
            <w:tcW w:type="dxa" w:w="2304"/>
            <w:shd w:fill="F7FAFC"/>
          </w:tcPr>
          <w:p>
            <w:pPr>
              <w:spacing w:before="40" w:after="40"/>
            </w:pPr>
            <w:r/>
            <w:r>
              <w:rPr>
                <w:rFonts w:ascii="Calibri" w:hAnsi="Calibri"/>
                <w:b w:val="0"/>
                <w:sz w:val="16"/>
              </w:rPr>
              <w:t>Quota / App Review based</w:t>
            </w:r>
          </w:p>
        </w:tc>
        <w:tc>
          <w:tcPr>
            <w:tcW w:type="dxa" w:w="2016"/>
            <w:shd w:fill="F7FAFC"/>
          </w:tcPr>
          <w:p>
            <w:pPr>
              <w:spacing w:before="40" w:after="40"/>
            </w:pPr>
            <w:r/>
            <w:r>
              <w:rPr>
                <w:rFonts w:ascii="Calibri" w:hAnsi="Calibri"/>
                <w:b w:val="0"/>
                <w:sz w:val="16"/>
              </w:rPr>
              <w:t>Platform Meta app + Tenant Pages</w:t>
            </w:r>
          </w:p>
        </w:tc>
        <w:tc>
          <w:tcPr>
            <w:tcW w:type="dxa" w:w="2160"/>
            <w:shd w:fill="F7FAFC"/>
          </w:tcPr>
          <w:p>
            <w:pPr>
              <w:spacing w:before="40" w:after="40"/>
            </w:pPr>
            <w:r/>
            <w:r>
              <w:rPr>
                <w:rFonts w:ascii="Calibri" w:hAnsi="Calibri"/>
                <w:b w:val="0"/>
                <w:sz w:val="16"/>
              </w:rPr>
              <w:t>META_OAUTH_ENABLED</w:t>
            </w:r>
          </w:p>
        </w:tc>
      </w:tr>
      <w:tr>
        <w:tc>
          <w:tcPr>
            <w:tcW w:type="dxa" w:w="2160"/>
          </w:tcPr>
          <w:p>
            <w:pPr>
              <w:spacing w:before="40" w:after="40"/>
            </w:pPr>
            <w:r/>
            <w:r>
              <w:rPr>
                <w:rFonts w:ascii="Calibri" w:hAnsi="Calibri"/>
                <w:b w:val="0"/>
                <w:sz w:val="16"/>
              </w:rPr>
              <w:t>LinkedIn</w:t>
            </w:r>
          </w:p>
        </w:tc>
        <w:tc>
          <w:tcPr>
            <w:tcW w:type="dxa" w:w="3168"/>
          </w:tcPr>
          <w:p>
            <w:pPr>
              <w:spacing w:before="40" w:after="40"/>
            </w:pPr>
            <w:r/>
            <w:r>
              <w:rPr>
                <w:rFonts w:ascii="Calibri" w:hAnsi="Calibri"/>
                <w:b w:val="0"/>
                <w:sz w:val="16"/>
              </w:rPr>
              <w:t>Company page OAuth; Social Planner UGC</w:t>
            </w:r>
          </w:p>
        </w:tc>
        <w:tc>
          <w:tcPr>
            <w:tcW w:type="dxa" w:w="2304"/>
          </w:tcPr>
          <w:p>
            <w:pPr>
              <w:spacing w:before="40" w:after="40"/>
            </w:pPr>
            <w:r/>
            <w:r>
              <w:rPr>
                <w:rFonts w:ascii="Calibri" w:hAnsi="Calibri"/>
                <w:b w:val="0"/>
                <w:sz w:val="16"/>
              </w:rPr>
              <w:t>Free within partner/app limits</w:t>
            </w:r>
          </w:p>
        </w:tc>
        <w:tc>
          <w:tcPr>
            <w:tcW w:type="dxa" w:w="2016"/>
          </w:tcPr>
          <w:p>
            <w:pPr>
              <w:spacing w:before="40" w:after="40"/>
            </w:pPr>
            <w:r/>
            <w:r>
              <w:rPr>
                <w:rFonts w:ascii="Calibri" w:hAnsi="Calibri"/>
                <w:b w:val="0"/>
                <w:sz w:val="16"/>
              </w:rPr>
              <w:t>Platform + Tenant</w:t>
            </w:r>
          </w:p>
        </w:tc>
        <w:tc>
          <w:tcPr>
            <w:tcW w:type="dxa" w:w="2160"/>
          </w:tcPr>
          <w:p>
            <w:pPr>
              <w:spacing w:before="40" w:after="40"/>
            </w:pPr>
            <w:r/>
            <w:r>
              <w:rPr>
                <w:rFonts w:ascii="Calibri" w:hAnsi="Calibri"/>
                <w:b w:val="0"/>
                <w:sz w:val="16"/>
              </w:rPr>
              <w:t>LINKEDIN_OAUTH_ENABLED</w:t>
            </w:r>
          </w:p>
        </w:tc>
      </w:tr>
      <w:tr>
        <w:tc>
          <w:tcPr>
            <w:tcW w:type="dxa" w:w="2160"/>
            <w:shd w:fill="F7FAFC"/>
          </w:tcPr>
          <w:p>
            <w:pPr>
              <w:spacing w:before="40" w:after="40"/>
            </w:pPr>
            <w:r/>
            <w:r>
              <w:rPr>
                <w:rFonts w:ascii="Calibri" w:hAnsi="Calibri"/>
                <w:b w:val="0"/>
                <w:sz w:val="16"/>
              </w:rPr>
              <w:t>Pinterest</w:t>
            </w:r>
          </w:p>
        </w:tc>
        <w:tc>
          <w:tcPr>
            <w:tcW w:type="dxa" w:w="3168"/>
            <w:shd w:fill="F7FAFC"/>
          </w:tcPr>
          <w:p>
            <w:pPr>
              <w:spacing w:before="40" w:after="40"/>
            </w:pPr>
            <w:r/>
            <w:r>
              <w:rPr>
                <w:rFonts w:ascii="Calibri" w:hAnsi="Calibri"/>
                <w:b w:val="0"/>
                <w:sz w:val="16"/>
              </w:rPr>
              <w:t>OAuth; schedule pins</w:t>
            </w:r>
          </w:p>
        </w:tc>
        <w:tc>
          <w:tcPr>
            <w:tcW w:type="dxa" w:w="2304"/>
            <w:shd w:fill="F7FAFC"/>
          </w:tcPr>
          <w:p>
            <w:pPr>
              <w:spacing w:before="40" w:after="40"/>
            </w:pPr>
            <w:r/>
            <w:r>
              <w:rPr>
                <w:rFonts w:ascii="Calibri" w:hAnsi="Calibri"/>
                <w:b w:val="0"/>
                <w:sz w:val="16"/>
              </w:rPr>
              <w:t>Freemium / sandbox vs prod</w:t>
            </w:r>
          </w:p>
        </w:tc>
        <w:tc>
          <w:tcPr>
            <w:tcW w:type="dxa" w:w="2016"/>
            <w:shd w:fill="F7FAFC"/>
          </w:tcPr>
          <w:p>
            <w:pPr>
              <w:spacing w:before="40" w:after="40"/>
            </w:pPr>
            <w:r/>
            <w:r>
              <w:rPr>
                <w:rFonts w:ascii="Calibri" w:hAnsi="Calibri"/>
                <w:b w:val="0"/>
                <w:sz w:val="16"/>
              </w:rPr>
              <w:t>Platform + Tenant</w:t>
            </w:r>
          </w:p>
        </w:tc>
        <w:tc>
          <w:tcPr>
            <w:tcW w:type="dxa" w:w="2160"/>
            <w:shd w:fill="F7FAFC"/>
          </w:tcPr>
          <w:p>
            <w:pPr>
              <w:spacing w:before="40" w:after="40"/>
            </w:pPr>
            <w:r/>
            <w:r>
              <w:rPr>
                <w:rFonts w:ascii="Calibri" w:hAnsi="Calibri"/>
                <w:b w:val="0"/>
                <w:sz w:val="16"/>
              </w:rPr>
              <w:t>PINTEREST_OAUTH_*; PINTEREST_API_USE_SANDBOX</w:t>
            </w:r>
          </w:p>
        </w:tc>
      </w:tr>
      <w:tr>
        <w:tc>
          <w:tcPr>
            <w:tcW w:type="dxa" w:w="2160"/>
          </w:tcPr>
          <w:p>
            <w:pPr>
              <w:spacing w:before="40" w:after="40"/>
            </w:pPr>
            <w:r/>
            <w:r>
              <w:rPr>
                <w:rFonts w:ascii="Calibri" w:hAnsi="Calibri"/>
                <w:b w:val="0"/>
                <w:sz w:val="16"/>
              </w:rPr>
              <w:t>TikTok</w:t>
            </w:r>
          </w:p>
        </w:tc>
        <w:tc>
          <w:tcPr>
            <w:tcW w:type="dxa" w:w="3168"/>
          </w:tcPr>
          <w:p>
            <w:pPr>
              <w:spacing w:before="40" w:after="40"/>
            </w:pPr>
            <w:r/>
            <w:r>
              <w:rPr>
                <w:rFonts w:ascii="Calibri" w:hAnsi="Calibri"/>
                <w:b w:val="0"/>
                <w:sz w:val="16"/>
              </w:rPr>
              <w:t>Login Kit + Content Posting</w:t>
            </w:r>
          </w:p>
        </w:tc>
        <w:tc>
          <w:tcPr>
            <w:tcW w:type="dxa" w:w="2304"/>
          </w:tcPr>
          <w:p>
            <w:pPr>
              <w:spacing w:before="40" w:after="40"/>
            </w:pPr>
            <w:r/>
            <w:r>
              <w:rPr>
                <w:rFonts w:ascii="Calibri" w:hAnsi="Calibri"/>
                <w:b w:val="0"/>
                <w:sz w:val="16"/>
              </w:rPr>
              <w:t>Freemium with app review</w:t>
            </w:r>
          </w:p>
        </w:tc>
        <w:tc>
          <w:tcPr>
            <w:tcW w:type="dxa" w:w="2016"/>
          </w:tcPr>
          <w:p>
            <w:pPr>
              <w:spacing w:before="40" w:after="40"/>
            </w:pPr>
            <w:r/>
            <w:r>
              <w:rPr>
                <w:rFonts w:ascii="Calibri" w:hAnsi="Calibri"/>
                <w:b w:val="0"/>
                <w:sz w:val="16"/>
              </w:rPr>
              <w:t>Platform + Tenant (+ R2 for media)</w:t>
            </w:r>
          </w:p>
        </w:tc>
        <w:tc>
          <w:tcPr>
            <w:tcW w:type="dxa" w:w="2160"/>
          </w:tcPr>
          <w:p>
            <w:pPr>
              <w:spacing w:before="40" w:after="40"/>
            </w:pPr>
            <w:r/>
            <w:r>
              <w:rPr>
                <w:rFonts w:ascii="Calibri" w:hAnsi="Calibri"/>
                <w:b w:val="0"/>
                <w:sz w:val="16"/>
              </w:rPr>
              <w:t>TIKTOK_OAUTH_*</w:t>
            </w:r>
          </w:p>
        </w:tc>
      </w:tr>
      <w:tr>
        <w:tc>
          <w:tcPr>
            <w:tcW w:type="dxa" w:w="2160"/>
            <w:shd w:fill="F7FAFC"/>
          </w:tcPr>
          <w:p>
            <w:pPr>
              <w:spacing w:before="40" w:after="40"/>
            </w:pPr>
            <w:r/>
            <w:r>
              <w:rPr>
                <w:rFonts w:ascii="Calibri" w:hAnsi="Calibri"/>
                <w:b w:val="0"/>
                <w:sz w:val="16"/>
              </w:rPr>
              <w:t>Google Meet / Zoom</w:t>
            </w:r>
          </w:p>
        </w:tc>
        <w:tc>
          <w:tcPr>
            <w:tcW w:type="dxa" w:w="3168"/>
            <w:shd w:fill="F7FAFC"/>
          </w:tcPr>
          <w:p>
            <w:pPr>
              <w:spacing w:before="40" w:after="40"/>
            </w:pPr>
            <w:r/>
            <w:r>
              <w:rPr>
                <w:rFonts w:ascii="Calibri" w:hAnsi="Calibri"/>
                <w:b w:val="0"/>
                <w:sz w:val="16"/>
              </w:rPr>
              <w:t>Appointment location enums only</w:t>
            </w:r>
          </w:p>
        </w:tc>
        <w:tc>
          <w:tcPr>
            <w:tcW w:type="dxa" w:w="2304"/>
            <w:shd w:fill="F7FAFC"/>
          </w:tcPr>
          <w:p>
            <w:pPr>
              <w:spacing w:before="40" w:after="40"/>
            </w:pPr>
            <w:r/>
            <w:r>
              <w:rPr>
                <w:rFonts w:ascii="Calibri" w:hAnsi="Calibri"/>
                <w:b w:val="0"/>
                <w:sz w:val="16"/>
              </w:rPr>
              <w:t>No API integration found</w:t>
            </w:r>
          </w:p>
        </w:tc>
        <w:tc>
          <w:tcPr>
            <w:tcW w:type="dxa" w:w="2016"/>
            <w:shd w:fill="F7FAFC"/>
          </w:tcPr>
          <w:p>
            <w:pPr>
              <w:spacing w:before="40" w:after="40"/>
            </w:pPr>
            <w:r/>
            <w:r>
              <w:rPr>
                <w:rFonts w:ascii="Calibri" w:hAnsi="Calibri"/>
                <w:b w:val="0"/>
                <w:sz w:val="16"/>
              </w:rPr>
              <w:t>N/A</w:t>
            </w:r>
          </w:p>
        </w:tc>
        <w:tc>
          <w:tcPr>
            <w:tcW w:type="dxa" w:w="2160"/>
            <w:shd w:fill="F7FAFC"/>
          </w:tcPr>
          <w:p>
            <w:pPr>
              <w:spacing w:before="40" w:after="40"/>
            </w:pPr>
            <w:r/>
            <w:r>
              <w:rPr>
                <w:rFonts w:ascii="Calibri" w:hAnsi="Calibri"/>
                <w:b w:val="0"/>
                <w:sz w:val="16"/>
              </w:rPr>
              <w:t>Not integrated</w:t>
            </w:r>
          </w:p>
        </w:tc>
      </w:tr>
    </w:tbl>
    <w:p/>
    <w:p>
      <w:pPr>
        <w:pStyle w:val="Heading2"/>
      </w:pPr>
      <w:r>
        <w:rPr>
          <w:color w:val="1A365D"/>
        </w:rPr>
        <w:t>4.2 Open-Source Runtime Libraries (npm) — No Per-Tenant License Fees</w:t>
      </w:r>
    </w:p>
    <w:p>
      <w:pPr>
        <w:spacing w:after="160"/>
      </w:pPr>
      <w:r>
        <w:rPr>
          <w:rFonts w:ascii="Calibri" w:hAnsi="Calibri"/>
          <w:b w:val="0"/>
          <w:color w:val="4A5568"/>
          <w:sz w:val="18"/>
        </w:rPr>
        <w:t>Backend: 45 production dependencies + 32 devDependencies. Frontend: 35 production + 18 devDependencies. These are MIT/Apache/BSD-style open packages. They do not create vendor invoices, but they do create maintenance/security work.</w:t>
      </w:r>
    </w:p>
    <w:tbl>
      <w:tblPr>
        <w:tblStyle w:val="TableGrid"/>
        <w:tblW w:type="auto" w:w="0"/>
        <w:jc w:val="center"/>
        <w:tblLook w:firstColumn="1" w:firstRow="1" w:lastColumn="0" w:lastRow="0" w:noHBand="0" w:noVBand="1" w:val="04A0"/>
      </w:tblPr>
      <w:tblGrid>
        <w:gridCol w:w="3400"/>
        <w:gridCol w:w="3400"/>
        <w:gridCol w:w="3400"/>
      </w:tblGrid>
      <w:tr>
        <w:tc>
          <w:tcPr>
            <w:tcW w:type="dxa" w:w="2304"/>
            <w:shd w:fill="1A365D"/>
          </w:tcPr>
          <w:p>
            <w:pPr>
              <w:spacing w:before="40" w:after="40"/>
              <w:jc w:val="center"/>
            </w:pPr>
            <w:r/>
            <w:r>
              <w:rPr>
                <w:rFonts w:ascii="Calibri" w:hAnsi="Calibri"/>
                <w:b/>
                <w:color w:val="FFFFFF"/>
                <w:sz w:val="18"/>
              </w:rPr>
              <w:t>Area</w:t>
            </w:r>
          </w:p>
        </w:tc>
        <w:tc>
          <w:tcPr>
            <w:tcW w:type="dxa" w:w="4608"/>
            <w:shd w:fill="1A365D"/>
          </w:tcPr>
          <w:p>
            <w:pPr>
              <w:spacing w:before="40" w:after="40"/>
              <w:jc w:val="center"/>
            </w:pPr>
            <w:r/>
            <w:r>
              <w:rPr>
                <w:rFonts w:ascii="Calibri" w:hAnsi="Calibri"/>
                <w:b/>
                <w:color w:val="FFFFFF"/>
                <w:sz w:val="18"/>
              </w:rPr>
              <w:t>Key packages</w:t>
            </w:r>
          </w:p>
        </w:tc>
        <w:tc>
          <w:tcPr>
            <w:tcW w:type="dxa" w:w="3600"/>
            <w:shd w:fill="1A365D"/>
          </w:tcPr>
          <w:p>
            <w:pPr>
              <w:spacing w:before="40" w:after="40"/>
              <w:jc w:val="center"/>
            </w:pPr>
            <w:r/>
            <w:r>
              <w:rPr>
                <w:rFonts w:ascii="Calibri" w:hAnsi="Calibri"/>
                <w:b/>
                <w:color w:val="FFFFFF"/>
                <w:sz w:val="18"/>
              </w:rPr>
              <w:t>Role</w:t>
            </w:r>
          </w:p>
        </w:tc>
      </w:tr>
      <w:tr>
        <w:tc>
          <w:tcPr>
            <w:tcW w:type="dxa" w:w="2304"/>
          </w:tcPr>
          <w:p>
            <w:pPr>
              <w:spacing w:before="40" w:after="40"/>
            </w:pPr>
            <w:r/>
            <w:r>
              <w:rPr>
                <w:rFonts w:ascii="Calibri" w:hAnsi="Calibri"/>
                <w:b w:val="0"/>
                <w:sz w:val="16"/>
              </w:rPr>
              <w:t>Backend framework</w:t>
            </w:r>
          </w:p>
        </w:tc>
        <w:tc>
          <w:tcPr>
            <w:tcW w:type="dxa" w:w="4608"/>
          </w:tcPr>
          <w:p>
            <w:pPr>
              <w:spacing w:before="40" w:after="40"/>
            </w:pPr>
            <w:r/>
            <w:r>
              <w:rPr>
                <w:rFonts w:ascii="Calibri" w:hAnsi="Calibri"/>
                <w:b w:val="0"/>
                <w:sz w:val="16"/>
              </w:rPr>
              <w:t>NestJS 11, Express, RxJS, Zod, Joi, class-validator</w:t>
            </w:r>
          </w:p>
        </w:tc>
        <w:tc>
          <w:tcPr>
            <w:tcW w:type="dxa" w:w="3600"/>
          </w:tcPr>
          <w:p>
            <w:pPr>
              <w:spacing w:before="40" w:after="40"/>
            </w:pPr>
            <w:r/>
            <w:r>
              <w:rPr>
                <w:rFonts w:ascii="Calibri" w:hAnsi="Calibri"/>
                <w:b w:val="0"/>
                <w:sz w:val="16"/>
              </w:rPr>
              <w:t>API / workers / validation</w:t>
            </w:r>
          </w:p>
        </w:tc>
      </w:tr>
      <w:tr>
        <w:tc>
          <w:tcPr>
            <w:tcW w:type="dxa" w:w="2304"/>
            <w:shd w:fill="F7FAFC"/>
          </w:tcPr>
          <w:p>
            <w:pPr>
              <w:spacing w:before="40" w:after="40"/>
            </w:pPr>
            <w:r/>
            <w:r>
              <w:rPr>
                <w:rFonts w:ascii="Calibri" w:hAnsi="Calibri"/>
                <w:b w:val="0"/>
                <w:sz w:val="16"/>
              </w:rPr>
              <w:t>Data</w:t>
            </w:r>
          </w:p>
        </w:tc>
        <w:tc>
          <w:tcPr>
            <w:tcW w:type="dxa" w:w="4608"/>
            <w:shd w:fill="F7FAFC"/>
          </w:tcPr>
          <w:p>
            <w:pPr>
              <w:spacing w:before="40" w:after="40"/>
            </w:pPr>
            <w:r/>
            <w:r>
              <w:rPr>
                <w:rFonts w:ascii="Calibri" w:hAnsi="Calibri"/>
                <w:b w:val="0"/>
                <w:sz w:val="16"/>
              </w:rPr>
              <w:t>Prisma, pg, @prisma/adapter-pg</w:t>
            </w:r>
          </w:p>
        </w:tc>
        <w:tc>
          <w:tcPr>
            <w:tcW w:type="dxa" w:w="3600"/>
            <w:shd w:fill="F7FAFC"/>
          </w:tcPr>
          <w:p>
            <w:pPr>
              <w:spacing w:before="40" w:after="40"/>
            </w:pPr>
            <w:r/>
            <w:r>
              <w:rPr>
                <w:rFonts w:ascii="Calibri" w:hAnsi="Calibri"/>
                <w:b w:val="0"/>
                <w:sz w:val="16"/>
              </w:rPr>
              <w:t>PostgreSQL ORM</w:t>
            </w:r>
          </w:p>
        </w:tc>
      </w:tr>
      <w:tr>
        <w:tc>
          <w:tcPr>
            <w:tcW w:type="dxa" w:w="2304"/>
          </w:tcPr>
          <w:p>
            <w:pPr>
              <w:spacing w:before="40" w:after="40"/>
            </w:pPr>
            <w:r/>
            <w:r>
              <w:rPr>
                <w:rFonts w:ascii="Calibri" w:hAnsi="Calibri"/>
                <w:b w:val="0"/>
                <w:sz w:val="16"/>
              </w:rPr>
              <w:t>Queues / cache</w:t>
            </w:r>
          </w:p>
        </w:tc>
        <w:tc>
          <w:tcPr>
            <w:tcW w:type="dxa" w:w="4608"/>
          </w:tcPr>
          <w:p>
            <w:pPr>
              <w:spacing w:before="40" w:after="40"/>
            </w:pPr>
            <w:r/>
            <w:r>
              <w:rPr>
                <w:rFonts w:ascii="Calibri" w:hAnsi="Calibri"/>
                <w:b w:val="0"/>
                <w:sz w:val="16"/>
              </w:rPr>
              <w:t>BullMQ, ioredis, @socket.io/redis-adapter</w:t>
            </w:r>
          </w:p>
        </w:tc>
        <w:tc>
          <w:tcPr>
            <w:tcW w:type="dxa" w:w="3600"/>
          </w:tcPr>
          <w:p>
            <w:pPr>
              <w:spacing w:before="40" w:after="40"/>
            </w:pPr>
            <w:r/>
            <w:r>
              <w:rPr>
                <w:rFonts w:ascii="Calibri" w:hAnsi="Calibri"/>
                <w:b w:val="0"/>
                <w:sz w:val="16"/>
              </w:rPr>
              <w:t>Jobs, realtime fan-out</w:t>
            </w:r>
          </w:p>
        </w:tc>
      </w:tr>
      <w:tr>
        <w:tc>
          <w:tcPr>
            <w:tcW w:type="dxa" w:w="2304"/>
            <w:shd w:fill="F7FAFC"/>
          </w:tcPr>
          <w:p>
            <w:pPr>
              <w:spacing w:before="40" w:after="40"/>
            </w:pPr>
            <w:r/>
            <w:r>
              <w:rPr>
                <w:rFonts w:ascii="Calibri" w:hAnsi="Calibri"/>
                <w:b w:val="0"/>
                <w:sz w:val="16"/>
              </w:rPr>
              <w:t>Auth</w:t>
            </w:r>
          </w:p>
        </w:tc>
        <w:tc>
          <w:tcPr>
            <w:tcW w:type="dxa" w:w="4608"/>
            <w:shd w:fill="F7FAFC"/>
          </w:tcPr>
          <w:p>
            <w:pPr>
              <w:spacing w:before="40" w:after="40"/>
            </w:pPr>
            <w:r/>
            <w:r>
              <w:rPr>
                <w:rFonts w:ascii="Calibri" w:hAnsi="Calibri"/>
                <w:b w:val="0"/>
                <w:sz w:val="16"/>
              </w:rPr>
              <w:t>passport, passport-jwt, bcrypt, @nestjs/jwt</w:t>
            </w:r>
          </w:p>
        </w:tc>
        <w:tc>
          <w:tcPr>
            <w:tcW w:type="dxa" w:w="3600"/>
            <w:shd w:fill="F7FAFC"/>
          </w:tcPr>
          <w:p>
            <w:pPr>
              <w:spacing w:before="40" w:after="40"/>
            </w:pPr>
            <w:r/>
            <w:r>
              <w:rPr>
                <w:rFonts w:ascii="Calibri" w:hAnsi="Calibri"/>
                <w:b w:val="0"/>
                <w:sz w:val="16"/>
              </w:rPr>
              <w:t>JWT sessions</w:t>
            </w:r>
          </w:p>
        </w:tc>
      </w:tr>
      <w:tr>
        <w:tc>
          <w:tcPr>
            <w:tcW w:type="dxa" w:w="2304"/>
          </w:tcPr>
          <w:p>
            <w:pPr>
              <w:spacing w:before="40" w:after="40"/>
            </w:pPr>
            <w:r/>
            <w:r>
              <w:rPr>
                <w:rFonts w:ascii="Calibri" w:hAnsi="Calibri"/>
                <w:b w:val="0"/>
                <w:sz w:val="16"/>
              </w:rPr>
              <w:t>Paid SDK wrappers</w:t>
            </w:r>
          </w:p>
        </w:tc>
        <w:tc>
          <w:tcPr>
            <w:tcW w:type="dxa" w:w="4608"/>
          </w:tcPr>
          <w:p>
            <w:pPr>
              <w:spacing w:before="40" w:after="40"/>
            </w:pPr>
            <w:r/>
            <w:r>
              <w:rPr>
                <w:rFonts w:ascii="Calibri" w:hAnsi="Calibri"/>
                <w:b w:val="0"/>
                <w:sz w:val="16"/>
              </w:rPr>
              <w:t>twilio, stripe, resend, svix, @aws-sdk/client-s3</w:t>
            </w:r>
          </w:p>
        </w:tc>
        <w:tc>
          <w:tcPr>
            <w:tcW w:type="dxa" w:w="3600"/>
          </w:tcPr>
          <w:p>
            <w:pPr>
              <w:spacing w:before="40" w:after="40"/>
            </w:pPr>
            <w:r/>
            <w:r>
              <w:rPr>
                <w:rFonts w:ascii="Calibri" w:hAnsi="Calibri"/>
                <w:b w:val="0"/>
                <w:sz w:val="16"/>
              </w:rPr>
              <w:t>Clients for Type B services</w:t>
            </w:r>
          </w:p>
        </w:tc>
      </w:tr>
      <w:tr>
        <w:tc>
          <w:tcPr>
            <w:tcW w:type="dxa" w:w="2304"/>
            <w:shd w:fill="F7FAFC"/>
          </w:tcPr>
          <w:p>
            <w:pPr>
              <w:spacing w:before="40" w:after="40"/>
            </w:pPr>
            <w:r/>
            <w:r>
              <w:rPr>
                <w:rFonts w:ascii="Calibri" w:hAnsi="Calibri"/>
                <w:b w:val="0"/>
                <w:sz w:val="16"/>
              </w:rPr>
              <w:t>Docs / files</w:t>
            </w:r>
          </w:p>
        </w:tc>
        <w:tc>
          <w:tcPr>
            <w:tcW w:type="dxa" w:w="4608"/>
            <w:shd w:fill="F7FAFC"/>
          </w:tcPr>
          <w:p>
            <w:pPr>
              <w:spacing w:before="40" w:after="40"/>
            </w:pPr>
            <w:r/>
            <w:r>
              <w:rPr>
                <w:rFonts w:ascii="Calibri" w:hAnsi="Calibri"/>
                <w:b w:val="0"/>
                <w:sz w:val="16"/>
              </w:rPr>
              <w:t>exceljs, pdfkit, csv-parse, sharp</w:t>
            </w:r>
          </w:p>
        </w:tc>
        <w:tc>
          <w:tcPr>
            <w:tcW w:type="dxa" w:w="3600"/>
            <w:shd w:fill="F7FAFC"/>
          </w:tcPr>
          <w:p>
            <w:pPr>
              <w:spacing w:before="40" w:after="40"/>
            </w:pPr>
            <w:r/>
            <w:r>
              <w:rPr>
                <w:rFonts w:ascii="Calibri" w:hAnsi="Calibri"/>
                <w:b w:val="0"/>
                <w:sz w:val="16"/>
              </w:rPr>
              <w:t>Exports, PDFs, image processing</w:t>
            </w:r>
          </w:p>
        </w:tc>
      </w:tr>
      <w:tr>
        <w:tc>
          <w:tcPr>
            <w:tcW w:type="dxa" w:w="2304"/>
          </w:tcPr>
          <w:p>
            <w:pPr>
              <w:spacing w:before="40" w:after="40"/>
            </w:pPr>
            <w:r/>
            <w:r>
              <w:rPr>
                <w:rFonts w:ascii="Calibri" w:hAnsi="Calibri"/>
                <w:b w:val="0"/>
                <w:sz w:val="16"/>
              </w:rPr>
              <w:t>Frontend app</w:t>
            </w:r>
          </w:p>
        </w:tc>
        <w:tc>
          <w:tcPr>
            <w:tcW w:type="dxa" w:w="4608"/>
          </w:tcPr>
          <w:p>
            <w:pPr>
              <w:spacing w:before="40" w:after="40"/>
            </w:pPr>
            <w:r/>
            <w:r>
              <w:rPr>
                <w:rFonts w:ascii="Calibri" w:hAnsi="Calibri"/>
                <w:b w:val="0"/>
                <w:sz w:val="16"/>
              </w:rPr>
              <w:t>Next.js 16, React 19, TanStack Query/Table/Virtual</w:t>
            </w:r>
          </w:p>
        </w:tc>
        <w:tc>
          <w:tcPr>
            <w:tcW w:type="dxa" w:w="3600"/>
          </w:tcPr>
          <w:p>
            <w:pPr>
              <w:spacing w:before="40" w:after="40"/>
            </w:pPr>
            <w:r/>
            <w:r>
              <w:rPr>
                <w:rFonts w:ascii="Calibri" w:hAnsi="Calibri"/>
                <w:b w:val="0"/>
                <w:sz w:val="16"/>
              </w:rPr>
              <w:t>Web product</w:t>
            </w:r>
          </w:p>
        </w:tc>
      </w:tr>
      <w:tr>
        <w:tc>
          <w:tcPr>
            <w:tcW w:type="dxa" w:w="2304"/>
            <w:shd w:fill="F7FAFC"/>
          </w:tcPr>
          <w:p>
            <w:pPr>
              <w:spacing w:before="40" w:after="40"/>
            </w:pPr>
            <w:r/>
            <w:r>
              <w:rPr>
                <w:rFonts w:ascii="Calibri" w:hAnsi="Calibri"/>
                <w:b w:val="0"/>
                <w:sz w:val="16"/>
              </w:rPr>
              <w:t>Frontend UX</w:t>
            </w:r>
          </w:p>
        </w:tc>
        <w:tc>
          <w:tcPr>
            <w:tcW w:type="dxa" w:w="4608"/>
            <w:shd w:fill="F7FAFC"/>
          </w:tcPr>
          <w:p>
            <w:pPr>
              <w:spacing w:before="40" w:after="40"/>
            </w:pPr>
            <w:r/>
            <w:r>
              <w:rPr>
                <w:rFonts w:ascii="Calibri" w:hAnsi="Calibri"/>
                <w:b w:val="0"/>
                <w:sz w:val="16"/>
              </w:rPr>
              <w:t>TipTap, dnd-kit, react-hook-form, lucide-react, Tailwind 4</w:t>
            </w:r>
          </w:p>
        </w:tc>
        <w:tc>
          <w:tcPr>
            <w:tcW w:type="dxa" w:w="3600"/>
            <w:shd w:fill="F7FAFC"/>
          </w:tcPr>
          <w:p>
            <w:pPr>
              <w:spacing w:before="40" w:after="40"/>
            </w:pPr>
            <w:r/>
            <w:r>
              <w:rPr>
                <w:rFonts w:ascii="Calibri" w:hAnsi="Calibri"/>
                <w:b w:val="0"/>
                <w:sz w:val="16"/>
              </w:rPr>
              <w:t>Editors, forms, UI</w:t>
            </w:r>
          </w:p>
        </w:tc>
      </w:tr>
      <w:tr>
        <w:tc>
          <w:tcPr>
            <w:tcW w:type="dxa" w:w="2304"/>
          </w:tcPr>
          <w:p>
            <w:pPr>
              <w:spacing w:before="40" w:after="40"/>
            </w:pPr>
            <w:r/>
            <w:r>
              <w:rPr>
                <w:rFonts w:ascii="Calibri" w:hAnsi="Calibri"/>
                <w:b w:val="0"/>
                <w:sz w:val="16"/>
              </w:rPr>
              <w:t>Payments UI</w:t>
            </w:r>
          </w:p>
        </w:tc>
        <w:tc>
          <w:tcPr>
            <w:tcW w:type="dxa" w:w="4608"/>
          </w:tcPr>
          <w:p>
            <w:pPr>
              <w:spacing w:before="40" w:after="40"/>
            </w:pPr>
            <w:r/>
            <w:r>
              <w:rPr>
                <w:rFonts w:ascii="Calibri" w:hAnsi="Calibri"/>
                <w:b w:val="0"/>
                <w:sz w:val="16"/>
              </w:rPr>
              <w:t>@stripe/react-stripe-js, @stripe/stripe-js</w:t>
            </w:r>
          </w:p>
        </w:tc>
        <w:tc>
          <w:tcPr>
            <w:tcW w:type="dxa" w:w="3600"/>
          </w:tcPr>
          <w:p>
            <w:pPr>
              <w:spacing w:before="40" w:after="40"/>
            </w:pPr>
            <w:r/>
            <w:r>
              <w:rPr>
                <w:rFonts w:ascii="Calibri" w:hAnsi="Calibri"/>
                <w:b w:val="0"/>
                <w:sz w:val="16"/>
              </w:rPr>
              <w:t>Embedded Stripe Elements</w:t>
            </w:r>
          </w:p>
        </w:tc>
      </w:tr>
      <w:tr>
        <w:tc>
          <w:tcPr>
            <w:tcW w:type="dxa" w:w="2304"/>
            <w:shd w:fill="F7FAFC"/>
          </w:tcPr>
          <w:p>
            <w:pPr>
              <w:spacing w:before="40" w:after="40"/>
            </w:pPr>
            <w:r/>
            <w:r>
              <w:rPr>
                <w:rFonts w:ascii="Calibri" w:hAnsi="Calibri"/>
                <w:b w:val="0"/>
                <w:sz w:val="16"/>
              </w:rPr>
              <w:t>Realtime</w:t>
            </w:r>
          </w:p>
        </w:tc>
        <w:tc>
          <w:tcPr>
            <w:tcW w:type="dxa" w:w="4608"/>
            <w:shd w:fill="F7FAFC"/>
          </w:tcPr>
          <w:p>
            <w:pPr>
              <w:spacing w:before="40" w:after="40"/>
            </w:pPr>
            <w:r/>
            <w:r>
              <w:rPr>
                <w:rFonts w:ascii="Calibri" w:hAnsi="Calibri"/>
                <w:b w:val="0"/>
                <w:sz w:val="16"/>
              </w:rPr>
              <w:t>socket.io / socket.io-client</w:t>
            </w:r>
          </w:p>
        </w:tc>
        <w:tc>
          <w:tcPr>
            <w:tcW w:type="dxa" w:w="3600"/>
            <w:shd w:fill="F7FAFC"/>
          </w:tcPr>
          <w:p>
            <w:pPr>
              <w:spacing w:before="40" w:after="40"/>
            </w:pPr>
            <w:r/>
            <w:r>
              <w:rPr>
                <w:rFonts w:ascii="Calibri" w:hAnsi="Calibri"/>
                <w:b w:val="0"/>
                <w:sz w:val="16"/>
              </w:rPr>
              <w:t>Live updates</w:t>
            </w:r>
          </w:p>
        </w:tc>
      </w:tr>
      <w:tr>
        <w:tc>
          <w:tcPr>
            <w:tcW w:type="dxa" w:w="2304"/>
          </w:tcPr>
          <w:p>
            <w:pPr>
              <w:spacing w:before="40" w:after="40"/>
            </w:pPr>
            <w:r/>
            <w:r>
              <w:rPr>
                <w:rFonts w:ascii="Calibri" w:hAnsi="Calibri"/>
                <w:b w:val="0"/>
                <w:sz w:val="16"/>
              </w:rPr>
              <w:t>Dev / QA</w:t>
            </w:r>
          </w:p>
        </w:tc>
        <w:tc>
          <w:tcPr>
            <w:tcW w:type="dxa" w:w="4608"/>
          </w:tcPr>
          <w:p>
            <w:pPr>
              <w:spacing w:before="40" w:after="40"/>
            </w:pPr>
            <w:r/>
            <w:r>
              <w:rPr>
                <w:rFonts w:ascii="Calibri" w:hAnsi="Calibri"/>
                <w:b w:val="0"/>
                <w:sz w:val="16"/>
              </w:rPr>
              <w:t>Jest, Vitest, Playwright, ESLint, Prettier, TypeScript</w:t>
            </w:r>
          </w:p>
        </w:tc>
        <w:tc>
          <w:tcPr>
            <w:tcW w:type="dxa" w:w="3600"/>
          </w:tcPr>
          <w:p>
            <w:pPr>
              <w:spacing w:before="40" w:after="40"/>
            </w:pPr>
            <w:r/>
            <w:r>
              <w:rPr>
                <w:rFonts w:ascii="Calibri" w:hAnsi="Calibri"/>
                <w:b w:val="0"/>
                <w:sz w:val="16"/>
              </w:rPr>
              <w:t>Build &amp; test (no production COGS)</w:t>
            </w:r>
          </w:p>
        </w:tc>
      </w:tr>
    </w:tbl>
    <w:p/>
    <w:p>
      <w:pPr>
        <w:pStyle w:val="Heading2"/>
      </w:pPr>
      <w:r>
        <w:rPr>
          <w:color w:val="1A365D"/>
        </w:rPr>
        <w:t>4.3 Local / Self-Hosted Dev Infra (free locally)</w:t>
      </w:r>
    </w:p>
    <w:tbl>
      <w:tblPr>
        <w:tblStyle w:val="TableGrid"/>
        <w:tblW w:type="auto" w:w="0"/>
        <w:jc w:val="center"/>
        <w:tblLook w:firstColumn="1" w:firstRow="1" w:lastColumn="0" w:lastRow="0" w:noHBand="0" w:noVBand="1" w:val="04A0"/>
      </w:tblPr>
      <w:tblGrid>
        <w:gridCol w:w="3400"/>
        <w:gridCol w:w="3400"/>
        <w:gridCol w:w="3400"/>
      </w:tblGrid>
      <w:tr>
        <w:tc>
          <w:tcPr>
            <w:tcW w:type="dxa" w:w="2880"/>
            <w:shd w:fill="1A365D"/>
          </w:tcPr>
          <w:p>
            <w:pPr>
              <w:spacing w:before="40" w:after="40"/>
              <w:jc w:val="center"/>
            </w:pPr>
            <w:r/>
            <w:r>
              <w:rPr>
                <w:rFonts w:ascii="Calibri" w:hAnsi="Calibri"/>
                <w:b/>
                <w:color w:val="FFFFFF"/>
                <w:sz w:val="18"/>
              </w:rPr>
              <w:t>Component</w:t>
            </w:r>
          </w:p>
        </w:tc>
        <w:tc>
          <w:tcPr>
            <w:tcW w:type="dxa" w:w="3600"/>
            <w:shd w:fill="1A365D"/>
          </w:tcPr>
          <w:p>
            <w:pPr>
              <w:spacing w:before="40" w:after="40"/>
              <w:jc w:val="center"/>
            </w:pPr>
            <w:r/>
            <w:r>
              <w:rPr>
                <w:rFonts w:ascii="Calibri" w:hAnsi="Calibri"/>
                <w:b/>
                <w:color w:val="FFFFFF"/>
                <w:sz w:val="18"/>
              </w:rPr>
              <w:t>Dev setup</w:t>
            </w:r>
          </w:p>
        </w:tc>
        <w:tc>
          <w:tcPr>
            <w:tcW w:type="dxa" w:w="4320"/>
            <w:shd w:fill="1A365D"/>
          </w:tcPr>
          <w:p>
            <w:pPr>
              <w:spacing w:before="40" w:after="40"/>
              <w:jc w:val="center"/>
            </w:pPr>
            <w:r/>
            <w:r>
              <w:rPr>
                <w:rFonts w:ascii="Calibri" w:hAnsi="Calibri"/>
                <w:b/>
                <w:color w:val="FFFFFF"/>
                <w:sz w:val="18"/>
              </w:rPr>
              <w:t>Production note</w:t>
            </w:r>
          </w:p>
        </w:tc>
      </w:tr>
      <w:tr>
        <w:tc>
          <w:tcPr>
            <w:tcW w:type="dxa" w:w="2880"/>
          </w:tcPr>
          <w:p>
            <w:pPr>
              <w:spacing w:before="40" w:after="40"/>
            </w:pPr>
            <w:r/>
            <w:r>
              <w:rPr>
                <w:rFonts w:ascii="Calibri" w:hAnsi="Calibri"/>
                <w:b w:val="0"/>
                <w:sz w:val="16"/>
              </w:rPr>
              <w:t>PostgreSQL 16</w:t>
            </w:r>
          </w:p>
        </w:tc>
        <w:tc>
          <w:tcPr>
            <w:tcW w:type="dxa" w:w="3600"/>
          </w:tcPr>
          <w:p>
            <w:pPr>
              <w:spacing w:before="40" w:after="40"/>
            </w:pPr>
            <w:r/>
            <w:r>
              <w:rPr>
                <w:rFonts w:ascii="Calibri" w:hAnsi="Calibri"/>
                <w:b w:val="0"/>
                <w:sz w:val="16"/>
              </w:rPr>
              <w:t>docker-compose (port 5433)</w:t>
            </w:r>
          </w:p>
        </w:tc>
        <w:tc>
          <w:tcPr>
            <w:tcW w:type="dxa" w:w="4320"/>
          </w:tcPr>
          <w:p>
            <w:pPr>
              <w:spacing w:before="40" w:after="40"/>
            </w:pPr>
            <w:r/>
            <w:r>
              <w:rPr>
                <w:rFonts w:ascii="Calibri" w:hAnsi="Calibri"/>
                <w:b w:val="0"/>
                <w:sz w:val="16"/>
              </w:rPr>
              <w:t>Managed / VPS cost applies</w:t>
            </w:r>
          </w:p>
        </w:tc>
      </w:tr>
      <w:tr>
        <w:tc>
          <w:tcPr>
            <w:tcW w:type="dxa" w:w="2880"/>
            <w:shd w:fill="F7FAFC"/>
          </w:tcPr>
          <w:p>
            <w:pPr>
              <w:spacing w:before="40" w:after="40"/>
            </w:pPr>
            <w:r/>
            <w:r>
              <w:rPr>
                <w:rFonts w:ascii="Calibri" w:hAnsi="Calibri"/>
                <w:b w:val="0"/>
                <w:sz w:val="16"/>
              </w:rPr>
              <w:t>Redis 7</w:t>
            </w:r>
          </w:p>
        </w:tc>
        <w:tc>
          <w:tcPr>
            <w:tcW w:type="dxa" w:w="3600"/>
            <w:shd w:fill="F7FAFC"/>
          </w:tcPr>
          <w:p>
            <w:pPr>
              <w:spacing w:before="40" w:after="40"/>
            </w:pPr>
            <w:r/>
            <w:r>
              <w:rPr>
                <w:rFonts w:ascii="Calibri" w:hAnsi="Calibri"/>
                <w:b w:val="0"/>
                <w:sz w:val="16"/>
              </w:rPr>
              <w:t>docker-compose (port 6379)</w:t>
            </w:r>
          </w:p>
        </w:tc>
        <w:tc>
          <w:tcPr>
            <w:tcW w:type="dxa" w:w="4320"/>
            <w:shd w:fill="F7FAFC"/>
          </w:tcPr>
          <w:p>
            <w:pPr>
              <w:spacing w:before="40" w:after="40"/>
            </w:pPr>
            <w:r/>
            <w:r>
              <w:rPr>
                <w:rFonts w:ascii="Calibri" w:hAnsi="Calibri"/>
                <w:b w:val="0"/>
                <w:sz w:val="16"/>
              </w:rPr>
              <w:t>Managed / VPS cost applies</w:t>
            </w:r>
          </w:p>
        </w:tc>
      </w:tr>
      <w:tr>
        <w:tc>
          <w:tcPr>
            <w:tcW w:type="dxa" w:w="2880"/>
          </w:tcPr>
          <w:p>
            <w:pPr>
              <w:spacing w:before="40" w:after="40"/>
            </w:pPr>
            <w:r/>
            <w:r>
              <w:rPr>
                <w:rFonts w:ascii="Calibri" w:hAnsi="Calibri"/>
                <w:b w:val="0"/>
                <w:sz w:val="16"/>
              </w:rPr>
              <w:t>Socket.IO realtime</w:t>
            </w:r>
          </w:p>
        </w:tc>
        <w:tc>
          <w:tcPr>
            <w:tcW w:type="dxa" w:w="3600"/>
          </w:tcPr>
          <w:p>
            <w:pPr>
              <w:spacing w:before="40" w:after="40"/>
            </w:pPr>
            <w:r/>
            <w:r>
              <w:rPr>
                <w:rFonts w:ascii="Calibri" w:hAnsi="Calibri"/>
                <w:b w:val="0"/>
                <w:sz w:val="16"/>
              </w:rPr>
              <w:t>Self-hosted in Nest API</w:t>
            </w:r>
          </w:p>
        </w:tc>
        <w:tc>
          <w:tcPr>
            <w:tcW w:type="dxa" w:w="4320"/>
          </w:tcPr>
          <w:p>
            <w:pPr>
              <w:spacing w:before="40" w:after="40"/>
            </w:pPr>
            <w:r/>
            <w:r>
              <w:rPr>
                <w:rFonts w:ascii="Calibri" w:hAnsi="Calibri"/>
                <w:b w:val="0"/>
                <w:sz w:val="16"/>
              </w:rPr>
              <w:t>Scales with Redis + CPU — still platform cost</w:t>
            </w:r>
          </w:p>
        </w:tc>
      </w:tr>
    </w:tbl>
    <w:p/>
    <w:p>
      <w:pPr>
        <w:pStyle w:val="Heading1"/>
      </w:pPr>
      <w:r>
        <w:rPr>
          <w:color w:val="1A365D"/>
        </w:rPr>
        <w:t>5. Catalog / Roadmap Items (Not Live Paid Dependencies Yet)</w:t>
      </w:r>
    </w:p>
    <w:tbl>
      <w:tblPr>
        <w:tblStyle w:val="TableGrid"/>
        <w:tblW w:type="auto" w:w="0"/>
        <w:jc w:val="center"/>
        <w:tblLook w:firstColumn="1" w:firstRow="1" w:lastColumn="0" w:lastRow="0" w:noHBand="0" w:noVBand="1" w:val="04A0"/>
      </w:tblPr>
      <w:tblGrid>
        <w:gridCol w:w="3400"/>
        <w:gridCol w:w="3400"/>
        <w:gridCol w:w="3400"/>
      </w:tblGrid>
      <w:tr>
        <w:tc>
          <w:tcPr>
            <w:tcW w:type="dxa" w:w="2880"/>
            <w:shd w:fill="1A365D"/>
          </w:tcPr>
          <w:p>
            <w:pPr>
              <w:spacing w:before="40" w:after="40"/>
              <w:jc w:val="center"/>
            </w:pPr>
            <w:r/>
            <w:r>
              <w:rPr>
                <w:rFonts w:ascii="Calibri" w:hAnsi="Calibri"/>
                <w:b/>
                <w:color w:val="FFFFFF"/>
                <w:sz w:val="18"/>
              </w:rPr>
              <w:t>Item</w:t>
            </w:r>
          </w:p>
        </w:tc>
        <w:tc>
          <w:tcPr>
            <w:tcW w:type="dxa" w:w="4320"/>
            <w:shd w:fill="1A365D"/>
          </w:tcPr>
          <w:p>
            <w:pPr>
              <w:spacing w:before="40" w:after="40"/>
              <w:jc w:val="center"/>
            </w:pPr>
            <w:r/>
            <w:r>
              <w:rPr>
                <w:rFonts w:ascii="Calibri" w:hAnsi="Calibri"/>
                <w:b/>
                <w:color w:val="FFFFFF"/>
                <w:sz w:val="18"/>
              </w:rPr>
              <w:t>Status</w:t>
            </w:r>
          </w:p>
        </w:tc>
        <w:tc>
          <w:tcPr>
            <w:tcW w:type="dxa" w:w="3600"/>
            <w:shd w:fill="1A365D"/>
          </w:tcPr>
          <w:p>
            <w:pPr>
              <w:spacing w:before="40" w:after="40"/>
              <w:jc w:val="center"/>
            </w:pPr>
            <w:r/>
            <w:r>
              <w:rPr>
                <w:rFonts w:ascii="Calibri" w:hAnsi="Calibri"/>
                <w:b/>
                <w:color w:val="FFFFFF"/>
                <w:sz w:val="18"/>
              </w:rPr>
              <w:t>Pricing risk if activated</w:t>
            </w:r>
          </w:p>
        </w:tc>
      </w:tr>
      <w:tr>
        <w:tc>
          <w:tcPr>
            <w:tcW w:type="dxa" w:w="2880"/>
          </w:tcPr>
          <w:p>
            <w:pPr>
              <w:spacing w:before="40" w:after="40"/>
            </w:pPr>
            <w:r/>
            <w:r>
              <w:rPr>
                <w:rFonts w:ascii="Calibri" w:hAnsi="Calibri"/>
                <w:b w:val="0"/>
                <w:sz w:val="16"/>
              </w:rPr>
              <w:t>OpenAI / AI agents</w:t>
            </w:r>
          </w:p>
        </w:tc>
        <w:tc>
          <w:tcPr>
            <w:tcW w:type="dxa" w:w="4320"/>
          </w:tcPr>
          <w:p>
            <w:pPr>
              <w:spacing w:before="40" w:after="40"/>
            </w:pPr>
            <w:r/>
            <w:r>
              <w:rPr>
                <w:rFonts w:ascii="Calibri" w:hAnsi="Calibri"/>
                <w:b w:val="0"/>
                <w:sz w:val="16"/>
              </w:rPr>
              <w:t>Catalog / module placeholder — no OpenAI API client or env found in validation</w:t>
            </w:r>
          </w:p>
        </w:tc>
        <w:tc>
          <w:tcPr>
            <w:tcW w:type="dxa" w:w="3600"/>
          </w:tcPr>
          <w:p>
            <w:pPr>
              <w:spacing w:before="40" w:after="40"/>
            </w:pPr>
            <w:r/>
            <w:r>
              <w:rPr>
                <w:rFonts w:ascii="Calibri" w:hAnsi="Calibri"/>
                <w:b w:val="0"/>
                <w:sz w:val="16"/>
              </w:rPr>
              <w:t>Token usage would become major variable COGS — meter hard</w:t>
            </w:r>
          </w:p>
        </w:tc>
      </w:tr>
      <w:tr>
        <w:tc>
          <w:tcPr>
            <w:tcW w:type="dxa" w:w="2880"/>
            <w:shd w:fill="F7FAFC"/>
          </w:tcPr>
          <w:p>
            <w:pPr>
              <w:spacing w:before="40" w:after="40"/>
            </w:pPr>
            <w:r/>
            <w:r>
              <w:rPr>
                <w:rFonts w:ascii="Calibri" w:hAnsi="Calibri"/>
                <w:b w:val="0"/>
                <w:sz w:val="16"/>
              </w:rPr>
              <w:t>Sentry</w:t>
            </w:r>
          </w:p>
        </w:tc>
        <w:tc>
          <w:tcPr>
            <w:tcW w:type="dxa" w:w="4320"/>
            <w:shd w:fill="F7FAFC"/>
          </w:tcPr>
          <w:p>
            <w:pPr>
              <w:spacing w:before="40" w:after="40"/>
            </w:pPr>
            <w:r/>
            <w:r>
              <w:rPr>
                <w:rFonts w:ascii="Calibri" w:hAnsi="Calibri"/>
                <w:b w:val="0"/>
                <w:sz w:val="16"/>
              </w:rPr>
              <w:t>Frontend stub / DSN hook; @sentry/nextjs present as optional tooling</w:t>
            </w:r>
          </w:p>
        </w:tc>
        <w:tc>
          <w:tcPr>
            <w:tcW w:type="dxa" w:w="3600"/>
            <w:shd w:fill="F7FAFC"/>
          </w:tcPr>
          <w:p>
            <w:pPr>
              <w:spacing w:before="40" w:after="40"/>
            </w:pPr>
            <w:r/>
            <w:r>
              <w:rPr>
                <w:rFonts w:ascii="Calibri" w:hAnsi="Calibri"/>
                <w:b w:val="0"/>
                <w:sz w:val="16"/>
              </w:rPr>
              <w:t>Event volume plans if fully enabled</w:t>
            </w:r>
          </w:p>
        </w:tc>
      </w:tr>
      <w:tr>
        <w:tc>
          <w:tcPr>
            <w:tcW w:type="dxa" w:w="2880"/>
          </w:tcPr>
          <w:p>
            <w:pPr>
              <w:spacing w:before="40" w:after="40"/>
            </w:pPr>
            <w:r/>
            <w:r>
              <w:rPr>
                <w:rFonts w:ascii="Calibri" w:hAnsi="Calibri"/>
                <w:b w:val="0"/>
                <w:sz w:val="16"/>
              </w:rPr>
              <w:t>QuickBooks / Xero / Wave</w:t>
            </w:r>
          </w:p>
        </w:tc>
        <w:tc>
          <w:tcPr>
            <w:tcW w:type="dxa" w:w="4320"/>
          </w:tcPr>
          <w:p>
            <w:pPr>
              <w:spacing w:before="40" w:after="40"/>
            </w:pPr>
            <w:r/>
            <w:r>
              <w:rPr>
                <w:rFonts w:ascii="Calibri" w:hAnsi="Calibri"/>
                <w:b w:val="0"/>
                <w:sz w:val="16"/>
              </w:rPr>
              <w:t>Seeded catalog stubs</w:t>
            </w:r>
          </w:p>
        </w:tc>
        <w:tc>
          <w:tcPr>
            <w:tcW w:type="dxa" w:w="3600"/>
          </w:tcPr>
          <w:p>
            <w:pPr>
              <w:spacing w:before="40" w:after="40"/>
            </w:pPr>
            <w:r/>
            <w:r>
              <w:rPr>
                <w:rFonts w:ascii="Calibri" w:hAnsi="Calibri"/>
                <w:b w:val="0"/>
                <w:sz w:val="16"/>
              </w:rPr>
              <w:t>Partner fees / OAuth compliance if built</w:t>
            </w:r>
          </w:p>
        </w:tc>
      </w:tr>
      <w:tr>
        <w:tc>
          <w:tcPr>
            <w:tcW w:type="dxa" w:w="2880"/>
            <w:shd w:fill="F7FAFC"/>
          </w:tcPr>
          <w:p>
            <w:pPr>
              <w:spacing w:before="40" w:after="40"/>
            </w:pPr>
            <w:r/>
            <w:r>
              <w:rPr>
                <w:rFonts w:ascii="Calibri" w:hAnsi="Calibri"/>
                <w:b w:val="0"/>
                <w:sz w:val="16"/>
              </w:rPr>
              <w:t>SendGrid / SES / Mailgun</w:t>
            </w:r>
          </w:p>
        </w:tc>
        <w:tc>
          <w:tcPr>
            <w:tcW w:type="dxa" w:w="4320"/>
            <w:shd w:fill="F7FAFC"/>
          </w:tcPr>
          <w:p>
            <w:pPr>
              <w:spacing w:before="40" w:after="40"/>
            </w:pPr>
            <w:r/>
            <w:r>
              <w:rPr>
                <w:rFonts w:ascii="Calibri" w:hAnsi="Calibri"/>
                <w:b w:val="0"/>
                <w:sz w:val="16"/>
              </w:rPr>
              <w:t>Not used (Resend is the email provider)</w:t>
            </w:r>
          </w:p>
        </w:tc>
        <w:tc>
          <w:tcPr>
            <w:tcW w:type="dxa" w:w="3600"/>
            <w:shd w:fill="F7FAFC"/>
          </w:tcPr>
          <w:p>
            <w:pPr>
              <w:spacing w:before="40" w:after="40"/>
            </w:pPr>
            <w:r/>
            <w:r>
              <w:rPr>
                <w:rFonts w:ascii="Calibri" w:hAnsi="Calibri"/>
                <w:b w:val="0"/>
                <w:sz w:val="16"/>
              </w:rPr>
              <w:t>N/A</w:t>
            </w:r>
          </w:p>
        </w:tc>
      </w:tr>
      <w:tr>
        <w:tc>
          <w:tcPr>
            <w:tcW w:type="dxa" w:w="2880"/>
          </w:tcPr>
          <w:p>
            <w:pPr>
              <w:spacing w:before="40" w:after="40"/>
            </w:pPr>
            <w:r/>
            <w:r>
              <w:rPr>
                <w:rFonts w:ascii="Calibri" w:hAnsi="Calibri"/>
                <w:b w:val="0"/>
                <w:sz w:val="16"/>
              </w:rPr>
              <w:t>Hostinger / Cloudflare hosting MCP</w:t>
            </w:r>
          </w:p>
        </w:tc>
        <w:tc>
          <w:tcPr>
            <w:tcW w:type="dxa" w:w="4320"/>
          </w:tcPr>
          <w:p>
            <w:pPr>
              <w:spacing w:before="40" w:after="40"/>
            </w:pPr>
            <w:r/>
            <w:r>
              <w:rPr>
                <w:rFonts w:ascii="Calibri" w:hAnsi="Calibri"/>
                <w:b w:val="0"/>
                <w:sz w:val="16"/>
              </w:rPr>
              <w:t>Agent ops tooling, not product runtime</w:t>
            </w:r>
          </w:p>
        </w:tc>
        <w:tc>
          <w:tcPr>
            <w:tcW w:type="dxa" w:w="3600"/>
          </w:tcPr>
          <w:p>
            <w:pPr>
              <w:spacing w:before="40" w:after="40"/>
            </w:pPr>
            <w:r/>
            <w:r>
              <w:rPr>
                <w:rFonts w:ascii="Calibri" w:hAnsi="Calibri"/>
                <w:b w:val="0"/>
                <w:sz w:val="16"/>
              </w:rPr>
              <w:t>Ops cost only</w:t>
            </w:r>
          </w:p>
        </w:tc>
      </w:tr>
    </w:tbl>
    <w:p/>
    <w:p>
      <w:pPr>
        <w:pStyle w:val="Heading1"/>
      </w:pPr>
      <w:r>
        <w:rPr>
          <w:color w:val="1A365D"/>
        </w:rPr>
        <w:t>6. Recommendations for Pricing Tiers</w:t>
      </w:r>
    </w:p>
    <w:p>
      <w:pPr>
        <w:spacing w:after="160"/>
      </w:pPr>
      <w:r>
        <w:rPr>
          <w:rFonts w:ascii="Calibri" w:hAnsi="Calibri"/>
          <w:b w:val="0"/>
          <w:color w:val="4A5568"/>
          <w:sz w:val="18"/>
        </w:rPr>
        <w:t>Practical packaging guidance derived from how costs scale with tenants and usage.</w:t>
      </w:r>
    </w:p>
    <w:tbl>
      <w:tblPr>
        <w:tblStyle w:val="TableGrid"/>
        <w:tblW w:type="auto" w:w="0"/>
        <w:jc w:val="center"/>
        <w:tblLook w:firstColumn="1" w:firstRow="1" w:lastColumn="0" w:lastRow="0" w:noHBand="0" w:noVBand="1" w:val="04A0"/>
      </w:tblPr>
      <w:tblGrid>
        <w:gridCol w:w="3400"/>
        <w:gridCol w:w="3400"/>
        <w:gridCol w:w="3400"/>
      </w:tblGrid>
      <w:tr>
        <w:tc>
          <w:tcPr>
            <w:tcW w:type="dxa" w:w="2592"/>
            <w:shd w:fill="1A365D"/>
          </w:tcPr>
          <w:p>
            <w:pPr>
              <w:spacing w:before="40" w:after="40"/>
              <w:jc w:val="center"/>
            </w:pPr>
            <w:r/>
            <w:r>
              <w:rPr>
                <w:rFonts w:ascii="Calibri" w:hAnsi="Calibri"/>
                <w:b/>
                <w:color w:val="FFFFFF"/>
                <w:sz w:val="18"/>
              </w:rPr>
              <w:t>Cost class</w:t>
            </w:r>
          </w:p>
        </w:tc>
        <w:tc>
          <w:tcPr>
            <w:tcW w:type="dxa" w:w="3456"/>
            <w:shd w:fill="1A365D"/>
          </w:tcPr>
          <w:p>
            <w:pPr>
              <w:spacing w:before="40" w:after="40"/>
              <w:jc w:val="center"/>
            </w:pPr>
            <w:r/>
            <w:r>
              <w:rPr>
                <w:rFonts w:ascii="Calibri" w:hAnsi="Calibri"/>
                <w:b/>
                <w:color w:val="FFFFFF"/>
                <w:sz w:val="18"/>
              </w:rPr>
              <w:t>Services</w:t>
            </w:r>
          </w:p>
        </w:tc>
        <w:tc>
          <w:tcPr>
            <w:tcW w:type="dxa" w:w="4752"/>
            <w:shd w:fill="1A365D"/>
          </w:tcPr>
          <w:p>
            <w:pPr>
              <w:spacing w:before="40" w:after="40"/>
              <w:jc w:val="center"/>
            </w:pPr>
            <w:r/>
            <w:r>
              <w:rPr>
                <w:rFonts w:ascii="Calibri" w:hAnsi="Calibri"/>
                <w:b/>
                <w:color w:val="FFFFFF"/>
                <w:sz w:val="18"/>
              </w:rPr>
              <w:t>Suggested packaging</w:t>
            </w:r>
          </w:p>
        </w:tc>
      </w:tr>
      <w:tr>
        <w:tc>
          <w:tcPr>
            <w:tcW w:type="dxa" w:w="2592"/>
          </w:tcPr>
          <w:p>
            <w:pPr>
              <w:spacing w:before="40" w:after="40"/>
            </w:pPr>
            <w:r/>
            <w:r>
              <w:rPr>
                <w:rFonts w:ascii="Calibri" w:hAnsi="Calibri"/>
                <w:b w:val="0"/>
                <w:sz w:val="16"/>
              </w:rPr>
              <w:t>Always-on platform COGS</w:t>
            </w:r>
          </w:p>
        </w:tc>
        <w:tc>
          <w:tcPr>
            <w:tcW w:type="dxa" w:w="3456"/>
          </w:tcPr>
          <w:p>
            <w:pPr>
              <w:spacing w:before="40" w:after="40"/>
            </w:pPr>
            <w:r/>
            <w:r>
              <w:rPr>
                <w:rFonts w:ascii="Calibri" w:hAnsi="Calibri"/>
                <w:b w:val="0"/>
                <w:sz w:val="16"/>
              </w:rPr>
              <w:t>Hosting, Postgres, Redis, R2 baseline, developer apps (Meta/Google/etc.)</w:t>
            </w:r>
          </w:p>
        </w:tc>
        <w:tc>
          <w:tcPr>
            <w:tcW w:type="dxa" w:w="4752"/>
          </w:tcPr>
          <w:p>
            <w:pPr>
              <w:spacing w:before="40" w:after="40"/>
            </w:pPr>
            <w:r/>
            <w:r>
              <w:rPr>
                <w:rFonts w:ascii="Calibri" w:hAnsi="Calibri"/>
                <w:b w:val="0"/>
                <w:sz w:val="16"/>
              </w:rPr>
              <w:t>Cover in every paid tier base price; do not give away forever-free high-resource tenants</w:t>
            </w:r>
          </w:p>
        </w:tc>
      </w:tr>
      <w:tr>
        <w:tc>
          <w:tcPr>
            <w:tcW w:type="dxa" w:w="2592"/>
            <w:shd w:fill="F7FAFC"/>
          </w:tcPr>
          <w:p>
            <w:pPr>
              <w:spacing w:before="40" w:after="40"/>
            </w:pPr>
            <w:r/>
            <w:r>
              <w:rPr>
                <w:rFonts w:ascii="Calibri" w:hAnsi="Calibri"/>
                <w:b w:val="0"/>
                <w:sz w:val="16"/>
              </w:rPr>
              <w:t>High variable — meter tightly</w:t>
            </w:r>
          </w:p>
        </w:tc>
        <w:tc>
          <w:tcPr>
            <w:tcW w:type="dxa" w:w="3456"/>
            <w:shd w:fill="F7FAFC"/>
          </w:tcPr>
          <w:p>
            <w:pPr>
              <w:spacing w:before="40" w:after="40"/>
            </w:pPr>
            <w:r/>
            <w:r>
              <w:rPr>
                <w:rFonts w:ascii="Calibri" w:hAnsi="Calibri"/>
                <w:b w:val="0"/>
                <w:sz w:val="16"/>
              </w:rPr>
              <w:t>Twilio SMS segments + numbers; Resend emails</w:t>
            </w:r>
          </w:p>
        </w:tc>
        <w:tc>
          <w:tcPr>
            <w:tcW w:type="dxa" w:w="4752"/>
            <w:shd w:fill="F7FAFC"/>
          </w:tcPr>
          <w:p>
            <w:pPr>
              <w:spacing w:before="40" w:after="40"/>
            </w:pPr>
            <w:r/>
            <w:r>
              <w:rPr>
                <w:rFonts w:ascii="Calibri" w:hAnsi="Calibri"/>
                <w:b w:val="0"/>
                <w:sz w:val="16"/>
              </w:rPr>
              <w:t>Include small monthly allowance per tier; sell SMS/email packs; overage or BYO Twilio above threshold</w:t>
            </w:r>
          </w:p>
        </w:tc>
      </w:tr>
      <w:tr>
        <w:tc>
          <w:tcPr>
            <w:tcW w:type="dxa" w:w="2592"/>
          </w:tcPr>
          <w:p>
            <w:pPr>
              <w:spacing w:before="40" w:after="40"/>
            </w:pPr>
            <w:r/>
            <w:r>
              <w:rPr>
                <w:rFonts w:ascii="Calibri" w:hAnsi="Calibri"/>
                <w:b w:val="0"/>
                <w:sz w:val="16"/>
              </w:rPr>
              <w:t>Revenue-linked fees</w:t>
            </w:r>
          </w:p>
        </w:tc>
        <w:tc>
          <w:tcPr>
            <w:tcW w:type="dxa" w:w="3456"/>
          </w:tcPr>
          <w:p>
            <w:pPr>
              <w:spacing w:before="40" w:after="40"/>
            </w:pPr>
            <w:r/>
            <w:r>
              <w:rPr>
                <w:rFonts w:ascii="Calibri" w:hAnsi="Calibri"/>
                <w:b w:val="0"/>
                <w:sz w:val="16"/>
              </w:rPr>
              <w:t>Stripe SaaS processing (+ Billing %)</w:t>
            </w:r>
          </w:p>
        </w:tc>
        <w:tc>
          <w:tcPr>
            <w:tcW w:type="dxa" w:w="4752"/>
          </w:tcPr>
          <w:p>
            <w:pPr>
              <w:spacing w:before="40" w:after="40"/>
            </w:pPr>
            <w:r/>
            <w:r>
              <w:rPr>
                <w:rFonts w:ascii="Calibri" w:hAnsi="Calibri"/>
                <w:b w:val="0"/>
                <w:sz w:val="16"/>
              </w:rPr>
              <w:t>Bake ~3–4% effective fee into list price or absorb in margin; prefer annual billing to lower fee drag</w:t>
            </w:r>
          </w:p>
        </w:tc>
      </w:tr>
      <w:tr>
        <w:tc>
          <w:tcPr>
            <w:tcW w:type="dxa" w:w="2592"/>
            <w:shd w:fill="F7FAFC"/>
          </w:tcPr>
          <w:p>
            <w:pPr>
              <w:spacing w:before="40" w:after="40"/>
            </w:pPr>
            <w:r/>
            <w:r>
              <w:rPr>
                <w:rFonts w:ascii="Calibri" w:hAnsi="Calibri"/>
                <w:b w:val="0"/>
                <w:sz w:val="16"/>
              </w:rPr>
              <w:t>Tenant-borne variable</w:t>
            </w:r>
          </w:p>
        </w:tc>
        <w:tc>
          <w:tcPr>
            <w:tcW w:type="dxa" w:w="3456"/>
            <w:shd w:fill="F7FAFC"/>
          </w:tcPr>
          <w:p>
            <w:pPr>
              <w:spacing w:before="40" w:after="40"/>
            </w:pPr>
            <w:r/>
            <w:r>
              <w:rPr>
                <w:rFonts w:ascii="Calibri" w:hAnsi="Calibri"/>
                <w:b w:val="0"/>
                <w:sz w:val="16"/>
              </w:rPr>
              <w:t>WhatsApp messages, Stripe Connect processing, Meta Page messaging</w:t>
            </w:r>
          </w:p>
        </w:tc>
        <w:tc>
          <w:tcPr>
            <w:tcW w:type="dxa" w:w="4752"/>
            <w:shd w:fill="F7FAFC"/>
          </w:tcPr>
          <w:p>
            <w:pPr>
              <w:spacing w:before="40" w:after="40"/>
            </w:pPr>
            <w:r/>
            <w:r>
              <w:rPr>
                <w:rFonts w:ascii="Calibri" w:hAnsi="Calibri"/>
                <w:b w:val="0"/>
                <w:sz w:val="16"/>
              </w:rPr>
              <w:t>Feature-gate by capability; do not subsidize unlimited WhatsApp marketing templates</w:t>
            </w:r>
          </w:p>
        </w:tc>
      </w:tr>
      <w:tr>
        <w:tc>
          <w:tcPr>
            <w:tcW w:type="dxa" w:w="2592"/>
          </w:tcPr>
          <w:p>
            <w:pPr>
              <w:spacing w:before="40" w:after="40"/>
            </w:pPr>
            <w:r/>
            <w:r>
              <w:rPr>
                <w:rFonts w:ascii="Calibri" w:hAnsi="Calibri"/>
                <w:b w:val="0"/>
                <w:sz w:val="16"/>
              </w:rPr>
              <w:t>Feature unlocks (low COGS)</w:t>
            </w:r>
          </w:p>
        </w:tc>
        <w:tc>
          <w:tcPr>
            <w:tcW w:type="dxa" w:w="3456"/>
          </w:tcPr>
          <w:p>
            <w:pPr>
              <w:spacing w:before="40" w:after="40"/>
            </w:pPr>
            <w:r/>
            <w:r>
              <w:rPr>
                <w:rFonts w:ascii="Calibri" w:hAnsi="Calibri"/>
                <w:b w:val="0"/>
                <w:sz w:val="16"/>
              </w:rPr>
              <w:t>Social planner channels, Google Calendar, LinkedIn, Pinterest, TikTok</w:t>
            </w:r>
          </w:p>
        </w:tc>
        <w:tc>
          <w:tcPr>
            <w:tcW w:type="dxa" w:w="4752"/>
          </w:tcPr>
          <w:p>
            <w:pPr>
              <w:spacing w:before="40" w:after="40"/>
            </w:pPr>
            <w:r/>
            <w:r>
              <w:rPr>
                <w:rFonts w:ascii="Calibri" w:hAnsi="Calibri"/>
                <w:b w:val="0"/>
                <w:sz w:val="16"/>
              </w:rPr>
              <w:t>Good upsell features for mid/upper tiers; watch X API plan cost</w:t>
            </w:r>
          </w:p>
        </w:tc>
      </w:tr>
      <w:tr>
        <w:tc>
          <w:tcPr>
            <w:tcW w:type="dxa" w:w="2592"/>
            <w:shd w:fill="F7FAFC"/>
          </w:tcPr>
          <w:p>
            <w:pPr>
              <w:spacing w:before="40" w:after="40"/>
            </w:pPr>
            <w:r/>
            <w:r>
              <w:rPr>
                <w:rFonts w:ascii="Calibri" w:hAnsi="Calibri"/>
                <w:b w:val="0"/>
                <w:sz w:val="16"/>
              </w:rPr>
              <w:t>Future AI</w:t>
            </w:r>
          </w:p>
        </w:tc>
        <w:tc>
          <w:tcPr>
            <w:tcW w:type="dxa" w:w="3456"/>
            <w:shd w:fill="F7FAFC"/>
          </w:tcPr>
          <w:p>
            <w:pPr>
              <w:spacing w:before="40" w:after="40"/>
            </w:pPr>
            <w:r/>
            <w:r>
              <w:rPr>
                <w:rFonts w:ascii="Calibri" w:hAnsi="Calibri"/>
                <w:b w:val="0"/>
                <w:sz w:val="16"/>
              </w:rPr>
              <w:t>OpenAI / similar</w:t>
            </w:r>
          </w:p>
        </w:tc>
        <w:tc>
          <w:tcPr>
            <w:tcW w:type="dxa" w:w="4752"/>
            <w:shd w:fill="F7FAFC"/>
          </w:tcPr>
          <w:p>
            <w:pPr>
              <w:spacing w:before="40" w:after="40"/>
            </w:pPr>
            <w:r/>
            <w:r>
              <w:rPr>
                <w:rFonts w:ascii="Calibri" w:hAnsi="Calibri"/>
                <w:b w:val="0"/>
                <w:sz w:val="16"/>
              </w:rPr>
              <w:t>Separate AI addon with hard token caps — do not bundle unlimited into base plan</w:t>
            </w:r>
          </w:p>
        </w:tc>
      </w:tr>
      <w:tr>
        <w:tc>
          <w:tcPr>
            <w:tcW w:type="dxa" w:w="2592"/>
          </w:tcPr>
          <w:p>
            <w:pPr>
              <w:spacing w:before="40" w:after="40"/>
            </w:pPr>
            <w:r/>
            <w:r>
              <w:rPr>
                <w:rFonts w:ascii="Calibri" w:hAnsi="Calibri"/>
                <w:b w:val="0"/>
                <w:sz w:val="16"/>
              </w:rPr>
              <w:t>Optional monetization gap</w:t>
            </w:r>
          </w:p>
        </w:tc>
        <w:tc>
          <w:tcPr>
            <w:tcW w:type="dxa" w:w="3456"/>
          </w:tcPr>
          <w:p>
            <w:pPr>
              <w:spacing w:before="40" w:after="40"/>
            </w:pPr>
            <w:r/>
            <w:r>
              <w:rPr>
                <w:rFonts w:ascii="Calibri" w:hAnsi="Calibri"/>
                <w:b w:val="0"/>
                <w:sz w:val="16"/>
              </w:rPr>
              <w:t>Stripe Connect application fees</w:t>
            </w:r>
          </w:p>
        </w:tc>
        <w:tc>
          <w:tcPr>
            <w:tcW w:type="dxa" w:w="4752"/>
          </w:tcPr>
          <w:p>
            <w:pPr>
              <w:spacing w:before="40" w:after="40"/>
            </w:pPr>
            <w:r/>
            <w:r>
              <w:rPr>
                <w:rFonts w:ascii="Calibri" w:hAnsi="Calibri"/>
                <w:b w:val="0"/>
                <w:sz w:val="16"/>
              </w:rPr>
              <w:t>Not implemented today; could become a platform take-rate without raising SaaS list price</w:t>
            </w:r>
          </w:p>
        </w:tc>
      </w:tr>
    </w:tbl>
    <w:p/>
    <w:p>
      <w:pPr>
        <w:pStyle w:val="Heading2"/>
      </w:pPr>
      <w:r>
        <w:rPr>
          <w:color w:val="1A365D"/>
        </w:rPr>
        <w:t>6.1 Example Allowance Thinking (illustrative only)</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92"/>
            <w:shd w:fill="1A365D"/>
          </w:tcPr>
          <w:p>
            <w:pPr>
              <w:spacing w:before="40" w:after="40"/>
              <w:jc w:val="center"/>
            </w:pPr>
            <w:r/>
            <w:r>
              <w:rPr>
                <w:rFonts w:ascii="Calibri" w:hAnsi="Calibri"/>
                <w:b/>
                <w:color w:val="FFFFFF"/>
                <w:sz w:val="18"/>
              </w:rPr>
              <w:t>Meter</w:t>
            </w:r>
          </w:p>
        </w:tc>
        <w:tc>
          <w:tcPr>
            <w:tcW w:type="dxa" w:w="2736"/>
            <w:shd w:fill="1A365D"/>
          </w:tcPr>
          <w:p>
            <w:pPr>
              <w:spacing w:before="40" w:after="40"/>
              <w:jc w:val="center"/>
            </w:pPr>
            <w:r/>
            <w:r>
              <w:rPr>
                <w:rFonts w:ascii="Calibri" w:hAnsi="Calibri"/>
                <w:b/>
                <w:color w:val="FFFFFF"/>
                <w:sz w:val="18"/>
              </w:rPr>
              <w:t>Starter (illustrative)</w:t>
            </w:r>
          </w:p>
        </w:tc>
        <w:tc>
          <w:tcPr>
            <w:tcW w:type="dxa" w:w="2736"/>
            <w:shd w:fill="1A365D"/>
          </w:tcPr>
          <w:p>
            <w:pPr>
              <w:spacing w:before="40" w:after="40"/>
              <w:jc w:val="center"/>
            </w:pPr>
            <w:r/>
            <w:r>
              <w:rPr>
                <w:rFonts w:ascii="Calibri" w:hAnsi="Calibri"/>
                <w:b/>
                <w:color w:val="FFFFFF"/>
                <w:sz w:val="18"/>
              </w:rPr>
              <w:t>Growth (illustrative)</w:t>
            </w:r>
          </w:p>
        </w:tc>
        <w:tc>
          <w:tcPr>
            <w:tcW w:type="dxa" w:w="2880"/>
            <w:shd w:fill="1A365D"/>
          </w:tcPr>
          <w:p>
            <w:pPr>
              <w:spacing w:before="40" w:after="40"/>
              <w:jc w:val="center"/>
            </w:pPr>
            <w:r/>
            <w:r>
              <w:rPr>
                <w:rFonts w:ascii="Calibri" w:hAnsi="Calibri"/>
                <w:b/>
                <w:color w:val="FFFFFF"/>
                <w:sz w:val="18"/>
              </w:rPr>
              <w:t>Scale (illustrative)</w:t>
            </w:r>
          </w:p>
        </w:tc>
      </w:tr>
      <w:tr>
        <w:tc>
          <w:tcPr>
            <w:tcW w:type="dxa" w:w="2592"/>
          </w:tcPr>
          <w:p>
            <w:pPr>
              <w:spacing w:before="40" w:after="40"/>
            </w:pPr>
            <w:r/>
            <w:r>
              <w:rPr>
                <w:rFonts w:ascii="Calibri" w:hAnsi="Calibri"/>
                <w:b w:val="0"/>
                <w:sz w:val="16"/>
              </w:rPr>
              <w:t>Transactional emails (Resend)</w:t>
            </w:r>
          </w:p>
        </w:tc>
        <w:tc>
          <w:tcPr>
            <w:tcW w:type="dxa" w:w="2736"/>
          </w:tcPr>
          <w:p>
            <w:pPr>
              <w:spacing w:before="40" w:after="40"/>
            </w:pPr>
            <w:r/>
            <w:r>
              <w:rPr>
                <w:rFonts w:ascii="Calibri" w:hAnsi="Calibri"/>
                <w:b w:val="0"/>
                <w:sz w:val="16"/>
              </w:rPr>
              <w:t>2,000 / mo included</w:t>
            </w:r>
          </w:p>
        </w:tc>
        <w:tc>
          <w:tcPr>
            <w:tcW w:type="dxa" w:w="2736"/>
          </w:tcPr>
          <w:p>
            <w:pPr>
              <w:spacing w:before="40" w:after="40"/>
            </w:pPr>
            <w:r/>
            <w:r>
              <w:rPr>
                <w:rFonts w:ascii="Calibri" w:hAnsi="Calibri"/>
                <w:b w:val="0"/>
                <w:sz w:val="16"/>
              </w:rPr>
              <w:t>20,000 / mo included</w:t>
            </w:r>
          </w:p>
        </w:tc>
        <w:tc>
          <w:tcPr>
            <w:tcW w:type="dxa" w:w="2880"/>
          </w:tcPr>
          <w:p>
            <w:pPr>
              <w:spacing w:before="40" w:after="40"/>
            </w:pPr>
            <w:r/>
            <w:r>
              <w:rPr>
                <w:rFonts w:ascii="Calibri" w:hAnsi="Calibri"/>
                <w:b w:val="0"/>
                <w:sz w:val="16"/>
              </w:rPr>
              <w:t>100,000 / mo or BYO domain volume</w:t>
            </w:r>
          </w:p>
        </w:tc>
      </w:tr>
      <w:tr>
        <w:tc>
          <w:tcPr>
            <w:tcW w:type="dxa" w:w="2592"/>
            <w:shd w:fill="F7FAFC"/>
          </w:tcPr>
          <w:p>
            <w:pPr>
              <w:spacing w:before="40" w:after="40"/>
            </w:pPr>
            <w:r/>
            <w:r>
              <w:rPr>
                <w:rFonts w:ascii="Calibri" w:hAnsi="Calibri"/>
                <w:b w:val="0"/>
                <w:sz w:val="16"/>
              </w:rPr>
              <w:t>SMS segments (Twilio)</w:t>
            </w:r>
          </w:p>
        </w:tc>
        <w:tc>
          <w:tcPr>
            <w:tcW w:type="dxa" w:w="2736"/>
            <w:shd w:fill="F7FAFC"/>
          </w:tcPr>
          <w:p>
            <w:pPr>
              <w:spacing w:before="40" w:after="40"/>
            </w:pPr>
            <w:r/>
            <w:r>
              <w:rPr>
                <w:rFonts w:ascii="Calibri" w:hAnsi="Calibri"/>
                <w:b w:val="0"/>
                <w:sz w:val="16"/>
              </w:rPr>
              <w:t>100 / mo + shared From</w:t>
            </w:r>
          </w:p>
        </w:tc>
        <w:tc>
          <w:tcPr>
            <w:tcW w:type="dxa" w:w="2736"/>
            <w:shd w:fill="F7FAFC"/>
          </w:tcPr>
          <w:p>
            <w:pPr>
              <w:spacing w:before="40" w:after="40"/>
            </w:pPr>
            <w:r/>
            <w:r>
              <w:rPr>
                <w:rFonts w:ascii="Calibri" w:hAnsi="Calibri"/>
                <w:b w:val="0"/>
                <w:sz w:val="16"/>
              </w:rPr>
              <w:t>1,000 / mo + 1 local #</w:t>
            </w:r>
          </w:p>
        </w:tc>
        <w:tc>
          <w:tcPr>
            <w:tcW w:type="dxa" w:w="2880"/>
            <w:shd w:fill="F7FAFC"/>
          </w:tcPr>
          <w:p>
            <w:pPr>
              <w:spacing w:before="40" w:after="40"/>
            </w:pPr>
            <w:r/>
            <w:r>
              <w:rPr>
                <w:rFonts w:ascii="Calibri" w:hAnsi="Calibri"/>
                <w:b w:val="0"/>
                <w:sz w:val="16"/>
              </w:rPr>
              <w:t>BYO Twilio required / high pack</w:t>
            </w:r>
          </w:p>
        </w:tc>
      </w:tr>
      <w:tr>
        <w:tc>
          <w:tcPr>
            <w:tcW w:type="dxa" w:w="2592"/>
          </w:tcPr>
          <w:p>
            <w:pPr>
              <w:spacing w:before="40" w:after="40"/>
            </w:pPr>
            <w:r/>
            <w:r>
              <w:rPr>
                <w:rFonts w:ascii="Calibri" w:hAnsi="Calibri"/>
                <w:b w:val="0"/>
                <w:sz w:val="16"/>
              </w:rPr>
              <w:t>Storage (R2)</w:t>
            </w:r>
          </w:p>
        </w:tc>
        <w:tc>
          <w:tcPr>
            <w:tcW w:type="dxa" w:w="2736"/>
          </w:tcPr>
          <w:p>
            <w:pPr>
              <w:spacing w:before="40" w:after="40"/>
            </w:pPr>
            <w:r/>
            <w:r>
              <w:rPr>
                <w:rFonts w:ascii="Calibri" w:hAnsi="Calibri"/>
                <w:b w:val="0"/>
                <w:sz w:val="16"/>
              </w:rPr>
              <w:t>1 GB</w:t>
            </w:r>
          </w:p>
        </w:tc>
        <w:tc>
          <w:tcPr>
            <w:tcW w:type="dxa" w:w="2736"/>
          </w:tcPr>
          <w:p>
            <w:pPr>
              <w:spacing w:before="40" w:after="40"/>
            </w:pPr>
            <w:r/>
            <w:r>
              <w:rPr>
                <w:rFonts w:ascii="Calibri" w:hAnsi="Calibri"/>
                <w:b w:val="0"/>
                <w:sz w:val="16"/>
              </w:rPr>
              <w:t>10 GB</w:t>
            </w:r>
          </w:p>
        </w:tc>
        <w:tc>
          <w:tcPr>
            <w:tcW w:type="dxa" w:w="2880"/>
          </w:tcPr>
          <w:p>
            <w:pPr>
              <w:spacing w:before="40" w:after="40"/>
            </w:pPr>
            <w:r/>
            <w:r>
              <w:rPr>
                <w:rFonts w:ascii="Calibri" w:hAnsi="Calibri"/>
                <w:b w:val="0"/>
                <w:sz w:val="16"/>
              </w:rPr>
              <w:t>100 GB</w:t>
            </w:r>
          </w:p>
        </w:tc>
      </w:tr>
      <w:tr>
        <w:tc>
          <w:tcPr>
            <w:tcW w:type="dxa" w:w="2592"/>
            <w:shd w:fill="F7FAFC"/>
          </w:tcPr>
          <w:p>
            <w:pPr>
              <w:spacing w:before="40" w:after="40"/>
            </w:pPr>
            <w:r/>
            <w:r>
              <w:rPr>
                <w:rFonts w:ascii="Calibri" w:hAnsi="Calibri"/>
                <w:b w:val="0"/>
                <w:sz w:val="16"/>
              </w:rPr>
              <w:t>WhatsApp</w:t>
            </w:r>
          </w:p>
        </w:tc>
        <w:tc>
          <w:tcPr>
            <w:tcW w:type="dxa" w:w="2736"/>
            <w:shd w:fill="F7FAFC"/>
          </w:tcPr>
          <w:p>
            <w:pPr>
              <w:spacing w:before="40" w:after="40"/>
            </w:pPr>
            <w:r/>
            <w:r>
              <w:rPr>
                <w:rFonts w:ascii="Calibri" w:hAnsi="Calibri"/>
                <w:b w:val="0"/>
                <w:sz w:val="16"/>
              </w:rPr>
              <w:t>Connect enabled</w:t>
            </w:r>
          </w:p>
        </w:tc>
        <w:tc>
          <w:tcPr>
            <w:tcW w:type="dxa" w:w="2736"/>
            <w:shd w:fill="F7FAFC"/>
          </w:tcPr>
          <w:p>
            <w:pPr>
              <w:spacing w:before="40" w:after="40"/>
            </w:pPr>
            <w:r/>
            <w:r>
              <w:rPr>
                <w:rFonts w:ascii="Calibri" w:hAnsi="Calibri"/>
                <w:b w:val="0"/>
                <w:sz w:val="16"/>
              </w:rPr>
              <w:t>Connect + templates</w:t>
            </w:r>
          </w:p>
        </w:tc>
        <w:tc>
          <w:tcPr>
            <w:tcW w:type="dxa" w:w="2880"/>
            <w:shd w:fill="F7FAFC"/>
          </w:tcPr>
          <w:p>
            <w:pPr>
              <w:spacing w:before="40" w:after="40"/>
            </w:pPr>
            <w:r/>
            <w:r>
              <w:rPr>
                <w:rFonts w:ascii="Calibri" w:hAnsi="Calibri"/>
                <w:b w:val="0"/>
                <w:sz w:val="16"/>
              </w:rPr>
              <w:t>Connect; tenant pays Meta</w:t>
            </w:r>
          </w:p>
        </w:tc>
      </w:tr>
      <w:tr>
        <w:tc>
          <w:tcPr>
            <w:tcW w:type="dxa" w:w="2592"/>
          </w:tcPr>
          <w:p>
            <w:pPr>
              <w:spacing w:before="40" w:after="40"/>
            </w:pPr>
            <w:r/>
            <w:r>
              <w:rPr>
                <w:rFonts w:ascii="Calibri" w:hAnsi="Calibri"/>
                <w:b w:val="0"/>
                <w:sz w:val="16"/>
              </w:rPr>
              <w:t>Social channels</w:t>
            </w:r>
          </w:p>
        </w:tc>
        <w:tc>
          <w:tcPr>
            <w:tcW w:type="dxa" w:w="2736"/>
          </w:tcPr>
          <w:p>
            <w:pPr>
              <w:spacing w:before="40" w:after="40"/>
            </w:pPr>
            <w:r/>
            <w:r>
              <w:rPr>
                <w:rFonts w:ascii="Calibri" w:hAnsi="Calibri"/>
                <w:b w:val="0"/>
                <w:sz w:val="16"/>
              </w:rPr>
              <w:t>1–2 channels</w:t>
            </w:r>
          </w:p>
        </w:tc>
        <w:tc>
          <w:tcPr>
            <w:tcW w:type="dxa" w:w="2736"/>
          </w:tcPr>
          <w:p>
            <w:pPr>
              <w:spacing w:before="40" w:after="40"/>
            </w:pPr>
            <w:r/>
            <w:r>
              <w:rPr>
                <w:rFonts w:ascii="Calibri" w:hAnsi="Calibri"/>
                <w:b w:val="0"/>
                <w:sz w:val="16"/>
              </w:rPr>
              <w:t>All free/quota channels</w:t>
            </w:r>
          </w:p>
        </w:tc>
        <w:tc>
          <w:tcPr>
            <w:tcW w:type="dxa" w:w="2880"/>
          </w:tcPr>
          <w:p>
            <w:pPr>
              <w:spacing w:before="40" w:after="40"/>
            </w:pPr>
            <w:r/>
            <w:r>
              <w:rPr>
                <w:rFonts w:ascii="Calibri" w:hAnsi="Calibri"/>
                <w:b w:val="0"/>
                <w:sz w:val="16"/>
              </w:rPr>
              <w:t>All + priority support</w:t>
            </w:r>
          </w:p>
        </w:tc>
      </w:tr>
      <w:tr>
        <w:tc>
          <w:tcPr>
            <w:tcW w:type="dxa" w:w="2592"/>
            <w:shd w:fill="F7FAFC"/>
          </w:tcPr>
          <w:p>
            <w:pPr>
              <w:spacing w:before="40" w:after="40"/>
            </w:pPr>
            <w:r/>
            <w:r>
              <w:rPr>
                <w:rFonts w:ascii="Calibri" w:hAnsi="Calibri"/>
                <w:b w:val="0"/>
                <w:sz w:val="16"/>
              </w:rPr>
              <w:t>Payments (Connect)</w:t>
            </w:r>
          </w:p>
        </w:tc>
        <w:tc>
          <w:tcPr>
            <w:tcW w:type="dxa" w:w="2736"/>
            <w:shd w:fill="F7FAFC"/>
          </w:tcPr>
          <w:p>
            <w:pPr>
              <w:spacing w:before="40" w:after="40"/>
            </w:pPr>
            <w:r/>
            <w:r>
              <w:rPr>
                <w:rFonts w:ascii="Calibri" w:hAnsi="Calibri"/>
                <w:b w:val="0"/>
                <w:sz w:val="16"/>
              </w:rPr>
              <w:t>Optional</w:t>
            </w:r>
          </w:p>
        </w:tc>
        <w:tc>
          <w:tcPr>
            <w:tcW w:type="dxa" w:w="2736"/>
            <w:shd w:fill="F7FAFC"/>
          </w:tcPr>
          <w:p>
            <w:pPr>
              <w:spacing w:before="40" w:after="40"/>
            </w:pPr>
            <w:r/>
            <w:r>
              <w:rPr>
                <w:rFonts w:ascii="Calibri" w:hAnsi="Calibri"/>
                <w:b w:val="0"/>
                <w:sz w:val="16"/>
              </w:rPr>
              <w:t>Included</w:t>
            </w:r>
          </w:p>
        </w:tc>
        <w:tc>
          <w:tcPr>
            <w:tcW w:type="dxa" w:w="2880"/>
            <w:shd w:fill="F7FAFC"/>
          </w:tcPr>
          <w:p>
            <w:pPr>
              <w:spacing w:before="40" w:after="40"/>
            </w:pPr>
            <w:r/>
            <w:r>
              <w:rPr>
                <w:rFonts w:ascii="Calibri" w:hAnsi="Calibri"/>
                <w:b w:val="0"/>
                <w:sz w:val="16"/>
              </w:rPr>
              <w:t>Included (+ optional take-rate later)</w:t>
            </w:r>
          </w:p>
        </w:tc>
      </w:tr>
    </w:tbl>
    <w:p/>
    <w:p>
      <w:pPr>
        <w:spacing w:after="160"/>
      </w:pPr>
      <w:r>
        <w:rPr>
          <w:rFonts w:ascii="Calibri" w:hAnsi="Calibri"/>
          <w:b w:val="0"/>
          <w:color w:val="4A5568"/>
          <w:sz w:val="18"/>
        </w:rPr>
        <w:t>Illustrative only — not published plan numbers. Use actual tenant usage telemetry (email jobs, SMS segments, R2 GB, WhatsApp template volume) to set final allowances.</w:t>
      </w:r>
    </w:p>
    <w:p>
      <w:pPr>
        <w:pStyle w:val="Heading1"/>
      </w:pPr>
      <w:r>
        <w:rPr>
          <w:color w:val="1A365D"/>
        </w:rPr>
        <w:t>7. Configuration Index (Env Var Names Only)</w:t>
      </w:r>
    </w:p>
    <w:p>
      <w:pPr>
        <w:spacing w:after="160"/>
      </w:pPr>
      <w:r>
        <w:rPr>
          <w:rFonts w:ascii="Calibri" w:hAnsi="Calibri"/>
          <w:b w:val="0"/>
          <w:color w:val="4A5568"/>
          <w:sz w:val="18"/>
        </w:rPr>
        <w:t>Secret values are intentionally omitted. Source of truth: backend/libs/core/config/env.validation.ts, email/, twilio/, and related integration modules.</w:t>
      </w:r>
    </w:p>
    <w:tbl>
      <w:tblPr>
        <w:tblStyle w:val="TableGrid"/>
        <w:tblW w:type="auto" w:w="0"/>
        <w:jc w:val="center"/>
        <w:tblLook w:firstColumn="1" w:firstRow="1" w:lastColumn="0" w:lastRow="0" w:noHBand="0" w:noVBand="1" w:val="04A0"/>
      </w:tblPr>
      <w:tblGrid>
        <w:gridCol w:w="5100"/>
        <w:gridCol w:w="5100"/>
      </w:tblGrid>
      <w:tr>
        <w:tc>
          <w:tcPr>
            <w:tcW w:type="dxa" w:w="2880"/>
            <w:shd w:fill="1A365D"/>
          </w:tcPr>
          <w:p>
            <w:pPr>
              <w:spacing w:before="40" w:after="40"/>
              <w:jc w:val="center"/>
            </w:pPr>
            <w:r/>
            <w:r>
              <w:rPr>
                <w:rFonts w:ascii="Calibri" w:hAnsi="Calibri"/>
                <w:b/>
                <w:color w:val="FFFFFF"/>
                <w:sz w:val="18"/>
              </w:rPr>
              <w:t>Domain</w:t>
            </w:r>
          </w:p>
        </w:tc>
        <w:tc>
          <w:tcPr>
            <w:tcW w:type="dxa" w:w="7920"/>
            <w:shd w:fill="1A365D"/>
          </w:tcPr>
          <w:p>
            <w:pPr>
              <w:spacing w:before="40" w:after="40"/>
              <w:jc w:val="center"/>
            </w:pPr>
            <w:r/>
            <w:r>
              <w:rPr>
                <w:rFonts w:ascii="Calibri" w:hAnsi="Calibri"/>
                <w:b/>
                <w:color w:val="FFFFFF"/>
                <w:sz w:val="18"/>
              </w:rPr>
              <w:t>Key env vars (names)</w:t>
            </w:r>
          </w:p>
        </w:tc>
      </w:tr>
      <w:tr>
        <w:tc>
          <w:tcPr>
            <w:tcW w:type="dxa" w:w="2880"/>
          </w:tcPr>
          <w:p>
            <w:pPr>
              <w:spacing w:before="40" w:after="40"/>
            </w:pPr>
            <w:r/>
            <w:r>
              <w:rPr>
                <w:rFonts w:ascii="Calibri" w:hAnsi="Calibri"/>
                <w:b w:val="0"/>
                <w:sz w:val="16"/>
              </w:rPr>
              <w:t>Database</w:t>
            </w:r>
          </w:p>
        </w:tc>
        <w:tc>
          <w:tcPr>
            <w:tcW w:type="dxa" w:w="7920"/>
          </w:tcPr>
          <w:p>
            <w:pPr>
              <w:spacing w:before="40" w:after="40"/>
            </w:pPr>
            <w:r/>
            <w:r>
              <w:rPr>
                <w:rFonts w:ascii="Calibri" w:hAnsi="Calibri"/>
                <w:b w:val="0"/>
                <w:sz w:val="16"/>
              </w:rPr>
              <w:t>DATABASE_URL, DB_HOST, DB_PORT, DB_USERNAME, DB_PASSWORD, DB_DATABASE, DB_POOL_MAX</w:t>
            </w:r>
          </w:p>
        </w:tc>
      </w:tr>
      <w:tr>
        <w:tc>
          <w:tcPr>
            <w:tcW w:type="dxa" w:w="2880"/>
            <w:shd w:fill="F7FAFC"/>
          </w:tcPr>
          <w:p>
            <w:pPr>
              <w:spacing w:before="40" w:after="40"/>
            </w:pPr>
            <w:r/>
            <w:r>
              <w:rPr>
                <w:rFonts w:ascii="Calibri" w:hAnsi="Calibri"/>
                <w:b w:val="0"/>
                <w:sz w:val="16"/>
              </w:rPr>
              <w:t>Redis</w:t>
            </w:r>
          </w:p>
        </w:tc>
        <w:tc>
          <w:tcPr>
            <w:tcW w:type="dxa" w:w="7920"/>
            <w:shd w:fill="F7FAFC"/>
          </w:tcPr>
          <w:p>
            <w:pPr>
              <w:spacing w:before="40" w:after="40"/>
            </w:pPr>
            <w:r/>
            <w:r>
              <w:rPr>
                <w:rFonts w:ascii="Calibri" w:hAnsi="Calibri"/>
                <w:b w:val="0"/>
                <w:sz w:val="16"/>
              </w:rPr>
              <w:t>REDIS_URL, REDIS_TLS, REDIS_PASSWORD, REQUIRE_REDIS</w:t>
            </w:r>
          </w:p>
        </w:tc>
      </w:tr>
      <w:tr>
        <w:tc>
          <w:tcPr>
            <w:tcW w:type="dxa" w:w="2880"/>
          </w:tcPr>
          <w:p>
            <w:pPr>
              <w:spacing w:before="40" w:after="40"/>
            </w:pPr>
            <w:r/>
            <w:r>
              <w:rPr>
                <w:rFonts w:ascii="Calibri" w:hAnsi="Calibri"/>
                <w:b w:val="0"/>
                <w:sz w:val="16"/>
              </w:rPr>
              <w:t>Email / Resend</w:t>
            </w:r>
          </w:p>
        </w:tc>
        <w:tc>
          <w:tcPr>
            <w:tcW w:type="dxa" w:w="7920"/>
          </w:tcPr>
          <w:p>
            <w:pPr>
              <w:spacing w:before="40" w:after="40"/>
            </w:pPr>
            <w:r/>
            <w:r>
              <w:rPr>
                <w:rFonts w:ascii="Calibri" w:hAnsi="Calibri"/>
                <w:b w:val="0"/>
                <w:sz w:val="16"/>
              </w:rPr>
              <w:t>EMAIL_ENABLED, EMAIL_DEFAULT_FROM, EMAIL_DEFAULT_REPLY_TO, RESEND_API_KEY, RESEND_WEBHOOK_SECRET, RESEND_SENDING_DOMAIN, RESEND_INBOUND_DOMAIN</w:t>
            </w:r>
          </w:p>
        </w:tc>
      </w:tr>
      <w:tr>
        <w:tc>
          <w:tcPr>
            <w:tcW w:type="dxa" w:w="2880"/>
            <w:shd w:fill="F7FAFC"/>
          </w:tcPr>
          <w:p>
            <w:pPr>
              <w:spacing w:before="40" w:after="40"/>
            </w:pPr>
            <w:r/>
            <w:r>
              <w:rPr>
                <w:rFonts w:ascii="Calibri" w:hAnsi="Calibri"/>
                <w:b w:val="0"/>
                <w:sz w:val="16"/>
              </w:rPr>
              <w:t>Twilio</w:t>
            </w:r>
          </w:p>
        </w:tc>
        <w:tc>
          <w:tcPr>
            <w:tcW w:type="dxa" w:w="7920"/>
            <w:shd w:fill="F7FAFC"/>
          </w:tcPr>
          <w:p>
            <w:pPr>
              <w:spacing w:before="40" w:after="40"/>
            </w:pPr>
            <w:r/>
            <w:r>
              <w:rPr>
                <w:rFonts w:ascii="Calibri" w:hAnsi="Calibri"/>
                <w:b w:val="0"/>
                <w:sz w:val="16"/>
              </w:rPr>
              <w:t>TWILIO_ENABLED, TWILIO_ACCOUNT_SID, TWILIO_AUTH_TOKEN, TWILIO_PLATFORM_FROM_NUMBER, TWILIO_SHARED_MESSAGING_SERVICE_SID, TWILIO_DEFAULT_AREA_CODE, TWILIO_AUTO_PURCHASE_NUMBERS</w:t>
            </w:r>
          </w:p>
        </w:tc>
      </w:tr>
      <w:tr>
        <w:tc>
          <w:tcPr>
            <w:tcW w:type="dxa" w:w="2880"/>
          </w:tcPr>
          <w:p>
            <w:pPr>
              <w:spacing w:before="40" w:after="40"/>
            </w:pPr>
            <w:r/>
            <w:r>
              <w:rPr>
                <w:rFonts w:ascii="Calibri" w:hAnsi="Calibri"/>
                <w:b w:val="0"/>
                <w:sz w:val="16"/>
              </w:rPr>
              <w:t>Stripe</w:t>
            </w:r>
          </w:p>
        </w:tc>
        <w:tc>
          <w:tcPr>
            <w:tcW w:type="dxa" w:w="7920"/>
          </w:tcPr>
          <w:p>
            <w:pPr>
              <w:spacing w:before="40" w:after="40"/>
            </w:pPr>
            <w:r/>
            <w:r>
              <w:rPr>
                <w:rFonts w:ascii="Calibri" w:hAnsi="Calibri"/>
                <w:b w:val="0"/>
                <w:sz w:val="16"/>
              </w:rPr>
              <w:t>STRIPE_CONNECT_ENABLED, STRIPE_SECRET_KEY, STRIPE_PUBLISHABLE_KEY, STRIPE_CLIENT_ID, STRIPE_REDIRECT_URI, STRIPE_WEBHOOK_SECRET_PLATFORM, STRIPE_WEBHOOK_SECRET_CONNECTED_ACCOUNT, STRIPE_*_TEST</w:t>
            </w:r>
          </w:p>
        </w:tc>
      </w:tr>
      <w:tr>
        <w:tc>
          <w:tcPr>
            <w:tcW w:type="dxa" w:w="2880"/>
            <w:shd w:fill="F7FAFC"/>
          </w:tcPr>
          <w:p>
            <w:pPr>
              <w:spacing w:before="40" w:after="40"/>
            </w:pPr>
            <w:r/>
            <w:r>
              <w:rPr>
                <w:rFonts w:ascii="Calibri" w:hAnsi="Calibri"/>
                <w:b w:val="0"/>
                <w:sz w:val="16"/>
              </w:rPr>
              <w:t>R2 storage</w:t>
            </w:r>
          </w:p>
        </w:tc>
        <w:tc>
          <w:tcPr>
            <w:tcW w:type="dxa" w:w="7920"/>
            <w:shd w:fill="F7FAFC"/>
          </w:tcPr>
          <w:p>
            <w:pPr>
              <w:spacing w:before="40" w:after="40"/>
            </w:pPr>
            <w:r/>
            <w:r>
              <w:rPr>
                <w:rFonts w:ascii="Calibri" w:hAnsi="Calibri"/>
                <w:b w:val="0"/>
                <w:sz w:val="16"/>
              </w:rPr>
              <w:t>R2_BUCKET, R2_ENDPOINT, R2_ACCESS_KEY_ID, R2_SECRET_ACCESS_KEY, R2_PUBLIC_BASE_URL, R2_SIGNED_*_EXPIRES_SECONDS</w:t>
            </w:r>
          </w:p>
        </w:tc>
      </w:tr>
      <w:tr>
        <w:tc>
          <w:tcPr>
            <w:tcW w:type="dxa" w:w="2880"/>
          </w:tcPr>
          <w:p>
            <w:pPr>
              <w:spacing w:before="40" w:after="40"/>
            </w:pPr>
            <w:r/>
            <w:r>
              <w:rPr>
                <w:rFonts w:ascii="Calibri" w:hAnsi="Calibri"/>
                <w:b w:val="0"/>
                <w:sz w:val="16"/>
              </w:rPr>
              <w:t>Meta / WhatsApp</w:t>
            </w:r>
          </w:p>
        </w:tc>
        <w:tc>
          <w:tcPr>
            <w:tcW w:type="dxa" w:w="7920"/>
          </w:tcPr>
          <w:p>
            <w:pPr>
              <w:spacing w:before="40" w:after="40"/>
            </w:pPr>
            <w:r/>
            <w:r>
              <w:rPr>
                <w:rFonts w:ascii="Calibri" w:hAnsi="Calibri"/>
                <w:b w:val="0"/>
                <w:sz w:val="16"/>
              </w:rPr>
              <w:t>META_OAUTH_ENABLED, META_APP_ID, META_APP_SECRET, META_REDIRECT_URI, META_WEBHOOK_*, META_*_LOGIN_CONFIG_ID, META_EMBEDDED_SIGNUP_CONFIG_ID</w:t>
            </w:r>
          </w:p>
        </w:tc>
      </w:tr>
      <w:tr>
        <w:tc>
          <w:tcPr>
            <w:tcW w:type="dxa" w:w="2880"/>
            <w:shd w:fill="F7FAFC"/>
          </w:tcPr>
          <w:p>
            <w:pPr>
              <w:spacing w:before="40" w:after="40"/>
            </w:pPr>
            <w:r/>
            <w:r>
              <w:rPr>
                <w:rFonts w:ascii="Calibri" w:hAnsi="Calibri"/>
                <w:b w:val="0"/>
                <w:sz w:val="16"/>
              </w:rPr>
              <w:t>Google</w:t>
            </w:r>
          </w:p>
        </w:tc>
        <w:tc>
          <w:tcPr>
            <w:tcW w:type="dxa" w:w="7920"/>
            <w:shd w:fill="F7FAFC"/>
          </w:tcPr>
          <w:p>
            <w:pPr>
              <w:spacing w:before="40" w:after="40"/>
            </w:pPr>
            <w:r/>
            <w:r>
              <w:rPr>
                <w:rFonts w:ascii="Calibri" w:hAnsi="Calibri"/>
                <w:b w:val="0"/>
                <w:sz w:val="16"/>
              </w:rPr>
              <w:t>GOOGLE_OAUTH_ENABLED, GOOGLE_CLIENT_ID, GOOGLE_CLIENT_SECRET, GOOGLE_OAUTH_REDIRECT_URI</w:t>
            </w:r>
          </w:p>
        </w:tc>
      </w:tr>
      <w:tr>
        <w:tc>
          <w:tcPr>
            <w:tcW w:type="dxa" w:w="2880"/>
          </w:tcPr>
          <w:p>
            <w:pPr>
              <w:spacing w:before="40" w:after="40"/>
            </w:pPr>
            <w:r/>
            <w:r>
              <w:rPr>
                <w:rFonts w:ascii="Calibri" w:hAnsi="Calibri"/>
                <w:b w:val="0"/>
                <w:sz w:val="16"/>
              </w:rPr>
              <w:t>LinkedIn / X / Pinterest / TikTok</w:t>
            </w:r>
          </w:p>
        </w:tc>
        <w:tc>
          <w:tcPr>
            <w:tcW w:type="dxa" w:w="7920"/>
          </w:tcPr>
          <w:p>
            <w:pPr>
              <w:spacing w:before="40" w:after="40"/>
            </w:pPr>
            <w:r/>
            <w:r>
              <w:rPr>
                <w:rFonts w:ascii="Calibri" w:hAnsi="Calibri"/>
                <w:b w:val="0"/>
                <w:sz w:val="16"/>
              </w:rPr>
              <w:t>LINKEDIN_*, X_OAUTH_*, PINTEREST_*, TIKTOK_*</w:t>
            </w:r>
          </w:p>
        </w:tc>
      </w:tr>
      <w:tr>
        <w:tc>
          <w:tcPr>
            <w:tcW w:type="dxa" w:w="2880"/>
            <w:shd w:fill="F7FAFC"/>
          </w:tcPr>
          <w:p>
            <w:pPr>
              <w:spacing w:before="40" w:after="40"/>
            </w:pPr>
            <w:r/>
            <w:r>
              <w:rPr>
                <w:rFonts w:ascii="Calibri" w:hAnsi="Calibri"/>
                <w:b w:val="0"/>
                <w:sz w:val="16"/>
              </w:rPr>
              <w:t>Shared crypto</w:t>
            </w:r>
          </w:p>
        </w:tc>
        <w:tc>
          <w:tcPr>
            <w:tcW w:type="dxa" w:w="7920"/>
            <w:shd w:fill="F7FAFC"/>
          </w:tcPr>
          <w:p>
            <w:pPr>
              <w:spacing w:before="40" w:after="40"/>
            </w:pPr>
            <w:r/>
            <w:r>
              <w:rPr>
                <w:rFonts w:ascii="Calibri" w:hAnsi="Calibri"/>
                <w:b w:val="0"/>
                <w:sz w:val="16"/>
              </w:rPr>
              <w:t>INTEGRATION_ENCRYPTION_KEY (required when OAuth integrations enabled)</w:t>
            </w:r>
          </w:p>
        </w:tc>
      </w:tr>
      <w:tr>
        <w:tc>
          <w:tcPr>
            <w:tcW w:type="dxa" w:w="2880"/>
          </w:tcPr>
          <w:p>
            <w:pPr>
              <w:spacing w:before="40" w:after="40"/>
            </w:pPr>
            <w:r/>
            <w:r>
              <w:rPr>
                <w:rFonts w:ascii="Calibri" w:hAnsi="Calibri"/>
                <w:b w:val="0"/>
                <w:sz w:val="16"/>
              </w:rPr>
              <w:t>Realtime / URLs</w:t>
            </w:r>
          </w:p>
        </w:tc>
        <w:tc>
          <w:tcPr>
            <w:tcW w:type="dxa" w:w="7920"/>
          </w:tcPr>
          <w:p>
            <w:pPr>
              <w:spacing w:before="40" w:after="40"/>
            </w:pPr>
            <w:r/>
            <w:r>
              <w:rPr>
                <w:rFonts w:ascii="Calibri" w:hAnsi="Calibri"/>
                <w:b w:val="0"/>
                <w:sz w:val="16"/>
              </w:rPr>
              <w:t>REALTIME_WEBSOCKET_ENABLED, FRONTEND_URL, BACKEND_PUBLIC_URL, NEXT_PUBLIC_ENABLE_WEBSOCKET, NEXT_PUBLIC_ENABLE_SSE</w:t>
            </w:r>
          </w:p>
        </w:tc>
      </w:tr>
    </w:tbl>
    <w:p/>
    <w:p>
      <w:pPr>
        <w:pStyle w:val="Heading1"/>
      </w:pPr>
      <w:r>
        <w:rPr>
          <w:color w:val="1A365D"/>
        </w:rPr>
        <w:t>8. Evidence Sources in the Codebase</w:t>
      </w:r>
    </w:p>
    <w:tbl>
      <w:tblPr>
        <w:tblStyle w:val="TableGrid"/>
        <w:tblW w:type="auto" w:w="0"/>
        <w:jc w:val="center"/>
        <w:tblLook w:firstColumn="1" w:firstRow="1" w:lastColumn="0" w:lastRow="0" w:noHBand="0" w:noVBand="1" w:val="04A0"/>
      </w:tblPr>
      <w:tblGrid>
        <w:gridCol w:w="5100"/>
        <w:gridCol w:w="5100"/>
      </w:tblGrid>
      <w:tr>
        <w:tc>
          <w:tcPr>
            <w:tcW w:type="dxa" w:w="3600"/>
            <w:shd w:fill="1A365D"/>
          </w:tcPr>
          <w:p>
            <w:pPr>
              <w:spacing w:before="40" w:after="40"/>
              <w:jc w:val="center"/>
            </w:pPr>
            <w:r/>
            <w:r>
              <w:rPr>
                <w:rFonts w:ascii="Calibri" w:hAnsi="Calibri"/>
                <w:b/>
                <w:color w:val="FFFFFF"/>
                <w:sz w:val="18"/>
              </w:rPr>
              <w:t>Area</w:t>
            </w:r>
          </w:p>
        </w:tc>
        <w:tc>
          <w:tcPr>
            <w:tcW w:type="dxa" w:w="7200"/>
            <w:shd w:fill="1A365D"/>
          </w:tcPr>
          <w:p>
            <w:pPr>
              <w:spacing w:before="40" w:after="40"/>
              <w:jc w:val="center"/>
            </w:pPr>
            <w:r/>
            <w:r>
              <w:rPr>
                <w:rFonts w:ascii="Calibri" w:hAnsi="Calibri"/>
                <w:b/>
                <w:color w:val="FFFFFF"/>
                <w:sz w:val="18"/>
              </w:rPr>
              <w:t>Path</w:t>
            </w:r>
          </w:p>
        </w:tc>
      </w:tr>
      <w:tr>
        <w:tc>
          <w:tcPr>
            <w:tcW w:type="dxa" w:w="3600"/>
          </w:tcPr>
          <w:p>
            <w:pPr>
              <w:spacing w:before="40" w:after="40"/>
            </w:pPr>
            <w:r/>
            <w:r>
              <w:rPr>
                <w:rFonts w:ascii="Calibri" w:hAnsi="Calibri"/>
                <w:b w:val="0"/>
                <w:sz w:val="16"/>
              </w:rPr>
              <w:t>Env validation</w:t>
            </w:r>
          </w:p>
        </w:tc>
        <w:tc>
          <w:tcPr>
            <w:tcW w:type="dxa" w:w="7200"/>
          </w:tcPr>
          <w:p>
            <w:pPr>
              <w:spacing w:before="40" w:after="40"/>
            </w:pPr>
            <w:r/>
            <w:r>
              <w:rPr>
                <w:rFonts w:ascii="Calibri" w:hAnsi="Calibri"/>
                <w:b w:val="0"/>
                <w:sz w:val="16"/>
              </w:rPr>
              <w:t>backend/libs/core/config/env.validation.ts</w:t>
            </w:r>
          </w:p>
        </w:tc>
      </w:tr>
      <w:tr>
        <w:tc>
          <w:tcPr>
            <w:tcW w:type="dxa" w:w="3600"/>
            <w:shd w:fill="F7FAFC"/>
          </w:tcPr>
          <w:p>
            <w:pPr>
              <w:spacing w:before="40" w:after="40"/>
            </w:pPr>
            <w:r/>
            <w:r>
              <w:rPr>
                <w:rFonts w:ascii="Calibri" w:hAnsi="Calibri"/>
                <w:b w:val="0"/>
                <w:sz w:val="16"/>
              </w:rPr>
              <w:t>Email config</w:t>
            </w:r>
          </w:p>
        </w:tc>
        <w:tc>
          <w:tcPr>
            <w:tcW w:type="dxa" w:w="7200"/>
            <w:shd w:fill="F7FAFC"/>
          </w:tcPr>
          <w:p>
            <w:pPr>
              <w:spacing w:before="40" w:after="40"/>
            </w:pPr>
            <w:r/>
            <w:r>
              <w:rPr>
                <w:rFonts w:ascii="Calibri" w:hAnsi="Calibri"/>
                <w:b w:val="0"/>
                <w:sz w:val="16"/>
              </w:rPr>
              <w:t>backend/libs/core/config/email/</w:t>
            </w:r>
          </w:p>
        </w:tc>
      </w:tr>
      <w:tr>
        <w:tc>
          <w:tcPr>
            <w:tcW w:type="dxa" w:w="3600"/>
          </w:tcPr>
          <w:p>
            <w:pPr>
              <w:spacing w:before="40" w:after="40"/>
            </w:pPr>
            <w:r/>
            <w:r>
              <w:rPr>
                <w:rFonts w:ascii="Calibri" w:hAnsi="Calibri"/>
                <w:b w:val="0"/>
                <w:sz w:val="16"/>
              </w:rPr>
              <w:t>Twilio config</w:t>
            </w:r>
          </w:p>
        </w:tc>
        <w:tc>
          <w:tcPr>
            <w:tcW w:type="dxa" w:w="7200"/>
          </w:tcPr>
          <w:p>
            <w:pPr>
              <w:spacing w:before="40" w:after="40"/>
            </w:pPr>
            <w:r/>
            <w:r>
              <w:rPr>
                <w:rFonts w:ascii="Calibri" w:hAnsi="Calibri"/>
                <w:b w:val="0"/>
                <w:sz w:val="16"/>
              </w:rPr>
              <w:t>backend/libs/core/config/twilio/</w:t>
            </w:r>
          </w:p>
        </w:tc>
      </w:tr>
      <w:tr>
        <w:tc>
          <w:tcPr>
            <w:tcW w:type="dxa" w:w="3600"/>
            <w:shd w:fill="F7FAFC"/>
          </w:tcPr>
          <w:p>
            <w:pPr>
              <w:spacing w:before="40" w:after="40"/>
            </w:pPr>
            <w:r/>
            <w:r>
              <w:rPr>
                <w:rFonts w:ascii="Calibri" w:hAnsi="Calibri"/>
                <w:b w:val="0"/>
                <w:sz w:val="16"/>
              </w:rPr>
              <w:t>Integrations hub</w:t>
            </w:r>
          </w:p>
        </w:tc>
        <w:tc>
          <w:tcPr>
            <w:tcW w:type="dxa" w:w="7200"/>
            <w:shd w:fill="F7FAFC"/>
          </w:tcPr>
          <w:p>
            <w:pPr>
              <w:spacing w:before="40" w:after="40"/>
            </w:pPr>
            <w:r/>
            <w:r>
              <w:rPr>
                <w:rFonts w:ascii="Calibri" w:hAnsi="Calibri"/>
                <w:b w:val="0"/>
                <w:sz w:val="16"/>
              </w:rPr>
              <w:t>backend/libs/modules/integrations/</w:t>
            </w:r>
          </w:p>
        </w:tc>
      </w:tr>
      <w:tr>
        <w:tc>
          <w:tcPr>
            <w:tcW w:type="dxa" w:w="3600"/>
          </w:tcPr>
          <w:p>
            <w:pPr>
              <w:spacing w:before="40" w:after="40"/>
            </w:pPr>
            <w:r/>
            <w:r>
              <w:rPr>
                <w:rFonts w:ascii="Calibri" w:hAnsi="Calibri"/>
                <w:b w:val="0"/>
                <w:sz w:val="16"/>
              </w:rPr>
              <w:t>Platform Stripe billing</w:t>
            </w:r>
          </w:p>
        </w:tc>
        <w:tc>
          <w:tcPr>
            <w:tcW w:type="dxa" w:w="7200"/>
          </w:tcPr>
          <w:p>
            <w:pPr>
              <w:spacing w:before="40" w:after="40"/>
            </w:pPr>
            <w:r/>
            <w:r>
              <w:rPr>
                <w:rFonts w:ascii="Calibri" w:hAnsi="Calibri"/>
                <w:b w:val="0"/>
                <w:sz w:val="16"/>
              </w:rPr>
              <w:t>backend/libs/modules/platform/billing/stripe/</w:t>
            </w:r>
          </w:p>
        </w:tc>
      </w:tr>
      <w:tr>
        <w:tc>
          <w:tcPr>
            <w:tcW w:type="dxa" w:w="3600"/>
            <w:shd w:fill="F7FAFC"/>
          </w:tcPr>
          <w:p>
            <w:pPr>
              <w:spacing w:before="40" w:after="40"/>
            </w:pPr>
            <w:r/>
            <w:r>
              <w:rPr>
                <w:rFonts w:ascii="Calibri" w:hAnsi="Calibri"/>
                <w:b w:val="0"/>
                <w:sz w:val="16"/>
              </w:rPr>
              <w:t>Storage (R2)</w:t>
            </w:r>
          </w:p>
        </w:tc>
        <w:tc>
          <w:tcPr>
            <w:tcW w:type="dxa" w:w="7200"/>
            <w:shd w:fill="F7FAFC"/>
          </w:tcPr>
          <w:p>
            <w:pPr>
              <w:spacing w:before="40" w:after="40"/>
            </w:pPr>
            <w:r/>
            <w:r>
              <w:rPr>
                <w:rFonts w:ascii="Calibri" w:hAnsi="Calibri"/>
                <w:b w:val="0"/>
                <w:sz w:val="16"/>
              </w:rPr>
              <w:t>backend/libs/modules/storage/</w:t>
            </w:r>
          </w:p>
        </w:tc>
      </w:tr>
      <w:tr>
        <w:tc>
          <w:tcPr>
            <w:tcW w:type="dxa" w:w="3600"/>
          </w:tcPr>
          <w:p>
            <w:pPr>
              <w:spacing w:before="40" w:after="40"/>
            </w:pPr>
            <w:r/>
            <w:r>
              <w:rPr>
                <w:rFonts w:ascii="Calibri" w:hAnsi="Calibri"/>
                <w:b w:val="0"/>
                <w:sz w:val="16"/>
              </w:rPr>
              <w:t>Package manifests</w:t>
            </w:r>
          </w:p>
        </w:tc>
        <w:tc>
          <w:tcPr>
            <w:tcW w:type="dxa" w:w="7200"/>
          </w:tcPr>
          <w:p>
            <w:pPr>
              <w:spacing w:before="40" w:after="40"/>
            </w:pPr>
            <w:r/>
            <w:r>
              <w:rPr>
                <w:rFonts w:ascii="Calibri" w:hAnsi="Calibri"/>
                <w:b w:val="0"/>
                <w:sz w:val="16"/>
              </w:rPr>
              <w:t>backend/package.json, frontend/package.json</w:t>
            </w:r>
          </w:p>
        </w:tc>
      </w:tr>
      <w:tr>
        <w:tc>
          <w:tcPr>
            <w:tcW w:type="dxa" w:w="3600"/>
            <w:shd w:fill="F7FAFC"/>
          </w:tcPr>
          <w:p>
            <w:pPr>
              <w:spacing w:before="40" w:after="40"/>
            </w:pPr>
            <w:r/>
            <w:r>
              <w:rPr>
                <w:rFonts w:ascii="Calibri" w:hAnsi="Calibri"/>
                <w:b w:val="0"/>
                <w:sz w:val="16"/>
              </w:rPr>
              <w:t>Local infra</w:t>
            </w:r>
          </w:p>
        </w:tc>
        <w:tc>
          <w:tcPr>
            <w:tcW w:type="dxa" w:w="7200"/>
            <w:shd w:fill="F7FAFC"/>
          </w:tcPr>
          <w:p>
            <w:pPr>
              <w:spacing w:before="40" w:after="40"/>
            </w:pPr>
            <w:r/>
            <w:r>
              <w:rPr>
                <w:rFonts w:ascii="Calibri" w:hAnsi="Calibri"/>
                <w:b w:val="0"/>
                <w:sz w:val="16"/>
              </w:rPr>
              <w:t>docker-compose.yml</w:t>
            </w:r>
          </w:p>
        </w:tc>
      </w:tr>
      <w:tr>
        <w:tc>
          <w:tcPr>
            <w:tcW w:type="dxa" w:w="3600"/>
          </w:tcPr>
          <w:p>
            <w:pPr>
              <w:spacing w:before="40" w:after="40"/>
            </w:pPr>
            <w:r/>
            <w:r>
              <w:rPr>
                <w:rFonts w:ascii="Calibri" w:hAnsi="Calibri"/>
                <w:b w:val="0"/>
                <w:sz w:val="16"/>
              </w:rPr>
              <w:t>Product / agent map</w:t>
            </w:r>
          </w:p>
        </w:tc>
        <w:tc>
          <w:tcPr>
            <w:tcW w:type="dxa" w:w="7200"/>
          </w:tcPr>
          <w:p>
            <w:pPr>
              <w:spacing w:before="40" w:after="40"/>
            </w:pPr>
            <w:r/>
            <w:r>
              <w:rPr>
                <w:rFonts w:ascii="Calibri" w:hAnsi="Calibri"/>
                <w:b w:val="0"/>
                <w:sz w:val="16"/>
              </w:rPr>
              <w:t>AGENTS.md, .approach/</w:t>
            </w:r>
          </w:p>
        </w:tc>
      </w:tr>
    </w:tbl>
    <w:p/>
    <w:p>
      <w:pPr>
        <w:pStyle w:val="Heading1"/>
      </w:pPr>
      <w:r>
        <w:rPr>
          <w:color w:val="1A365D"/>
        </w:rPr>
        <w:t>9. Disclaimer</w:t>
      </w:r>
    </w:p>
    <w:p>
      <w:pPr>
        <w:spacing w:after="160"/>
      </w:pPr>
      <w:r>
        <w:rPr>
          <w:rFonts w:ascii="Calibri" w:hAnsi="Calibri"/>
          <w:b w:val="0"/>
          <w:color w:val="4A5568"/>
          <w:sz w:val="18"/>
        </w:rPr>
        <w:t>Vendor prices change without notice (Twilio carrier fees, Meta WhatsApp rate cards, Stripe Billing plans, Resend tiers, R2 rates, X API plans). This document is an internal planning aid based on code inventory + public pricing pages as of September 2026. Re-verify rates and your actual invoices before publishing customer-facing plan prices. No secret keys or credential values are included in this report.</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