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6B6B"/>
          <w:sz w:val="22"/>
        </w:rPr>
        <w:t>&lt;PROJECT NAME&gt;</w:t>
      </w:r>
    </w:p>
    <w:p>
      <w:r>
        <w:rPr>
          <w:b/>
          <w:color w:val="16314D"/>
          <w:sz w:val="48"/>
        </w:rPr>
        <w:t>Backend Engineering Document</w:t>
      </w:r>
    </w:p>
    <w:p>
      <w:r>
        <w:rPr>
          <w:i/>
          <w:color w:val="6B6B6B"/>
          <w:sz w:val="24"/>
        </w:rPr>
        <w:t>The server: structure, endpoints, data, how to run it</w:t>
      </w:r>
    </w:p>
    <w:p/>
    <w:tbl>
      <w:tblPr>
        <w:tblStyle w:val="LightGrid-Accent1"/>
        <w:tblW w:type="auto" w:w="0"/>
        <w:tblLook w:firstColumn="1" w:firstRow="1" w:lastColumn="0" w:lastRow="0" w:noHBand="0" w:noVBand="1" w:val="04A0"/>
      </w:tblPr>
      <w:tblGrid>
        <w:gridCol w:w="4320"/>
        <w:gridCol w:w="4320"/>
      </w:tblGrid>
      <w:tr>
        <w:tc>
          <w:tcPr>
            <w:tcW w:type="dxa" w:w="4320"/>
          </w:tcPr>
          <w:p>
            <w:r>
              <w:t>Team / Use case</w:t>
            </w:r>
          </w:p>
        </w:tc>
        <w:tc>
          <w:tcPr>
            <w:tcW w:type="dxa" w:w="4320"/>
          </w:tcPr>
          <w:p>
            <w:r>
              <w:t>U-CS __   |   names:</w:t>
            </w:r>
          </w:p>
        </w:tc>
      </w:tr>
      <w:tr>
        <w:tc>
          <w:tcPr>
            <w:tcW w:type="dxa" w:w="4320"/>
          </w:tcPr>
          <w:p>
            <w:r>
              <w:t>Version</w:t>
            </w:r>
          </w:p>
        </w:tc>
        <w:tc>
          <w:tcPr>
            <w:tcW w:type="dxa" w:w="4320"/>
          </w:tcPr>
          <w:p>
            <w:r>
              <w:t>0.1</w:t>
            </w:r>
          </w:p>
        </w:tc>
      </w:tr>
      <w:tr>
        <w:tc>
          <w:tcPr>
            <w:tcW w:type="dxa" w:w="4320"/>
          </w:tcPr>
          <w:p>
            <w:r>
              <w:t>Date</w:t>
            </w:r>
          </w:p>
        </w:tc>
        <w:tc>
          <w:tcPr>
            <w:tcW w:type="dxa" w:w="4320"/>
          </w:tcPr>
          <w:p>
            <w:r/>
          </w:p>
        </w:tc>
      </w:tr>
      <w:tr>
        <w:tc>
          <w:tcPr>
            <w:tcW w:type="dxa" w:w="4320"/>
          </w:tcPr>
          <w:p>
            <w:r>
              <w:t>Owner</w:t>
            </w:r>
          </w:p>
        </w:tc>
        <w:tc>
          <w:tcPr>
            <w:tcW w:type="dxa" w:w="4320"/>
          </w:tcPr>
          <w:p>
            <w:r/>
          </w:p>
        </w:tc>
      </w:tr>
      <w:tr>
        <w:tc>
          <w:tcPr>
            <w:tcW w:type="dxa" w:w="4320"/>
          </w:tcPr>
          <w:p>
            <w:r>
              <w:t>Reviewed by</w:t>
            </w:r>
          </w:p>
        </w:tc>
        <w:tc>
          <w:tcPr>
            <w:tcW w:type="dxa" w:w="4320"/>
          </w:tcPr>
          <w:p>
            <w:r>
              <w:t>Benjamin Kakai</w:t>
            </w:r>
          </w:p>
        </w:tc>
      </w:tr>
    </w:tbl>
    <w:p/>
    <w:p>
      <w:r>
        <w:rPr>
          <w:b/>
          <w:color w:val="16314D"/>
        </w:rPr>
        <w:t xml:space="preserve">What this kind of document is. </w:t>
      </w:r>
      <w:r>
        <w:t>A backend engineering document shows the server: its folder structure, its modules, every API endpoint, the database schema, and the commands to run it. Someone who has never seen the code should get it running from this alone.</w:t>
      </w:r>
    </w:p>
    <w:p>
      <w:r>
        <w:rPr>
          <w:b/>
          <w:color w:val="16314D"/>
        </w:rPr>
        <w:t xml:space="preserve">What this one is for. </w:t>
      </w:r>
      <w:r>
        <w:t>Everything a developer needs to run and extend the backend.</w:t>
      </w:r>
    </w:p>
    <w:p/>
    <w:p>
      <w:pPr>
        <w:pStyle w:val="Heading1"/>
      </w:pPr>
      <w:r>
        <w:rPr>
          <w:color w:val="16314D"/>
        </w:rPr>
        <w:t>1. Stack and versions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VERSION</w:t>
            </w:r>
          </w:p>
        </w:tc>
      </w:tr>
      <w:tr>
        <w:tc>
          <w:tcPr>
            <w:tcW w:type="dxa" w:w="4320"/>
          </w:tcPr>
          <w:p>
            <w:r>
              <w:t>Runtime</w:t>
            </w:r>
          </w:p>
        </w:tc>
        <w:tc>
          <w:tcPr>
            <w:tcW w:type="dxa" w:w="4320"/>
          </w:tcPr>
          <w:p>
            <w:r>
              <w:t>(fill this in)</w:t>
            </w:r>
          </w:p>
        </w:tc>
      </w:tr>
      <w:tr>
        <w:tc>
          <w:tcPr>
            <w:tcW w:type="dxa" w:w="4320"/>
          </w:tcPr>
          <w:p>
            <w:r>
              <w:t>Framework</w:t>
            </w:r>
          </w:p>
        </w:tc>
        <w:tc>
          <w:tcPr>
            <w:tcW w:type="dxa" w:w="4320"/>
          </w:tcPr>
          <w:p>
            <w:r/>
          </w:p>
        </w:tc>
      </w:tr>
      <w:tr>
        <w:tc>
          <w:tcPr>
            <w:tcW w:type="dxa" w:w="4320"/>
          </w:tcPr>
          <w:p>
            <w:r>
              <w:t>Database</w:t>
            </w:r>
          </w:p>
        </w:tc>
        <w:tc>
          <w:tcPr>
            <w:tcW w:type="dxa" w:w="4320"/>
          </w:tcPr>
          <w:p>
            <w:r/>
          </w:p>
        </w:tc>
      </w:tr>
      <w:tr>
        <w:tc>
          <w:tcPr>
            <w:tcW w:type="dxa" w:w="4320"/>
          </w:tcPr>
          <w:p>
            <w:r>
              <w:t>ORM</w:t>
            </w:r>
          </w:p>
        </w:tc>
        <w:tc>
          <w:tcPr>
            <w:tcW w:type="dxa" w:w="4320"/>
          </w:tcPr>
          <w:p>
            <w:r/>
          </w:p>
        </w:tc>
      </w:tr>
    </w:tbl>
    <w:p/>
    <w:p>
      <w:pPr>
        <w:pStyle w:val="Heading1"/>
      </w:pPr>
      <w:r>
        <w:rPr>
          <w:color w:val="16314D"/>
        </w:rPr>
        <w:t>2. Project structure</w:t>
      </w:r>
    </w:p>
    <w:p>
      <w:r>
        <w:rPr>
          <w:i/>
          <w:color w:val="6B6B6B"/>
          <w:sz w:val="20"/>
        </w:rPr>
        <w:t>A tree of the folders and one line on what each contains.</w:t>
      </w:r>
    </w:p>
    <w:p/>
    <w:p>
      <w:pPr>
        <w:pStyle w:val="Heading1"/>
      </w:pPr>
      <w:r>
        <w:rPr>
          <w:color w:val="16314D"/>
        </w:rPr>
        <w:t>3. Modules</w:t>
      </w:r>
    </w:p>
    <w:p>
      <w:r>
        <w:rPr>
          <w:i/>
          <w:color w:val="6B6B6B"/>
          <w:sz w:val="20"/>
        </w:rPr>
        <w:t>What each module is responsible for. One line each.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MODULE</w:t>
            </w:r>
          </w:p>
        </w:tc>
        <w:tc>
          <w:tcPr>
            <w:tcW w:type="dxa" w:w="4320"/>
          </w:tcPr>
          <w:p>
            <w:r/>
            <w:r>
              <w:rPr>
                <w:b/>
              </w:rPr>
              <w:t>RESPONSIBILITY</w:t>
            </w:r>
          </w:p>
        </w:tc>
      </w:tr>
      <w:tr>
        <w:tc>
          <w:tcPr>
            <w:tcW w:type="dxa" w:w="4320"/>
          </w:tcPr>
          <w:p>
            <w:r>
              <w:t>(fill this in)</w:t>
            </w:r>
          </w:p>
        </w:tc>
        <w:tc>
          <w:tcPr>
            <w:tcW w:type="dxa" w:w="4320"/>
          </w:tcPr>
          <w:p>
            <w:r>
              <w:t>(fill this in)</w:t>
            </w:r>
          </w:p>
        </w:tc>
      </w:tr>
      <w:tr>
        <w:tc>
          <w:tcPr>
            <w:tcW w:type="dxa" w:w="4320"/>
          </w:tcPr>
          <w:p>
            <w:r/>
          </w:p>
        </w:tc>
        <w:tc>
          <w:tcPr>
            <w:tcW w:type="dxa" w:w="4320"/>
          </w:tcPr>
          <w:p>
            <w:r/>
          </w:p>
        </w:tc>
      </w:tr>
    </w:tbl>
    <w:p/>
    <w:p>
      <w:pPr>
        <w:pStyle w:val="Heading1"/>
      </w:pPr>
      <w:r>
        <w:rPr>
          <w:color w:val="16314D"/>
        </w:rPr>
        <w:t>4. API endpoints</w:t>
      </w:r>
    </w:p>
    <w:p>
      <w:r>
        <w:rPr>
          <w:i/>
          <w:color w:val="6B6B6B"/>
          <w:sz w:val="20"/>
        </w:rPr>
        <w:t>Every route. Keep this current — it is the first thing anyone reads.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PATH</w:t>
            </w:r>
          </w:p>
        </w:tc>
        <w:tc>
          <w:tcPr>
            <w:tcW w:type="dxa" w:w="2160"/>
          </w:tcPr>
          <w:p>
            <w:r/>
            <w:r>
              <w:rPr>
                <w:b/>
              </w:rPr>
              <w:t>AUTH</w:t>
            </w:r>
          </w:p>
        </w:tc>
        <w:tc>
          <w:tcPr>
            <w:tcW w:type="dxa" w:w="2160"/>
          </w:tcPr>
          <w:p>
            <w:r/>
            <w:r>
              <w:rPr>
                <w:b/>
              </w:rPr>
              <w:t>PURPOSE</w:t>
            </w:r>
          </w:p>
        </w:tc>
      </w:tr>
      <w:tr>
        <w:tc>
          <w:tcPr>
            <w:tcW w:type="dxa" w:w="2160"/>
          </w:tcPr>
          <w:p>
            <w:r>
              <w:t>GET</w:t>
            </w:r>
          </w:p>
        </w:tc>
        <w:tc>
          <w:tcPr>
            <w:tcW w:type="dxa" w:w="2160"/>
          </w:tcPr>
          <w:p>
            <w:r>
              <w:t>/health</w:t>
            </w:r>
          </w:p>
        </w:tc>
        <w:tc>
          <w:tcPr>
            <w:tcW w:type="dxa" w:w="2160"/>
          </w:tcPr>
          <w:p>
            <w:r>
              <w:t>no</w:t>
            </w:r>
          </w:p>
        </w:tc>
        <w:tc>
          <w:tcPr>
            <w:tcW w:type="dxa" w:w="2160"/>
          </w:tcPr>
          <w:p>
            <w:r>
              <w:t>liveness check</w:t>
            </w:r>
          </w:p>
        </w:tc>
      </w:tr>
      <w:tr>
        <w:tc>
          <w:tcPr>
            <w:tcW w:type="dxa" w:w="2160"/>
          </w:tcPr>
          <w:p>
            <w:r/>
          </w:p>
        </w:tc>
        <w:tc>
          <w:tcPr>
            <w:tcW w:type="dxa" w:w="2160"/>
          </w:tcPr>
          <w:p>
            <w:r/>
          </w:p>
        </w:tc>
        <w:tc>
          <w:tcPr>
            <w:tcW w:type="dxa" w:w="2160"/>
          </w:tcPr>
          <w:p>
            <w:r/>
          </w:p>
        </w:tc>
        <w:tc>
          <w:tcPr>
            <w:tcW w:type="dxa" w:w="2160"/>
          </w:tcPr>
          <w:p>
            <w:r/>
          </w:p>
        </w:tc>
      </w:tr>
    </w:tbl>
    <w:p/>
    <w:p>
      <w:pPr>
        <w:pStyle w:val="Heading1"/>
      </w:pPr>
      <w:r>
        <w:rPr>
          <w:color w:val="16314D"/>
        </w:rPr>
        <w:t>5. Database schema</w:t>
      </w:r>
    </w:p>
    <w:p>
      <w:r>
        <w:rPr>
          <w:i/>
          <w:color w:val="6B6B6B"/>
          <w:sz w:val="20"/>
        </w:rPr>
        <w:t>Tables and key columns. Point at the migration files rather than duplicating them.</w:t>
      </w:r>
    </w:p>
    <w:p/>
    <w:p>
      <w:pPr>
        <w:pStyle w:val="Heading1"/>
      </w:pPr>
      <w:r>
        <w:rPr>
          <w:color w:val="16314D"/>
        </w:rPr>
        <w:t>6. Authentication and roles</w:t>
      </w:r>
    </w:p>
    <w:p>
      <w:r>
        <w:rPr>
          <w:i/>
          <w:color w:val="6B6B6B"/>
          <w:sz w:val="20"/>
        </w:rPr>
        <w:t>Who can call what.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CAN DO</w:t>
            </w:r>
          </w:p>
        </w:tc>
      </w:tr>
      <w:tr>
        <w:tc>
          <w:tcPr>
            <w:tcW w:type="dxa" w:w="4320"/>
          </w:tcPr>
          <w:p>
            <w:r>
              <w:t>(fill this in)</w:t>
            </w:r>
          </w:p>
        </w:tc>
        <w:tc>
          <w:tcPr>
            <w:tcW w:type="dxa" w:w="4320"/>
          </w:tcPr>
          <w:p>
            <w:r>
              <w:t>(fill this in)</w:t>
            </w:r>
          </w:p>
        </w:tc>
      </w:tr>
      <w:tr>
        <w:tc>
          <w:tcPr>
            <w:tcW w:type="dxa" w:w="4320"/>
          </w:tcPr>
          <w:p>
            <w:r/>
          </w:p>
        </w:tc>
        <w:tc>
          <w:tcPr>
            <w:tcW w:type="dxa" w:w="4320"/>
          </w:tcPr>
          <w:p>
            <w:r/>
          </w:p>
        </w:tc>
      </w:tr>
    </w:tbl>
    <w:p/>
    <w:p>
      <w:pPr>
        <w:pStyle w:val="Heading1"/>
      </w:pPr>
      <w:r>
        <w:rPr>
          <w:color w:val="16314D"/>
        </w:rPr>
        <w:t>7. Error handling</w:t>
      </w:r>
    </w:p>
    <w:p>
      <w:r>
        <w:rPr>
          <w:i/>
          <w:color w:val="6B6B6B"/>
          <w:sz w:val="20"/>
        </w:rPr>
        <w:t>Your error shape, and the status codes you use. Be consistent.</w:t>
      </w:r>
    </w:p>
    <w:p/>
    <w:p>
      <w:pPr>
        <w:pStyle w:val="Heading1"/>
      </w:pPr>
      <w:r>
        <w:rPr>
          <w:color w:val="16314D"/>
        </w:rPr>
        <w:t>8. Environment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NAME</w:t>
            </w:r>
          </w:p>
        </w:tc>
        <w:tc>
          <w:tcPr>
            <w:tcW w:type="dxa" w:w="2880"/>
          </w:tcPr>
          <w:p>
            <w:r/>
            <w:r>
              <w:rPr>
                <w:b/>
              </w:rPr>
              <w:t>PURPOSE</w:t>
            </w:r>
          </w:p>
        </w:tc>
        <w:tc>
          <w:tcPr>
            <w:tcW w:type="dxa" w:w="2880"/>
          </w:tcPr>
          <w:p>
            <w:r/>
            <w:r>
              <w:rPr>
                <w:b/>
              </w:rPr>
              <w:t>REQUIRED</w:t>
            </w:r>
          </w:p>
        </w:tc>
      </w:tr>
      <w:tr>
        <w:tc>
          <w:tcPr>
            <w:tcW w:type="dxa" w:w="2880"/>
          </w:tcPr>
          <w:p>
            <w:r>
              <w:t>PORT</w:t>
            </w:r>
          </w:p>
        </w:tc>
        <w:tc>
          <w:tcPr>
            <w:tcW w:type="dxa" w:w="2880"/>
          </w:tcPr>
          <w:p>
            <w:r>
              <w:t>which port to listen on</w:t>
            </w:r>
          </w:p>
        </w:tc>
        <w:tc>
          <w:tcPr>
            <w:tcW w:type="dxa" w:w="2880"/>
          </w:tcPr>
          <w:p>
            <w:r>
              <w:t>yes</w:t>
            </w:r>
          </w:p>
        </w:tc>
      </w:tr>
      <w:tr>
        <w:tc>
          <w:tcPr>
            <w:tcW w:type="dxa" w:w="2880"/>
          </w:tcPr>
          <w:p>
            <w:r/>
          </w:p>
        </w:tc>
        <w:tc>
          <w:tcPr>
            <w:tcW w:type="dxa" w:w="2880"/>
          </w:tcPr>
          <w:p>
            <w:r/>
          </w:p>
        </w:tc>
        <w:tc>
          <w:tcPr>
            <w:tcW w:type="dxa" w:w="2880"/>
          </w:tcPr>
          <w:p>
            <w:r/>
          </w:p>
        </w:tc>
      </w:tr>
    </w:tbl>
    <w:p/>
    <w:p>
      <w:pPr>
        <w:pStyle w:val="Heading1"/>
      </w:pPr>
      <w:r>
        <w:rPr>
          <w:color w:val="16314D"/>
        </w:rPr>
        <w:t>9. Running locally</w:t>
      </w:r>
    </w:p>
    <w:p>
      <w:r>
        <w:rPr>
          <w:i/>
          <w:color w:val="6B6B6B"/>
          <w:sz w:val="20"/>
        </w:rPr>
        <w:t>The exact commands. Assume the reader has just cloned the repo and knows nothing.</w:t>
      </w:r>
    </w:p>
    <w:p/>
    <w:p>
      <w:pPr>
        <w:pStyle w:val="Heading1"/>
      </w:pPr>
      <w:r>
        <w:rPr>
          <w:color w:val="16314D"/>
        </w:rPr>
        <w:t>10. Tests</w:t>
      </w:r>
    </w:p>
    <w:p>
      <w:r>
        <w:rPr>
          <w:i/>
          <w:color w:val="6B6B6B"/>
          <w:sz w:val="20"/>
        </w:rPr>
        <w:t>What is tested, how to run them, and what is deliberately not tested.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