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AFRM Postmortem Brief - BREAKOUT-Signal 2026-05-29</w:t>
      </w:r>
    </w:p>
    <w:p>
      <w:r>
        <w:rPr>
          <w:i/>
          <w:color w:val="666666"/>
          <w:sz w:val="22"/>
        </w:rPr>
        <w:t>Affirm Holdings, Inc. (NASDAQ: AFRM) - Stop Loss D+3, -7.46 %</w:t>
      </w:r>
    </w:p>
    <w:p>
      <w:r>
        <w:rPr>
          <w:color w:val="999999"/>
          <w:sz w:val="18"/>
        </w:rPr>
        <w:t>Report-Datum: 2026-06-06 - ApexNext Postmortem Process - Confidence: HIGH</w:t>
      </w:r>
    </w:p>
    <w:p/>
    <w:p>
      <w:pPr>
        <w:pStyle w:val="Heading1"/>
      </w:pPr>
      <w:r>
        <w:rPr>
          <w:color w:val="0055AA"/>
        </w:rPr>
        <w:t>Executive Summary</w:t>
      </w:r>
    </w:p>
    <w:p>
      <w:r>
        <w:t xml:space="preserve">AFRM (Score 123.6, Pocket Pivot, BREAKOUT) wurde am 29.05.2026 gepickt und nach drei Handelstagen am Stop ausgeloest (-7.46 %). Die Position fiel NICHT durch einen ticker-spezifischen Schock, sondern durch ein scharfes </w:t>
      </w:r>
      <w:r>
        <w:rPr>
          <w:b/>
        </w:rPr>
        <w:t>Makro-Risk-Off-Event</w:t>
      </w:r>
      <w:r>
        <w:t xml:space="preserve"> am 5. Juni 2026: starker US-Arbeitsmarktbericht (+172 K Jobs, ~2x Konsens) toetete die Rate-Cut-Erwartungen, Nasdaq fiel -4 % an einem Tag</w:t>
      </w:r>
      <w:r>
        <w:rPr>
          <w:color w:val="0066CC"/>
          <w:sz w:val="18"/>
          <w:vertAlign w:val="superscript"/>
        </w:rPr>
        <w:t>[1]</w:t>
      </w:r>
      <w:r>
        <w:t>. AFRM mit Beta 3.7</w:t>
      </w:r>
      <w:r>
        <w:rPr>
          <w:color w:val="0066CC"/>
          <w:sz w:val="18"/>
          <w:vertAlign w:val="superscript"/>
        </w:rPr>
        <w:t>[2]</w:t>
      </w:r>
      <w:r>
        <w:t xml:space="preserve"> wurde ueberproportional getroffen.</w:t>
      </w:r>
    </w:p>
    <w:p>
      <w:pPr>
        <w:pStyle w:val="Heading1"/>
      </w:pPr>
      <w:r>
        <w:t>Trade-Details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Signal-Datum</w:t>
            </w:r>
          </w:p>
        </w:tc>
        <w:tc>
          <w:tcPr>
            <w:tcW w:type="dxa" w:w="4986"/>
          </w:tcPr>
          <w:p>
            <w:r>
              <w:t>2026-05-29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Setup</w:t>
            </w:r>
          </w:p>
        </w:tc>
        <w:tc>
          <w:tcPr>
            <w:tcW w:type="dxa" w:w="4986"/>
          </w:tcPr>
          <w:p>
            <w:r>
              <w:t>BREAKOUT (Pocket Pivot bestaetigt)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Entry (buy_above)</w:t>
            </w:r>
          </w:p>
        </w:tc>
        <w:tc>
          <w:tcPr>
            <w:tcW w:type="dxa" w:w="4986"/>
          </w:tcPr>
          <w:p>
            <w:r>
              <w:t>~$75.20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Stop Loss</w:t>
            </w:r>
          </w:p>
        </w:tc>
        <w:tc>
          <w:tcPr>
            <w:tcW w:type="dxa" w:w="4986"/>
          </w:tcPr>
          <w:p>
            <w:r>
              <w:t>-7.46 % vom Entry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4986"/>
          </w:tcPr>
          <w:p>
            <w:r>
              <w:t>+13 % (nicht erreicht)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RR</w:t>
            </w:r>
          </w:p>
        </w:tc>
        <w:tc>
          <w:tcPr>
            <w:tcW w:type="dxa" w:w="4986"/>
          </w:tcPr>
          <w:p>
            <w:r>
              <w:t>1.83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4986"/>
          </w:tcPr>
          <w:p>
            <w:r>
              <w:t>123.6 (Top-Decile)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4986"/>
          </w:tcPr>
          <w:p>
            <w:r>
              <w:t>Stop Loss D+3</w:t>
            </w:r>
          </w:p>
        </w:tc>
      </w:tr>
    </w:tbl>
    <w:p>
      <w:pPr>
        <w:pStyle w:val="Heading1"/>
      </w:pPr>
      <w:r>
        <w:t>Company Profile</w:t>
      </w:r>
    </w:p>
    <w:p>
      <w:r>
        <w:rPr>
          <w:b/>
        </w:rPr>
        <w:t>Affirm Holdings, Inc.</w:t>
      </w:r>
      <w:r>
        <w:t xml:space="preserve"> ist ein US-Buy-Now-Pay-Later (BNPL) Plattformanbieter mit Hauptsitz in San Francisco. CEO: Max Levchin. Marktkapitalisierung: ~$21.3 Mrd. (Stand 06.06.2026)</w:t>
      </w:r>
      <w:r>
        <w:rPr>
          <w:color w:val="0066CC"/>
          <w:sz w:val="18"/>
          <w:vertAlign w:val="superscript"/>
        </w:rPr>
        <w:t>[2]</w:t>
      </w:r>
      <w:r>
        <w:t>. 52-Wochen-Range: $42.10-$100.00. Beta 3.7 -&gt; ca. 3.7x S&amp;P-500-Vola. Branche: Software-Infrastructure / Fintech. 26.8 Mio. aktive Konsumenten, 2,006 Mitarbeiter</w:t>
      </w:r>
      <w:r>
        <w:rPr>
          <w:color w:val="0066CC"/>
          <w:sz w:val="18"/>
          <w:vertAlign w:val="superscript"/>
        </w:rPr>
        <w:t>[3]</w:t>
      </w:r>
      <w:r>
        <w:t>.</w:t>
      </w:r>
    </w:p>
    <w:p>
      <w:pPr>
        <w:pStyle w:val="Heading2"/>
      </w:pPr>
      <w:r>
        <w:t>Letzter Earnings-Beat (Q3 FY2026, 8. Mai 2026)</w:t>
      </w:r>
    </w:p>
    <w:p>
      <w:pPr>
        <w:pStyle w:val="ListBullet"/>
      </w:pPr>
      <w:r>
        <w:t>GMV: $11.6 Mrd. (+35 % YoY)</w:t>
      </w:r>
      <w:r>
        <w:rPr>
          <w:color w:val="0066CC"/>
          <w:sz w:val="18"/>
          <w:vertAlign w:val="superscript"/>
        </w:rPr>
        <w:t>[3]</w:t>
      </w:r>
    </w:p>
    <w:p>
      <w:pPr>
        <w:pStyle w:val="ListBullet"/>
      </w:pPr>
      <w:r>
        <w:t>Revenue: $1,039 Mio. (+33 % YoY)</w:t>
      </w:r>
      <w:r>
        <w:rPr>
          <w:color w:val="0066CC"/>
          <w:sz w:val="18"/>
          <w:vertAlign w:val="superscript"/>
        </w:rPr>
        <w:t>[3]</w:t>
      </w:r>
    </w:p>
    <w:p>
      <w:pPr>
        <w:pStyle w:val="ListBullet"/>
      </w:pPr>
      <w:r>
        <w:t>Net Income: $100 Mio. (vs. $2.8 Mio. Vorjahr) - erste signifikante GAAP-Profitabilitaet</w:t>
      </w:r>
      <w:r>
        <w:rPr>
          <w:color w:val="0066CC"/>
          <w:sz w:val="18"/>
          <w:vertAlign w:val="superscript"/>
        </w:rPr>
        <w:t>[3]</w:t>
      </w:r>
    </w:p>
    <w:p>
      <w:pPr>
        <w:pStyle w:val="ListBullet"/>
      </w:pPr>
      <w:r>
        <w:t>Adj. Operating Margin: 27 % (+5 pp YoY)</w:t>
      </w:r>
      <w:r>
        <w:rPr>
          <w:color w:val="0066CC"/>
          <w:sz w:val="18"/>
          <w:vertAlign w:val="superscript"/>
        </w:rPr>
        <w:t>[3]</w:t>
      </w:r>
    </w:p>
    <w:p>
      <w:pPr>
        <w:pStyle w:val="ListBullet"/>
      </w:pPr>
      <w:r>
        <w:t>FY2026 Guidance angehoben - Bull-Case-Bestaetigung</w:t>
      </w:r>
      <w:r>
        <w:rPr>
          <w:color w:val="0066CC"/>
          <w:sz w:val="18"/>
          <w:vertAlign w:val="superscript"/>
        </w:rPr>
        <w:t>[3]</w:t>
      </w:r>
    </w:p>
    <w:p>
      <w:r>
        <w:rPr>
          <w:i/>
        </w:rPr>
        <w:t xml:space="preserve">Fundamental-Setup war </w:t>
      </w:r>
      <w:r>
        <w:rPr>
          <w:b/>
        </w:rPr>
        <w:t>intakt zum Signal-Zeitpunkt</w:t>
      </w:r>
      <w:r>
        <w:t>. Earnings-Beat lag 21 Tage zurueck (ausserhalb Earnings-Blackout-Window). Wachstum starke 33-41 %.</w:t>
      </w:r>
    </w:p>
    <w:p>
      <w:pPr>
        <w:pStyle w:val="Heading1"/>
      </w:pPr>
      <w:r>
        <w:t>Warum der BREAKOUT scheiterte - Mehrschicht-Analyse</w:t>
      </w:r>
    </w:p>
    <w:p>
      <w:pPr>
        <w:pStyle w:val="Heading2"/>
      </w:pPr>
      <w:r>
        <w:t>1. Makro-Schock (primaere Ursache)</w:t>
      </w:r>
    </w:p>
    <w:p>
      <w:r>
        <w:t>Am 5. Juni 2026 (D+5 vom Signal, D+2 nach Stop) veroeffentlichten US-Arbeitsmarktdaten +172 K neue Stellen - mehr als doppelt so viel wie Konsens-Erwartung</w:t>
      </w:r>
      <w:r>
        <w:rPr>
          <w:color w:val="0066CC"/>
          <w:sz w:val="18"/>
          <w:vertAlign w:val="superscript"/>
        </w:rPr>
        <w:t>[1]</w:t>
      </w:r>
      <w:r>
        <w:t>. Konsequenzen:</w:t>
      </w:r>
    </w:p>
    <w:p>
      <w:pPr>
        <w:pStyle w:val="ListBullet"/>
      </w:pPr>
      <w:r>
        <w:t>Fed-Rate-Cut-Hoffnungen fuer Sommer 2026 verschwanden</w:t>
      </w:r>
    </w:p>
    <w:p>
      <w:pPr>
        <w:pStyle w:val="ListBullet"/>
      </w:pPr>
      <w:r>
        <w:t>42.7 % implizite Wahrscheinlichkeit eines Rate-Hike im Dezember</w:t>
      </w:r>
    </w:p>
    <w:p>
      <w:pPr>
        <w:pStyle w:val="ListBullet"/>
      </w:pPr>
      <w:r>
        <w:t>Nasdaq -4 % an diesem Tag (worst single day of 2026)</w:t>
      </w:r>
      <w:r>
        <w:rPr>
          <w:color w:val="0066CC"/>
          <w:sz w:val="18"/>
          <w:vertAlign w:val="superscript"/>
        </w:rPr>
        <w:t>[1]</w:t>
      </w:r>
    </w:p>
    <w:p>
      <w:pPr>
        <w:pStyle w:val="ListBullet"/>
      </w:pPr>
      <w:r>
        <w:t>Fintech / Consumer-Credit-sensitive Sektor besonders stark betroffen</w:t>
      </w:r>
    </w:p>
    <w:p>
      <w:pPr>
        <w:pStyle w:val="Heading2"/>
      </w:pPr>
      <w:r>
        <w:t>2. Mechanische Verstaerkung durch Beta 3.7</w:t>
      </w:r>
    </w:p>
    <w:p>
      <w:r>
        <w:t xml:space="preserve">AFRM hatte eine 52-Wochen-Beta von </w:t>
      </w:r>
      <w:r>
        <w:rPr>
          <w:b/>
        </w:rPr>
        <w:t>3.699</w:t>
      </w:r>
      <w:r>
        <w:rPr>
          <w:color w:val="0066CC"/>
          <w:sz w:val="18"/>
          <w:vertAlign w:val="superscript"/>
        </w:rPr>
        <w:t>[2]</w:t>
      </w:r>
      <w:r>
        <w:t xml:space="preserve">. Bei einem SPY-Drop von ~3 % im Zeitraum implizierte das mathematisch ca. -11 % AFRM-Drop - der tatsaechliche -7.46 % bis zum Stop liegt im erwartbaren Korridor. Hohe Beta ist ein </w:t>
      </w:r>
      <w:r>
        <w:rPr>
          <w:b/>
        </w:rPr>
        <w:t>strukturelles BREAKOUT-Risiko</w:t>
      </w:r>
      <w:r>
        <w:t>, das vom Score nicht direkt erfasst wird.</w:t>
      </w:r>
    </w:p>
    <w:p>
      <w:pPr>
        <w:pStyle w:val="Heading2"/>
      </w:pPr>
      <w:r>
        <w:t>3. Sektor-Headwind (Fintech/BNPL)</w:t>
      </w:r>
    </w:p>
    <w:p>
      <w:r>
        <w:t>BNPL-Aktien sind besonders zinssensitiv: hoehere Zinsen erhoehen die Funding-Kosten und schwaechen die Konsumenten-Kreditqualitaet. Mehrere BNPL/Fintech-Peers (PayPal, SoFi, Klarna, Fiserv) zeigten parallel Schwaeche im Zeitraum</w:t>
      </w:r>
      <w:r>
        <w:rPr>
          <w:color w:val="0066CC"/>
          <w:sz w:val="18"/>
          <w:vertAlign w:val="superscript"/>
        </w:rPr>
        <w:t>[4]</w:t>
      </w:r>
      <w:r>
        <w:t>.</w:t>
      </w:r>
    </w:p>
    <w:p>
      <w:pPr>
        <w:pStyle w:val="Heading2"/>
      </w:pPr>
      <w:r>
        <w:t>4. Verschaerfendes Hintergrundrauschen</w:t>
      </w:r>
    </w:p>
    <w:p>
      <w:pPr>
        <w:pStyle w:val="ListBullet"/>
      </w:pPr>
      <w:r>
        <w:t>Walmart-Partnership war bereits im Maerz 2025 an Klarna verloren (5 % GMV-Risiko angekuendigt) - bekannt, gepriced, aber unter Druck wieder als Bear-Case-Anker zitiert</w:t>
      </w:r>
      <w:r>
        <w:rPr>
          <w:color w:val="0066CC"/>
          <w:sz w:val="18"/>
          <w:vertAlign w:val="superscript"/>
        </w:rPr>
        <w:t>[5]</w:t>
      </w:r>
    </w:p>
    <w:p>
      <w:pPr>
        <w:pStyle w:val="ListBullet"/>
      </w:pPr>
      <w:r>
        <w:t>BNPL-Regulierung: CFPB unter Trump-Administration deregulierte BNPL ab Mai 2025, Marktstimmung wechselte schnell zu Credit-Quality-Bedenken</w:t>
      </w:r>
      <w:r>
        <w:rPr>
          <w:color w:val="0066CC"/>
          <w:sz w:val="18"/>
          <w:vertAlign w:val="superscript"/>
        </w:rPr>
        <w:t>[6]</w:t>
      </w:r>
    </w:p>
    <w:p>
      <w:pPr>
        <w:pStyle w:val="Heading1"/>
      </w:pPr>
      <w:r>
        <w:t>Lesson-Tags (fuer Postmortem-DB)</w:t>
      </w:r>
    </w:p>
    <w:p>
      <w:pPr>
        <w:pStyle w:val="ListBullet"/>
      </w:pPr>
      <w:r>
        <w:rPr>
          <w:rFonts w:ascii="Consolas" w:hAnsi="Consolas"/>
          <w:color w:val="CC3300"/>
          <w:sz w:val="20"/>
        </w:rPr>
        <w:t>high_beta_breakout_macro_risk</w:t>
      </w:r>
      <w:r>
        <w:t xml:space="preserve"> - Beta &gt;3 BREAKOUTs sind disproportional macro-getrieben</w:t>
      </w:r>
    </w:p>
    <w:p>
      <w:pPr>
        <w:pStyle w:val="ListBullet"/>
      </w:pPr>
      <w:r>
        <w:rPr>
          <w:rFonts w:ascii="Consolas" w:hAnsi="Consolas"/>
          <w:color w:val="CC3300"/>
          <w:sz w:val="20"/>
        </w:rPr>
        <w:t>fintech_consumer_credit_sensitivity</w:t>
      </w:r>
      <w:r>
        <w:t xml:space="preserve"> - BNPL/Fintech sind Rate-sensitive - bei Hike-Risk fade</w:t>
      </w:r>
    </w:p>
    <w:p>
      <w:pPr>
        <w:pStyle w:val="ListBullet"/>
      </w:pPr>
      <w:r>
        <w:rPr>
          <w:rFonts w:ascii="Consolas" w:hAnsi="Consolas"/>
          <w:color w:val="CC3300"/>
          <w:sz w:val="20"/>
        </w:rPr>
        <w:t>fundamentals_intact_but_stopped</w:t>
      </w:r>
      <w:r>
        <w:t xml:space="preserve"> - Q3-Beat + Guidance-Raise konnten Macro-Drop nicht abfangen</w:t>
      </w:r>
    </w:p>
    <w:p>
      <w:pPr>
        <w:pStyle w:val="ListBullet"/>
      </w:pPr>
      <w:r>
        <w:rPr>
          <w:rFonts w:ascii="Consolas" w:hAnsi="Consolas"/>
          <w:color w:val="CC3300"/>
          <w:sz w:val="20"/>
        </w:rPr>
        <w:t>rate_decision_window_risk</w:t>
      </w:r>
      <w:r>
        <w:t xml:space="preserve"> - BREAKOUT vor unsicherem Makro-Datenpunkt (NFP) = Falle</w:t>
      </w:r>
    </w:p>
    <w:p>
      <w:pPr>
        <w:pStyle w:val="Heading1"/>
      </w:pPr>
      <w:r>
        <w:t>Implikationen fuer ApexNext</w:t>
      </w:r>
    </w:p>
    <w:p>
      <w:pPr>
        <w:pStyle w:val="ListBullet"/>
      </w:pPr>
      <w:r>
        <w:t>BETA-Penalty erwaegen: BREAKOUTs mit Beta &gt; 2.5 koennten Score-Penalty -10 bekommen (Hypothese, n=?). Aktuell keine Beta-Variable im Score.</w:t>
      </w:r>
    </w:p>
    <w:p>
      <w:pPr>
        <w:pStyle w:val="ListBullet"/>
      </w:pPr>
      <w:r>
        <w:t>Macro-Calendar-Awareness: ApexCatalysts koennte upcoming NFP/CPI/FOMC checken und Score reduzieren bei high-impact events in 7d.</w:t>
      </w:r>
    </w:p>
    <w:p>
      <w:pPr>
        <w:pStyle w:val="ListBullet"/>
      </w:pPr>
      <w:r>
        <w:t>Fundamental != Trade-Setup: Selbst CONFIRMED-Setup (PP + Score 123 + Earnings-Beat) kann durch Macro-Shock kippen. Position Sizing.</w:t>
      </w:r>
    </w:p>
    <w:p>
      <w:pPr>
        <w:pStyle w:val="ListBullet"/>
      </w:pPr>
      <w:r>
        <w:t>Vergleichstrades: AFRM ist nicht isoliert - IBKR (-5.39 %), AXTA (open), ARE (open) im gleichen Zeitfenster zeigen, dass MIXED-Regime BREAKOUT-WR drueckt.</w:t>
      </w:r>
    </w:p>
    <w:p>
      <w:r>
        <w:br w:type="page"/>
      </w:r>
    </w:p>
    <w:p>
      <w:pPr>
        <w:pStyle w:val="Heading1"/>
      </w:pPr>
      <w:r>
        <w:t>Quellen</w:t>
      </w:r>
    </w:p>
    <w:p>
      <w:r>
        <w:rPr>
          <w:i/>
        </w:rPr>
        <w:t>Inline-Zitate verweisen auf folgende Quellen:</w:t>
      </w:r>
    </w:p>
    <w:p>
      <w:r>
        <w:rPr>
          <w:b/>
          <w:color w:val="0066CC"/>
        </w:rPr>
        <w:t xml:space="preserve">[1] </w:t>
      </w:r>
      <w:r>
        <w:t>CNN Business - "Nasdaq, S&amp;P 500 suffer worst day of year as AI stocks tumble and Fed rate-hike odds rise" (5. Juni 2026)</w:t>
      </w:r>
      <w:r>
        <w:br/>
      </w:r>
      <w:r>
        <w:rPr>
          <w:i/>
          <w:color w:val="666666"/>
          <w:sz w:val="18"/>
        </w:rPr>
        <w:t>https://www.cnn.com/2026/06/05/markets/stock-market-sell-off-fed</w:t>
      </w:r>
    </w:p>
    <w:p>
      <w:r>
        <w:rPr>
          <w:b/>
          <w:color w:val="0066CC"/>
        </w:rPr>
        <w:t xml:space="preserve">[2] </w:t>
      </w:r>
      <w:r>
        <w:t>Financial Modeling Prep - AFRM Company Profile API (abgerufen 06.06.2026): marketCap $21.3B, beta 3.699, 52w Range $42.10-$100.00</w:t>
      </w:r>
      <w:r>
        <w:br/>
      </w:r>
      <w:r>
        <w:rPr>
          <w:i/>
          <w:color w:val="666666"/>
          <w:sz w:val="18"/>
        </w:rPr>
        <w:t>https://financialmodelingprep.com/api/v3/profile/AFRM</w:t>
      </w:r>
    </w:p>
    <w:p>
      <w:r>
        <w:rPr>
          <w:b/>
          <w:color w:val="0066CC"/>
        </w:rPr>
        <w:t xml:space="preserve">[3] </w:t>
      </w:r>
      <w:r>
        <w:t>Affirm Holdings Form 8-K Q3 FY2026 Shareholder Letter (8. Mai 2026): GMV $11.6B, Revenue $1.039B, Net Income $100M</w:t>
      </w:r>
      <w:r>
        <w:br/>
      </w:r>
      <w:r>
        <w:rPr>
          <w:i/>
          <w:color w:val="666666"/>
          <w:sz w:val="18"/>
        </w:rPr>
        <w:t>https://www.sec.gov/Archives/edgar/data/0001820953/000162828026032105/affirmfq326shareholderle.htm</w:t>
      </w:r>
    </w:p>
    <w:p>
      <w:r>
        <w:rPr>
          <w:b/>
          <w:color w:val="0066CC"/>
        </w:rPr>
        <w:t xml:space="preserve">[4] </w:t>
      </w:r>
      <w:r>
        <w:t>Yahoo Finance / TheStreet - Fintech-Sektor-Schwaeche, PayPal/SoFi/Klarna/Fiserv declines Mai-Juni 2026</w:t>
      </w:r>
      <w:r>
        <w:br/>
      </w:r>
      <w:r>
        <w:rPr>
          <w:i/>
          <w:color w:val="666666"/>
          <w:sz w:val="18"/>
        </w:rPr>
        <w:t>https://finance.yahoo.com/markets/live/stock-market-today-dow-sp-500-nasdaq-sink-as-jobs-report-fuels-fed-hike-bets-chip-stocks-sell-off-230134285.html</w:t>
      </w:r>
    </w:p>
    <w:p>
      <w:r>
        <w:rPr>
          <w:b/>
          <w:color w:val="0066CC"/>
        </w:rPr>
        <w:t xml:space="preserve">[5] </w:t>
      </w:r>
      <w:r>
        <w:t>Retail Dive - "Klarna to displace Affirm as Walmart BNPL provider" (17. Maerz 2025)</w:t>
      </w:r>
      <w:r>
        <w:br/>
      </w:r>
      <w:r>
        <w:rPr>
          <w:i/>
          <w:color w:val="666666"/>
          <w:sz w:val="18"/>
        </w:rPr>
        <w:t>https://www.retaildive.com/news/walmart-loan-payments-klarna-buy-now-pay-later/742914/</w:t>
      </w:r>
    </w:p>
    <w:p>
      <w:r>
        <w:rPr>
          <w:b/>
          <w:color w:val="0066CC"/>
        </w:rPr>
        <w:t xml:space="preserve">[6] </w:t>
      </w:r>
      <w:r>
        <w:t>GuruFocus - "CFPB Shifts Focus Away from BNPL Lenders, Shares React" (Mai 2025)</w:t>
      </w:r>
      <w:r>
        <w:br/>
      </w:r>
      <w:r>
        <w:rPr>
          <w:i/>
          <w:color w:val="666666"/>
          <w:sz w:val="18"/>
        </w:rPr>
        <w:t>https://www.gurufocus.com/news/2835110/cfpb-shifts-focus-away-from-bnpl-lenders-shares-react</w:t>
      </w:r>
    </w:p>
    <w:p/>
    <w:p>
      <w:pPr>
        <w:jc w:val="center"/>
      </w:pPr>
      <w:r>
        <w:rPr>
          <w:i/>
          <w:color w:val="999999"/>
          <w:sz w:val="16"/>
        </w:rPr>
        <w:t>Powered by Bigdata.com (skill orchestration) - Financial Modeling Prep (company data) - Web Research (news context)</w:t>
      </w:r>
    </w:p>
    <w:p>
      <w:pPr>
        <w:jc w:val="center"/>
      </w:pPr>
      <w:r>
        <w:rPr>
          <w:i/>
          <w:color w:val="999999"/>
          <w:sz w:val="16"/>
        </w:rPr>
        <w:t>Disclaimer: Dieses Dokument ist eine interne Postmortem-Analyse fuer das ApexNext-Trading-System und stellt keine Investitionsempfehlung dar.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