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IBKR Postmortem Brief - BREAKOUT-Signal 2026-06-01</w:t>
      </w:r>
    </w:p>
    <w:p>
      <w:r>
        <w:rPr>
          <w:i/>
          <w:color w:val="666666"/>
          <w:sz w:val="22"/>
        </w:rPr>
        <w:t>Interactive Brokers Group (NASDAQ: IBKR) - Stop Loss D+3, -5.39 %</w:t>
      </w:r>
    </w:p>
    <w:p>
      <w:r>
        <w:rPr>
          <w:color w:val="999999"/>
          <w:sz w:val="18"/>
        </w:rPr>
        <w:t>Report-Datum: 2026-06-06 - ApexNext Postmortem Process - Confidence: HIGH</w:t>
      </w:r>
    </w:p>
    <w:p/>
    <w:p>
      <w:pPr>
        <w:pStyle w:val="Heading1"/>
      </w:pPr>
      <w:r>
        <w:rPr>
          <w:color w:val="0055AA"/>
        </w:rPr>
        <w:t>Executive Summary</w:t>
      </w:r>
    </w:p>
    <w:p>
      <w:r>
        <w:t xml:space="preserve">IBKR (Score 123.3, Pocket Pivot, BREAKOUT) wurde am 01.06.2026 nahe All-Time-Highs gepickt ($88.62 vs. 52w-High $91.02). Stop Loss nach 3 Handelstagen bei -5.39 %. </w:t>
      </w:r>
      <w:r>
        <w:rPr>
          <w:b/>
        </w:rPr>
        <w:t>Wichtig: IBKR ist KEIN BNPL-Risk-Off-Loser wie AFRM.</w:t>
      </w:r>
      <w:r>
        <w:t xml:space="preserve"> Fundamental ist Interactive Brokers ein Zinsen-Gewinner (Q1 2026: margin loans +40 %, NII +20 %, 77 % pretax-Margin)</w:t>
      </w:r>
      <w:r>
        <w:rPr>
          <w:color w:val="0066CC"/>
          <w:sz w:val="18"/>
          <w:vertAlign w:val="superscript"/>
        </w:rPr>
        <w:t>[1]</w:t>
      </w:r>
      <w:r>
        <w:t xml:space="preserve">. Failure-Pattern hier: </w:t>
      </w:r>
      <w:r>
        <w:rPr>
          <w:b/>
        </w:rPr>
        <w:t>Late-cycle Breakout nahe 52w-High + breite Risk-Off-Welle = klassischer Mean-Revert</w:t>
      </w:r>
      <w:r>
        <w:t>, verschaerft durch das Macro-Event am 5. Juni</w:t>
      </w:r>
      <w:r>
        <w:rPr>
          <w:color w:val="0066CC"/>
          <w:sz w:val="18"/>
          <w:vertAlign w:val="superscript"/>
        </w:rPr>
        <w:t>[2]</w:t>
      </w:r>
      <w:r>
        <w:t>.</w:t>
      </w:r>
    </w:p>
    <w:p>
      <w:pPr>
        <w:pStyle w:val="Heading1"/>
      </w:pPr>
      <w:r>
        <w:t>Trade-Details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Signal-Datum</w:t>
            </w:r>
          </w:p>
        </w:tc>
        <w:tc>
          <w:tcPr>
            <w:tcW w:type="dxa" w:w="4986"/>
          </w:tcPr>
          <w:p>
            <w:r>
              <w:t>2026-06-01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Setup</w:t>
            </w:r>
          </w:p>
        </w:tc>
        <w:tc>
          <w:tcPr>
            <w:tcW w:type="dxa" w:w="4986"/>
          </w:tcPr>
          <w:p>
            <w:r>
              <w:t>BREAKOUT + Pocket Pivot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Entry (buy_above)</w:t>
            </w:r>
          </w:p>
        </w:tc>
        <w:tc>
          <w:tcPr>
            <w:tcW w:type="dxa" w:w="4986"/>
          </w:tcPr>
          <w:p>
            <w:r>
              <w:t>$88.62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Stop Loss</w:t>
            </w:r>
          </w:p>
        </w:tc>
        <w:tc>
          <w:tcPr>
            <w:tcW w:type="dxa" w:w="4986"/>
          </w:tcPr>
          <w:p>
            <w:r>
              <w:t>$83.84 (-5.39 %)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986"/>
          </w:tcPr>
          <w:p>
            <w:r>
              <w:t>$97.50 (+10 %)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RR</w:t>
            </w:r>
          </w:p>
        </w:tc>
        <w:tc>
          <w:tcPr>
            <w:tcW w:type="dxa" w:w="4986"/>
          </w:tcPr>
          <w:p>
            <w:r>
              <w:t>1.86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986"/>
          </w:tcPr>
          <w:p>
            <w:r>
              <w:t>123.3 (Top-Decile)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4986"/>
          </w:tcPr>
          <w:p>
            <w:r>
              <w:t>Stop Loss D+3</w:t>
            </w:r>
          </w:p>
        </w:tc>
      </w:tr>
    </w:tbl>
    <w:p>
      <w:pPr>
        <w:pStyle w:val="Heading1"/>
      </w:pPr>
      <w:r>
        <w:t>Company Profile</w:t>
      </w:r>
    </w:p>
    <w:p>
      <w:r>
        <w:rPr>
          <w:b/>
        </w:rPr>
        <w:t>Interactive Brokers Group, Inc.</w:t>
      </w:r>
      <w:r>
        <w:t xml:space="preserve"> ist ein US-elektronischer Broker fuer institutionelle und private Anleger. Markt-Cap ~$145 Mrd. (Stand 06.06.2026)</w:t>
      </w:r>
      <w:r>
        <w:rPr>
          <w:color w:val="0066CC"/>
          <w:sz w:val="18"/>
          <w:vertAlign w:val="superscript"/>
        </w:rPr>
        <w:t>[3]</w:t>
      </w:r>
      <w:r>
        <w:t xml:space="preserve">. Beta </w:t>
      </w:r>
      <w:r>
        <w:rPr>
          <w:b/>
        </w:rPr>
        <w:t>1.329</w:t>
      </w:r>
      <w:r>
        <w:t xml:space="preserve"> - moderates Marktrisiko. Sektor: Financial Services / Investment Banking. CEO: Milan Galik. 3,027 Mitarbeiter. Hauptsitz Greenwich, CT.</w:t>
      </w:r>
    </w:p>
    <w:p>
      <w:pPr>
        <w:pStyle w:val="Heading2"/>
      </w:pPr>
      <w:r>
        <w:t>Q1 FY2026 Earnings (April 2026)</w:t>
      </w:r>
    </w:p>
    <w:p>
      <w:pPr>
        <w:pStyle w:val="ListBullet"/>
      </w:pPr>
      <w:r>
        <w:t>Customer Accounts: 4.75 Mio. (+31 % YoY)</w:t>
      </w:r>
      <w:r>
        <w:rPr>
          <w:color w:val="0066CC"/>
          <w:sz w:val="18"/>
          <w:vertAlign w:val="superscript"/>
        </w:rPr>
        <w:t>[1]</w:t>
      </w:r>
    </w:p>
    <w:p>
      <w:pPr>
        <w:pStyle w:val="ListBullet"/>
      </w:pPr>
      <w:r>
        <w:t>Margin Loans: $90.2 Mrd. (+40 % YoY)</w:t>
      </w:r>
      <w:r>
        <w:rPr>
          <w:color w:val="0066CC"/>
          <w:sz w:val="18"/>
          <w:vertAlign w:val="superscript"/>
        </w:rPr>
        <w:t>[1]</w:t>
      </w:r>
    </w:p>
    <w:p>
      <w:pPr>
        <w:pStyle w:val="ListBullet"/>
      </w:pPr>
      <w:r>
        <w:t>Net Interest Income: $966 Mio. (+20 % YoY)</w:t>
      </w:r>
      <w:r>
        <w:rPr>
          <w:color w:val="0066CC"/>
          <w:sz w:val="18"/>
          <w:vertAlign w:val="superscript"/>
        </w:rPr>
        <w:t>[1]</w:t>
      </w:r>
    </w:p>
    <w:p>
      <w:pPr>
        <w:pStyle w:val="ListBullet"/>
      </w:pPr>
      <w:r>
        <w:t>Commission Revenue: $613 Mio. (+19 %)</w:t>
      </w:r>
      <w:r>
        <w:rPr>
          <w:color w:val="0066CC"/>
          <w:sz w:val="18"/>
          <w:vertAlign w:val="superscript"/>
        </w:rPr>
        <w:t>[1]</w:t>
      </w:r>
    </w:p>
    <w:p>
      <w:pPr>
        <w:pStyle w:val="ListBullet"/>
      </w:pPr>
      <w:r>
        <w:t>Pretax Profit Margin: 77 % (6. Quartal in Folge ueber 70 %)</w:t>
      </w:r>
      <w:r>
        <w:rPr>
          <w:color w:val="0066CC"/>
          <w:sz w:val="18"/>
          <w:vertAlign w:val="superscript"/>
        </w:rPr>
        <w:t>[1]</w:t>
      </w:r>
    </w:p>
    <w:p>
      <w:pPr>
        <w:pStyle w:val="ListBullet"/>
      </w:pPr>
      <w:r>
        <w:t>Customer Equity: $789.4 Mrd. (+38 %)</w:t>
      </w:r>
      <w:r>
        <w:rPr>
          <w:color w:val="0066CC"/>
          <w:sz w:val="18"/>
          <w:vertAlign w:val="superscript"/>
        </w:rPr>
        <w:t>[1]</w:t>
      </w:r>
    </w:p>
    <w:p>
      <w:r>
        <w:t xml:space="preserve">Fundamental: </w:t>
      </w:r>
      <w:r>
        <w:rPr>
          <w:b/>
        </w:rPr>
        <w:t>ausgezeichnet</w:t>
      </w:r>
      <w:r>
        <w:t xml:space="preserve">. IBKR ist klassischer </w:t>
      </w:r>
      <w:r>
        <w:rPr>
          <w:b/>
        </w:rPr>
        <w:t>Zins-Beneficiary</w:t>
      </w:r>
      <w:r>
        <w:t xml:space="preserve"> - hoehere Zinsen bedeuten hoehere NII auf Customer-Credits.</w:t>
      </w:r>
    </w:p>
    <w:p>
      <w:pPr>
        <w:pStyle w:val="Heading1"/>
      </w:pPr>
      <w:r>
        <w:t>Warum der BREAKOUT scheiterte - Mehrschicht-Analyse</w:t>
      </w:r>
    </w:p>
    <w:p>
      <w:pPr>
        <w:pStyle w:val="Heading2"/>
      </w:pPr>
      <w:r>
        <w:t>1. Late-Cycle BREAKOUT nahe 52w-High (primaere Ursache)</w:t>
      </w:r>
    </w:p>
    <w:p>
      <w:r>
        <w:rPr>
          <w:b w:val="0"/>
        </w:rPr>
        <w:t xml:space="preserve">Entry bei $88.62 lag nur </w:t>
      </w:r>
      <w:r>
        <w:rPr>
          <w:b/>
        </w:rPr>
        <w:t>2.6 % unter dem 52w-High ($91.02)</w:t>
      </w:r>
      <w:r>
        <w:rPr>
          <w:color w:val="0066CC"/>
          <w:sz w:val="18"/>
          <w:vertAlign w:val="superscript"/>
        </w:rPr>
        <w:t>[3]</w:t>
      </w:r>
      <w:r>
        <w:t xml:space="preserve">. Das ist im </w:t>
      </w:r>
      <w:r>
        <w:rPr>
          <w:b/>
        </w:rPr>
        <w:t>BREAKOUT-Failure-Zone-Bereich</w:t>
      </w:r>
      <w:r>
        <w:t>: Stocks die unmittelbar an Highs ausbrechen sind anfaellig fuer Mean-Reversion, weil:</w:t>
      </w:r>
    </w:p>
    <w:p>
      <w:pPr>
        <w:pStyle w:val="ListBullet"/>
      </w:pPr>
      <w:r>
        <w:t>Profit-Taker setzen Stops knapp unter All-Time-Highs</w:t>
      </w:r>
    </w:p>
    <w:p>
      <w:pPr>
        <w:pStyle w:val="ListBullet"/>
      </w:pPr>
      <w:r>
        <w:t>Wenig 'overhead supply' = wenig Schuetzer wenn Selloff einsetzt</w:t>
      </w:r>
    </w:p>
    <w:p>
      <w:pPr>
        <w:pStyle w:val="ListBullet"/>
      </w:pPr>
      <w:r>
        <w:t>Institutionelle warten oft auf Pullback statt vertical zu kaufen</w:t>
      </w:r>
    </w:p>
    <w:p>
      <w:pPr>
        <w:pStyle w:val="Heading2"/>
      </w:pPr>
      <w:r>
        <w:t>2. Macro-Event Verstaerker (sekundaere Ursache)</w:t>
      </w:r>
    </w:p>
    <w:p>
      <w:r>
        <w:t>Am 5. Juni 2026 (D+4) fiel der Nasdaq -4 % wegen Rate-Hike-Aengsten nach starkem NFP-Report</w:t>
      </w:r>
      <w:r>
        <w:rPr>
          <w:color w:val="0066CC"/>
          <w:sz w:val="18"/>
          <w:vertAlign w:val="superscript"/>
        </w:rPr>
        <w:t>[2]</w:t>
      </w:r>
      <w:r>
        <w:t xml:space="preserve">. Bei Beta 1.33 bedeutet das mathematisch IBKR-Drop ~5 % - exakt entspricht dem -5.39 % Stop-Loss. Das ist KEIN ticker-spezifisches Problem, sondern </w:t>
      </w:r>
      <w:r>
        <w:rPr>
          <w:b/>
        </w:rPr>
        <w:t>mechanisches Beta-Multiplikator-Verhalten</w:t>
      </w:r>
      <w:r>
        <w:t>.</w:t>
      </w:r>
    </w:p>
    <w:p>
      <w:pPr>
        <w:pStyle w:val="Heading2"/>
      </w:pPr>
      <w:r>
        <w:t>3. Paradox: Zins-Gewinner verlor durch Zins-Sorgen</w:t>
      </w:r>
    </w:p>
    <w:p>
      <w:r>
        <w:t>IBKR profitiert eigentlich VON hoeheren Zinsen (NII auf Margin Loans und Customer Credits). Q1-2026-Earnings zeigten das deutlich (NII +20 %)</w:t>
      </w:r>
      <w:r>
        <w:rPr>
          <w:color w:val="0066CC"/>
          <w:sz w:val="18"/>
          <w:vertAlign w:val="superscript"/>
        </w:rPr>
        <w:t>[1]</w:t>
      </w:r>
      <w:r>
        <w:t xml:space="preserve">. Im Selloff vom 5. Juni 2026 wurde diese Logik aber </w:t>
      </w:r>
      <w:r>
        <w:rPr>
          <w:b/>
        </w:rPr>
        <w:t>durch generelle Risk-Off-Welle ueberschrieben</w:t>
      </w:r>
      <w:r>
        <w:t>. Bei systematischen Drawdowns korreliert ALLES kurzfristig - rationales Pricing kehrt erst spaeter zurueck.</w:t>
      </w:r>
    </w:p>
    <w:p>
      <w:pPr>
        <w:pStyle w:val="Heading1"/>
      </w:pPr>
      <w:r>
        <w:t>Kontrast AFRM vs IBKR: zwei verschiedene Failure-Modes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Faktor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AFRM (29.5.)</w:t>
            </w:r>
          </w:p>
        </w:tc>
        <w:tc>
          <w:tcPr>
            <w:tcW w:type="dxa" w:w="3324"/>
          </w:tcPr>
          <w:p>
            <w:r>
              <w:rPr>
                <w:b/>
              </w:rPr>
              <w:t>IBKR (1.6.)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Beta</w:t>
            </w:r>
          </w:p>
        </w:tc>
        <w:tc>
          <w:tcPr>
            <w:tcW w:type="dxa" w:w="3324"/>
          </w:tcPr>
          <w:p>
            <w:r>
              <w:t>3.7 (sehr hoch)</w:t>
            </w:r>
          </w:p>
        </w:tc>
        <w:tc>
          <w:tcPr>
            <w:tcW w:type="dxa" w:w="3324"/>
          </w:tcPr>
          <w:p>
            <w:r>
              <w:t>1.33 (moderat)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Sektor-Logik</w:t>
            </w:r>
          </w:p>
        </w:tc>
        <w:tc>
          <w:tcPr>
            <w:tcW w:type="dxa" w:w="3324"/>
          </w:tcPr>
          <w:p>
            <w:r>
              <w:t>Rate-Hike = SCHLECHT (BNPL credit)</w:t>
            </w:r>
          </w:p>
        </w:tc>
        <w:tc>
          <w:tcPr>
            <w:tcW w:type="dxa" w:w="3324"/>
          </w:tcPr>
          <w:p>
            <w:r>
              <w:t>Rate-Hike = GUT (NII)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Distance to 52w-High</w:t>
            </w:r>
          </w:p>
        </w:tc>
        <w:tc>
          <w:tcPr>
            <w:tcW w:type="dxa" w:w="3324"/>
          </w:tcPr>
          <w:p>
            <w:r>
              <w:t>Nicht nahe Highs</w:t>
            </w:r>
          </w:p>
        </w:tc>
        <w:tc>
          <w:tcPr>
            <w:tcW w:type="dxa" w:w="3324"/>
          </w:tcPr>
          <w:p>
            <w:r>
              <w:t>Sehr nahe (-2.6 %)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Failure-Pattern</w:t>
            </w:r>
          </w:p>
        </w:tc>
        <w:tc>
          <w:tcPr>
            <w:tcW w:type="dxa" w:w="3324"/>
          </w:tcPr>
          <w:p>
            <w:r>
              <w:t>Sektor-Wegging + Beta-Multiplier</w:t>
            </w:r>
          </w:p>
        </w:tc>
        <w:tc>
          <w:tcPr>
            <w:tcW w:type="dxa" w:w="3324"/>
          </w:tcPr>
          <w:p>
            <w:r>
              <w:t>Late-Cycle Top + Risk-Off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Lesson</w:t>
            </w:r>
          </w:p>
        </w:tc>
        <w:tc>
          <w:tcPr>
            <w:tcW w:type="dxa" w:w="3324"/>
          </w:tcPr>
          <w:p>
            <w:r>
              <w:t>Hochbeta + Credit-sensitive vermeiden in Hike-Window</w:t>
            </w:r>
          </w:p>
        </w:tc>
        <w:tc>
          <w:tcPr>
            <w:tcW w:type="dxa" w:w="3324"/>
          </w:tcPr>
          <w:p>
            <w:r>
              <w:t>Nahe-High BREAKOUTs sind Falle bei broad selloff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Score 123 PP</w:t>
            </w:r>
          </w:p>
        </w:tc>
        <w:tc>
          <w:tcPr>
            <w:tcW w:type="dxa" w:w="3324"/>
          </w:tcPr>
          <w:p>
            <w:r>
              <w:t>Score Top-Decile half nicht</w:t>
            </w:r>
          </w:p>
        </w:tc>
        <w:tc>
          <w:tcPr>
            <w:tcW w:type="dxa" w:w="3324"/>
          </w:tcPr>
          <w:p>
            <w:r>
              <w:t>Score Top-Decile half nicht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324"/>
          </w:tcPr>
          <w:p>
            <w:r>
              <w:t>-7.46 % Stop D+3</w:t>
            </w:r>
          </w:p>
        </w:tc>
        <w:tc>
          <w:tcPr>
            <w:tcW w:type="dxa" w:w="3324"/>
          </w:tcPr>
          <w:p>
            <w:r>
              <w:t>-5.39 % Stop D+3</w:t>
            </w:r>
          </w:p>
        </w:tc>
      </w:tr>
    </w:tbl>
    <w:p>
      <w:pPr>
        <w:pStyle w:val="Heading1"/>
      </w:pPr>
      <w:r>
        <w:t>Lesson-Tags (fuer Postmortem-DB)</w:t>
      </w:r>
    </w:p>
    <w:p>
      <w:pPr>
        <w:pStyle w:val="ListBullet"/>
      </w:pPr>
      <w:r>
        <w:rPr>
          <w:rFonts w:ascii="Consolas" w:hAnsi="Consolas"/>
          <w:color w:val="CC3300"/>
          <w:sz w:val="20"/>
        </w:rPr>
        <w:t>late_cycle_breakout_near_52w_high</w:t>
      </w:r>
      <w:r>
        <w:t xml:space="preserve"> - Breakouts naher 52w-High = Mean-Revert-Risiko erhoeht</w:t>
      </w:r>
    </w:p>
    <w:p>
      <w:pPr>
        <w:pStyle w:val="ListBullet"/>
      </w:pPr>
      <w:r>
        <w:rPr>
          <w:rFonts w:ascii="Consolas" w:hAnsi="Consolas"/>
          <w:color w:val="CC3300"/>
          <w:sz w:val="20"/>
        </w:rPr>
        <w:t>macro_selloff_correlates_all_stocks</w:t>
      </w:r>
      <w:r>
        <w:t xml:space="preserve"> - Im Crash korreliert ALLES kurz - Fundamental egal</w:t>
      </w:r>
    </w:p>
    <w:p>
      <w:pPr>
        <w:pStyle w:val="ListBullet"/>
      </w:pPr>
      <w:r>
        <w:rPr>
          <w:rFonts w:ascii="Consolas" w:hAnsi="Consolas"/>
          <w:color w:val="CC3300"/>
          <w:sz w:val="20"/>
        </w:rPr>
        <w:t>rate_beneficiary_paradox</w:t>
      </w:r>
      <w:r>
        <w:t xml:space="preserve"> - Auch Zins-Gewinner verlieren in pauschalem Rate-Hike-Selloff</w:t>
      </w:r>
    </w:p>
    <w:p>
      <w:pPr>
        <w:pStyle w:val="ListBullet"/>
      </w:pPr>
      <w:r>
        <w:rPr>
          <w:rFonts w:ascii="Consolas" w:hAnsi="Consolas"/>
          <w:color w:val="CC3300"/>
          <w:sz w:val="20"/>
        </w:rPr>
        <w:t>score_top_decile_no_protection_in_macro</w:t>
      </w:r>
      <w:r>
        <w:t xml:space="preserve"> - Score 100+ schuetzt nicht vor Macro-Shocks</w:t>
      </w:r>
    </w:p>
    <w:p>
      <w:pPr>
        <w:pStyle w:val="Heading1"/>
      </w:pPr>
      <w:r>
        <w:t>Implikationen fuer ApexNext</w:t>
      </w:r>
    </w:p>
    <w:p>
      <w:pPr>
        <w:pStyle w:val="ListBullet"/>
      </w:pPr>
      <w:r>
        <w:t>DISTANCE-TO-52W-HIGH-Filter: BREAKOUTs deren Entry &lt; 3 % unter 52w-High liegt koennten Score-Penalty -5 bekommen. Validiert per Backtest.</w:t>
      </w:r>
    </w:p>
    <w:p>
      <w:pPr>
        <w:pStyle w:val="ListBullet"/>
      </w:pPr>
      <w:r>
        <w:t>Macro-Calendar-Awareness (gleicher Punkt wie AFRM-Brief): NFP/CPI/FOMC innerhalb 7d sollten Score reduzieren.</w:t>
      </w:r>
    </w:p>
    <w:p>
      <w:pPr>
        <w:pStyle w:val="ListBullet"/>
      </w:pPr>
      <w:r>
        <w:t>MIXED-Regime-Verhalten: AFRM + IBKR sind gemeinsame Faelle - bei Regime-Wechsel BULLISH -&gt; MIXED sollte TG_MIN_SCORE evtl. von 70 auf 85 angehoben werden, um nur Elite zuzulassen.</w:t>
      </w:r>
    </w:p>
    <w:p>
      <w:pPr>
        <w:pStyle w:val="ListBullet"/>
      </w:pPr>
      <w:r>
        <w:t>Beta != Catalyst-Free: Verschiedene Beta-Profile haben verschiedene Failure-Modes - AFRM/IBKR zeigt dass Score-System keinen davon vermeidet.</w:t>
      </w:r>
    </w:p>
    <w:p>
      <w:r>
        <w:br w:type="page"/>
      </w:r>
    </w:p>
    <w:p>
      <w:pPr>
        <w:pStyle w:val="Heading1"/>
      </w:pPr>
      <w:r>
        <w:t>Quellen</w:t>
      </w:r>
    </w:p>
    <w:p>
      <w:r>
        <w:rPr>
          <w:i/>
        </w:rPr>
        <w:t>Inline-Zitate verweisen auf folgende Quellen:</w:t>
      </w:r>
    </w:p>
    <w:p>
      <w:r>
        <w:rPr>
          <w:b/>
          <w:color w:val="0066CC"/>
        </w:rPr>
        <w:t xml:space="preserve">[1] </w:t>
      </w:r>
      <w:r>
        <w:t>Interactive Brokers Q1 2026 Earnings Release (April 2026): Customer Accounts +31 %, Margin Loans +40 %, NII +20 %, 77 % Pretax Margin</w:t>
      </w:r>
      <w:r>
        <w:br/>
      </w:r>
      <w:r>
        <w:rPr>
          <w:i/>
          <w:color w:val="666666"/>
          <w:sz w:val="18"/>
        </w:rPr>
        <w:t>https://www.sec.gov/Archives/edgar/data/0001381197/000138119726000078/ibkr-ex99_1.htm</w:t>
      </w:r>
    </w:p>
    <w:p>
      <w:r>
        <w:rPr>
          <w:b/>
          <w:color w:val="0066CC"/>
        </w:rPr>
        <w:t xml:space="preserve">[2] </w:t>
      </w:r>
      <w:r>
        <w:t>CNN Business - "Nasdaq, S&amp;P 500 suffer worst day of year as AI stocks tumble and Fed rate-hike odds rise" (5. Juni 2026)</w:t>
      </w:r>
      <w:r>
        <w:br/>
      </w:r>
      <w:r>
        <w:rPr>
          <w:i/>
          <w:color w:val="666666"/>
          <w:sz w:val="18"/>
        </w:rPr>
        <w:t>https://www.cnn.com/2026/06/05/markets/stock-market-sell-off-fed</w:t>
      </w:r>
    </w:p>
    <w:p>
      <w:r>
        <w:rPr>
          <w:b/>
          <w:color w:val="0066CC"/>
        </w:rPr>
        <w:t xml:space="preserve">[3] </w:t>
      </w:r>
      <w:r>
        <w:t>Financial Modeling Prep - IBKR Company Profile API (abgerufen 06.06.2026): marketCap $145B, beta 1.329, 52w Range $49.15-$91.02</w:t>
      </w:r>
      <w:r>
        <w:br/>
      </w:r>
      <w:r>
        <w:rPr>
          <w:i/>
          <w:color w:val="666666"/>
          <w:sz w:val="18"/>
        </w:rPr>
        <w:t>https://financialmodelingprep.com/api/v3/profile/IBKR</w:t>
      </w:r>
    </w:p>
    <w:p/>
    <w:p>
      <w:pPr>
        <w:jc w:val="center"/>
      </w:pPr>
      <w:r>
        <w:rPr>
          <w:i/>
          <w:color w:val="999999"/>
          <w:sz w:val="16"/>
        </w:rPr>
        <w:t>Powered by Bigdata.com (skill orchestration) - Financial Modeling Prep (company data) - Web Research (news context)</w:t>
      </w:r>
    </w:p>
    <w:p>
      <w:pPr>
        <w:jc w:val="center"/>
      </w:pPr>
      <w:r>
        <w:rPr>
          <w:i/>
          <w:color w:val="999999"/>
          <w:sz w:val="16"/>
        </w:rPr>
        <w:t>Disclaimer: Dieses Dokument ist eine interne Postmortem-Analyse fuer das ApexNext-Trading-System und stellt keine Investitionsempfehlung dar.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