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i w:val="0"/>
          <w:color w:val="16324F"/>
          <w:sz w:val="40"/>
        </w:rPr>
        <w:t>ENG 101: Composition II: Monday — Critical Reading: Read First, Judge Second</w:t>
      </w:r>
    </w:p>
    <w:p>
      <w:pPr>
        <w:spacing w:after="240"/>
      </w:pPr>
      <w:r>
        <w:rPr>
          <w:rFonts w:ascii="Arial" w:hAnsi="Arial"/>
          <w:b w:val="0"/>
          <w:i w:val="0"/>
          <w:color w:val="6B7280"/>
          <w:sz w:val="21"/>
        </w:rPr>
        <w:t>50 minutes • Instructor Lecture Notes — synchronized to presentation</w:t>
      </w:r>
    </w:p>
    <w:p>
      <w:pPr>
        <w:spacing w:after="160"/>
      </w:pPr>
      <w:r>
        <w:rPr>
          <w:rFonts w:ascii="Arial" w:hAnsi="Arial"/>
          <w:b w:val="0"/>
          <w:i w:val="0"/>
          <w:color w:val="24323D"/>
          <w:sz w:val="21"/>
        </w:rPr>
        <w:t>Establish the critical-reading habits students will use to understand, test, and evaluate arguments before moving into Madison.</w:t>
      </w:r>
    </w:p>
    <w:p>
      <w:pPr>
        <w:pStyle w:val="Heading1"/>
      </w:pPr>
      <w:r>
        <w:t>Slide Map</w:t>
      </w:r>
    </w:p>
    <w:p>
      <w:pPr>
        <w:spacing w:after="160"/>
      </w:pPr>
      <w:r>
        <w:t>Use the cues below as display prompts. Start times are keyed to the 1:00–1:50 PM class period; use Time to Spend as a pacing guide. Advance to the corresponding slide when the cue appears and keep it visible while teaching the accompanying material.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6324F"/>
            <w:tcMar>
              <w:top w:w="100" w:type="dxa"/>
              <w:bottom w:w="100" w:type="dxa"/>
              <w:start w:w="110" w:type="dxa"/>
              <w:end w:w="110" w:type="dxa"/>
            </w:tcMar>
            <w:vAlign w:val="center"/>
          </w:tcPr>
          <w:p>
            <w:pPr>
              <w:jc w:val="center"/>
            </w:pPr>
            <w:r>
              <w:rPr>
                <w:rFonts w:ascii="Arial" w:hAnsi="Arial"/>
                <w:b/>
                <w:i w:val="0"/>
                <w:color w:val="FFFFFF"/>
                <w:sz w:val="19"/>
              </w:rPr>
              <w:t>Slide</w:t>
            </w:r>
          </w:p>
        </w:tc>
        <w:tc>
          <w:tcPr>
            <w:tcW w:type="dxa" w:w="2541"/>
            <w:shd w:fill="16324F"/>
            <w:tcMar>
              <w:top w:w="100" w:type="dxa"/>
              <w:bottom w:w="100" w:type="dxa"/>
              <w:start w:w="110" w:type="dxa"/>
              <w:end w:w="110" w:type="dxa"/>
            </w:tcMar>
            <w:vAlign w:val="center"/>
          </w:tcPr>
          <w:p>
            <w:pPr>
              <w:jc w:val="center"/>
            </w:pPr>
            <w:r>
              <w:rPr>
                <w:rFonts w:ascii="Arial" w:hAnsi="Arial"/>
                <w:b/>
                <w:i w:val="0"/>
                <w:color w:val="FFFFFF"/>
                <w:sz w:val="19"/>
              </w:rPr>
              <w:t>Start</w:t>
            </w:r>
          </w:p>
        </w:tc>
        <w:tc>
          <w:tcPr>
            <w:tcW w:type="dxa" w:w="2541"/>
            <w:shd w:fill="16324F"/>
            <w:tcMar>
              <w:top w:w="100" w:type="dxa"/>
              <w:bottom w:w="100" w:type="dxa"/>
              <w:start w:w="110" w:type="dxa"/>
              <w:end w:w="110" w:type="dxa"/>
            </w:tcMar>
            <w:vAlign w:val="center"/>
          </w:tcPr>
          <w:p>
            <w:pPr>
              <w:jc w:val="center"/>
            </w:pPr>
            <w:r>
              <w:rPr>
                <w:rFonts w:ascii="Arial" w:hAnsi="Arial"/>
                <w:b/>
                <w:i w:val="0"/>
                <w:color w:val="FFFFFF"/>
                <w:sz w:val="19"/>
              </w:rPr>
              <w:t>Time to Spend</w:t>
            </w:r>
          </w:p>
        </w:tc>
        <w:tc>
          <w:tcPr>
            <w:tcW w:type="dxa" w:w="2541"/>
            <w:shd w:fill="16324F"/>
            <w:tcMar>
              <w:top w:w="100" w:type="dxa"/>
              <w:bottom w:w="100" w:type="dxa"/>
              <w:start w:w="110" w:type="dxa"/>
              <w:end w:w="110" w:type="dxa"/>
            </w:tcMar>
            <w:vAlign w:val="center"/>
          </w:tcPr>
          <w:p>
            <w:pPr>
              <w:jc w:val="center"/>
            </w:pPr>
            <w:r>
              <w:rPr>
                <w:rFonts w:ascii="Arial" w:hAnsi="Arial"/>
                <w:b/>
                <w:i w:val="0"/>
                <w:color w:val="FFFFFF"/>
                <w:sz w:val="19"/>
              </w:rPr>
              <w:t>Purpose</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1:00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2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Opening / Week 3 frame</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2</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1:02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4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From rhetorical choices to critical reading</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3</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1:06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5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Critical reading is not instant agreement or disagreement</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4</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1:11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6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Understand an argument on its own terms</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5</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1:17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6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Socratic question: can you disagree before you understand?</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6</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1:23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7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What a critical reader actually looks for</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7</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1:30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6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Evaluate more than the conclusion</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8</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1:36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6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Referential summary vs. rhetorical summary</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9</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1:42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6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Annotation as active thinking</w:t>
            </w:r>
          </w:p>
        </w:tc>
      </w:tr>
      <w:tr>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10</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1:48 PM</w:t>
            </w:r>
          </w:p>
        </w:tc>
        <w:tc>
          <w:tcPr>
            <w:tcW w:type="dxa" w:w="2541"/>
            <w:tcMar>
              <w:top w:w="100" w:type="dxa"/>
              <w:bottom w:w="100" w:type="dxa"/>
              <w:start w:w="110" w:type="dxa"/>
              <w:end w:w="110" w:type="dxa"/>
            </w:tcMar>
            <w:vAlign w:val="center"/>
          </w:tcPr>
          <w:p>
            <w:pPr>
              <w:spacing w:after="0"/>
              <w:jc w:val="center"/>
            </w:pPr>
            <w:r>
              <w:rPr>
                <w:rFonts w:ascii="Arial" w:hAnsi="Arial"/>
                <w:b w:val="0"/>
                <w:i w:val="0"/>
                <w:color w:val="24323D"/>
                <w:sz w:val="18"/>
              </w:rPr>
              <w:t>2 min</w:t>
            </w:r>
          </w:p>
        </w:tc>
        <w:tc>
          <w:tcPr>
            <w:tcW w:type="dxa" w:w="2541"/>
            <w:tcMar>
              <w:top w:w="100" w:type="dxa"/>
              <w:bottom w:w="100" w:type="dxa"/>
              <w:start w:w="110" w:type="dxa"/>
              <w:end w:w="110" w:type="dxa"/>
            </w:tcMar>
            <w:vAlign w:val="center"/>
          </w:tcPr>
          <w:p>
            <w:pPr>
              <w:spacing w:after="0"/>
              <w:jc w:val="left"/>
            </w:pPr>
            <w:r>
              <w:rPr>
                <w:rFonts w:ascii="Arial" w:hAnsi="Arial"/>
                <w:b w:val="0"/>
                <w:i w:val="0"/>
                <w:color w:val="24323D"/>
                <w:sz w:val="18"/>
              </w:rPr>
              <w:t>Closing / Wednesday bridge</w:t>
            </w:r>
          </w:p>
        </w:tc>
      </w:tr>
    </w:tbl>
    <w:p/>
    <w:p>
      <w:pPr>
        <w:pStyle w:val="Heading2"/>
        <w:spacing w:before="160" w:after="60"/>
      </w:pPr>
      <w:r>
        <w:t>DISPLAY SLIDE 1 | 1:00–1:02 PM | Opening and Week 3 frame</w:t>
      </w:r>
    </w:p>
    <w:p>
      <w:pPr>
        <w:spacing w:after="80"/>
      </w:pPr>
      <w:r>
        <w:rPr>
          <w:rFonts w:ascii="Arial" w:hAnsi="Arial"/>
          <w:b w:val="0"/>
          <w:i w:val="0"/>
          <w:color w:val="24323D"/>
          <w:sz w:val="21"/>
        </w:rPr>
        <w:t>Welcome students and locate Week 3 in the course sequence. Week 1 focused on the architecture of an argument; Week 2 focused on rhetoric and rhetorical situation. This week asks what the reader must do before evaluation is possible. The central habit is disciplined attention: understand the writer’s position before deciding what you think of it.</w:t>
      </w:r>
    </w:p>
    <w:p>
      <w:pPr>
        <w:pStyle w:val="ListBullet"/>
        <w:spacing w:after="40"/>
      </w:pPr>
      <w:r>
        <w:rPr>
          <w:rFonts w:ascii="Arial" w:hAnsi="Arial"/>
          <w:b w:val="0"/>
          <w:i w:val="0"/>
          <w:color w:val="24323D"/>
          <w:sz w:val="20"/>
        </w:rPr>
        <w:t>Transition: “We have spent the first two weeks asking what writers do. This week we turn the same attention toward what readers must do.”</w:t>
      </w:r>
    </w:p>
    <w:p>
      <w:pPr>
        <w:spacing w:before="20" w:after="100"/>
      </w:pPr>
      <w:r>
        <w:rPr>
          <w:rFonts w:ascii="Arial" w:hAnsi="Arial"/>
          <w:b/>
          <w:i w:val="0"/>
          <w:color w:val="D4873B"/>
          <w:sz w:val="19"/>
        </w:rPr>
        <w:t xml:space="preserve">[Sources] </w:t>
      </w:r>
      <w:r>
        <w:rPr>
          <w:rFonts w:ascii="Arial" w:hAnsi="Arial"/>
          <w:b w:val="0"/>
          <w:i/>
          <w:color w:val="6B7280"/>
          <w:sz w:val="19"/>
        </w:rPr>
        <w:t>Assigned reading: “Critical Reading of Written Arguments,” course PDF.</w:t>
      </w:r>
    </w:p>
    <w:p>
      <w:pPr>
        <w:pStyle w:val="Heading2"/>
        <w:spacing w:before="160" w:after="60"/>
      </w:pPr>
      <w:r>
        <w:t>DISPLAY SLIDE 2 | 1:02–1:06 PM | From rhetorical choices to critical reading</w:t>
      </w:r>
    </w:p>
    <w:p>
      <w:pPr>
        <w:spacing w:after="80"/>
      </w:pPr>
      <w:r>
        <w:rPr>
          <w:rFonts w:ascii="Arial" w:hAnsi="Arial"/>
          <w:b w:val="0"/>
          <w:i w:val="0"/>
          <w:color w:val="24323D"/>
          <w:sz w:val="21"/>
        </w:rPr>
        <w:t>Connect directly to the Week 2 principle that analysis moves from context to choice to effect. Critical reading adds a fourth question: what evidence would justify our judgment? A reader can notice a rhetorical move without deciding immediately that the move is good or bad.</w:t>
      </w:r>
    </w:p>
    <w:p>
      <w:pPr>
        <w:pStyle w:val="ListBullet"/>
        <w:spacing w:after="40"/>
      </w:pPr>
      <w:r>
        <w:rPr>
          <w:rFonts w:ascii="Arial" w:hAnsi="Arial"/>
          <w:b w:val="0"/>
          <w:i w:val="0"/>
          <w:color w:val="24323D"/>
          <w:sz w:val="20"/>
        </w:rPr>
        <w:t>Ask: “What is the difference between noticing a choice and evaluating a choice?”</w:t>
      </w:r>
    </w:p>
    <w:p>
      <w:pPr>
        <w:pStyle w:val="ListBullet"/>
        <w:spacing w:after="40"/>
      </w:pPr>
      <w:r>
        <w:rPr>
          <w:rFonts w:ascii="Arial" w:hAnsi="Arial"/>
          <w:b w:val="0"/>
          <w:i w:val="0"/>
          <w:color w:val="24323D"/>
          <w:sz w:val="20"/>
        </w:rPr>
        <w:t>Likely answers: evaluation requires criteria, evidence, context, and attention to consequences.</w:t>
      </w:r>
    </w:p>
    <w:p>
      <w:pPr>
        <w:spacing w:before="20" w:after="100"/>
      </w:pPr>
      <w:r>
        <w:rPr>
          <w:rFonts w:ascii="Arial" w:hAnsi="Arial"/>
          <w:b/>
          <w:i w:val="0"/>
          <w:color w:val="D4873B"/>
          <w:sz w:val="19"/>
        </w:rPr>
        <w:t xml:space="preserve">[Sources] </w:t>
      </w:r>
      <w:r>
        <w:rPr>
          <w:rFonts w:ascii="Arial" w:hAnsi="Arial"/>
          <w:b w:val="0"/>
          <w:i/>
          <w:color w:val="6B7280"/>
          <w:sz w:val="19"/>
        </w:rPr>
        <w:t>Week 2 course framework; assigned critical-reading chapter.</w:t>
      </w:r>
    </w:p>
    <w:p>
      <w:pPr>
        <w:pStyle w:val="Heading2"/>
        <w:spacing w:before="160" w:after="60"/>
      </w:pPr>
      <w:r>
        <w:t>DISPLAY SLIDE 3 | 1:06–1:11 PM | Critical reading is not instant agreement or disagreement</w:t>
      </w:r>
    </w:p>
    <w:p>
      <w:pPr>
        <w:spacing w:after="80"/>
      </w:pPr>
      <w:r>
        <w:rPr>
          <w:rFonts w:ascii="Arial" w:hAnsi="Arial"/>
          <w:b w:val="0"/>
          <w:i w:val="0"/>
          <w:color w:val="24323D"/>
          <w:sz w:val="21"/>
        </w:rPr>
        <w:t>Introduce the chapter’s key stance: critical readers temporarily suspend the urge to label a position right or wrong so they can reconstruct the argument fairly. Clarify that suspension is temporary, not passive neutrality. The goal is stronger judgment because the judgment is based on what the writer actually argues.</w:t>
      </w:r>
    </w:p>
    <w:p>
      <w:pPr>
        <w:pStyle w:val="ListBullet"/>
        <w:spacing w:after="40"/>
      </w:pPr>
      <w:r>
        <w:rPr>
          <w:rFonts w:ascii="Arial" w:hAnsi="Arial"/>
          <w:b w:val="0"/>
          <w:i w:val="0"/>
          <w:color w:val="24323D"/>
          <w:sz w:val="20"/>
        </w:rPr>
        <w:t>Socratic prompt: “What do we gain by delaying our verdict?”</w:t>
      </w:r>
    </w:p>
    <w:p>
      <w:pPr>
        <w:pStyle w:val="ListBullet"/>
        <w:spacing w:after="40"/>
      </w:pPr>
      <w:r>
        <w:rPr>
          <w:rFonts w:ascii="Arial" w:hAnsi="Arial"/>
          <w:b w:val="0"/>
          <w:i w:val="0"/>
          <w:color w:val="24323D"/>
          <w:sz w:val="20"/>
        </w:rPr>
        <w:t>Follow-up: “What might go wrong when we decide what a text means before we have finished understanding it?”</w:t>
      </w:r>
    </w:p>
    <w:p>
      <w:pPr>
        <w:spacing w:before="20" w:after="100"/>
      </w:pPr>
      <w:r>
        <w:rPr>
          <w:rFonts w:ascii="Arial" w:hAnsi="Arial"/>
          <w:b/>
          <w:i w:val="0"/>
          <w:color w:val="D4873B"/>
          <w:sz w:val="19"/>
        </w:rPr>
        <w:t xml:space="preserve">[Sources] </w:t>
      </w:r>
      <w:r>
        <w:rPr>
          <w:rFonts w:ascii="Arial" w:hAnsi="Arial"/>
          <w:b w:val="0"/>
          <w:i/>
          <w:color w:val="6B7280"/>
          <w:sz w:val="19"/>
        </w:rPr>
        <w:t>Assigned reading: “Critical Reading of Written Arguments.”</w:t>
      </w:r>
    </w:p>
    <w:p>
      <w:pPr>
        <w:pStyle w:val="Heading2"/>
        <w:spacing w:before="160" w:after="60"/>
      </w:pPr>
      <w:r>
        <w:t>DISPLAY SLIDE 4 | 1:11–1:17 PM | Understand an argument on its own terms</w:t>
      </w:r>
    </w:p>
    <w:p>
      <w:pPr>
        <w:spacing w:after="80"/>
      </w:pPr>
      <w:r>
        <w:rPr>
          <w:rFonts w:ascii="Arial" w:hAnsi="Arial"/>
          <w:b w:val="0"/>
          <w:i w:val="0"/>
          <w:color w:val="24323D"/>
          <w:sz w:val="21"/>
        </w:rPr>
        <w:t>Model a reconstruction process students can use: identify the controlling claim; identify the major reasons; locate supporting evidence; infer the reasoning that connects evidence to claims; notice assumptions the writer relies on. Stress fair representation: a summary should make the argument recognizable to someone who agrees with it.</w:t>
      </w:r>
    </w:p>
    <w:p>
      <w:pPr>
        <w:pStyle w:val="ListBullet"/>
        <w:spacing w:after="40"/>
      </w:pPr>
      <w:r>
        <w:rPr>
          <w:rFonts w:ascii="Arial" w:hAnsi="Arial"/>
          <w:b w:val="0"/>
          <w:i w:val="0"/>
          <w:color w:val="24323D"/>
          <w:sz w:val="20"/>
        </w:rPr>
        <w:t>Use the sequence on the slide as a reading checklist rather than a worksheet.</w:t>
      </w:r>
    </w:p>
    <w:p>
      <w:pPr>
        <w:pStyle w:val="ListBullet"/>
        <w:spacing w:after="40"/>
      </w:pPr>
      <w:r>
        <w:rPr>
          <w:rFonts w:ascii="Arial" w:hAnsi="Arial"/>
          <w:b w:val="0"/>
          <w:i w:val="0"/>
          <w:color w:val="24323D"/>
          <w:sz w:val="20"/>
        </w:rPr>
        <w:t>Ask: “Which of these is easiest to miss when you read quickly?”</w:t>
      </w:r>
    </w:p>
    <w:p>
      <w:pPr>
        <w:spacing w:before="20" w:after="100"/>
      </w:pPr>
      <w:r>
        <w:rPr>
          <w:rFonts w:ascii="Arial" w:hAnsi="Arial"/>
          <w:b/>
          <w:i w:val="0"/>
          <w:color w:val="D4873B"/>
          <w:sz w:val="19"/>
        </w:rPr>
        <w:t xml:space="preserve">[Sources] </w:t>
      </w:r>
      <w:r>
        <w:rPr>
          <w:rFonts w:ascii="Arial" w:hAnsi="Arial"/>
          <w:b w:val="0"/>
          <w:i/>
          <w:color w:val="6B7280"/>
          <w:sz w:val="19"/>
        </w:rPr>
        <w:t>Assigned reading: critical-reading strategies and evaluation discussion.</w:t>
      </w:r>
    </w:p>
    <w:p>
      <w:pPr>
        <w:pStyle w:val="Heading2"/>
        <w:spacing w:before="160" w:after="60"/>
      </w:pPr>
      <w:r>
        <w:t>DISPLAY SLIDE 5 | 1:17–1:23 PM | Socratic discussion</w:t>
      </w:r>
    </w:p>
    <w:p>
      <w:pPr>
        <w:spacing w:after="80"/>
      </w:pPr>
      <w:r>
        <w:rPr>
          <w:rFonts w:ascii="Arial" w:hAnsi="Arial"/>
          <w:b w:val="0"/>
          <w:i w:val="0"/>
          <w:color w:val="24323D"/>
          <w:sz w:val="21"/>
        </w:rPr>
        <w:t>Run this as a short Socratic exchange rather than a poll. Start with the proposition on the slide. Students should respond to one another’s reasons, not simply report their own position. Push toward a distinction between intellectual disagreement and premature dismissal.</w:t>
      </w:r>
    </w:p>
    <w:p>
      <w:pPr>
        <w:pStyle w:val="ListBullet"/>
        <w:spacing w:after="40"/>
      </w:pPr>
      <w:r>
        <w:rPr>
          <w:rFonts w:ascii="Arial" w:hAnsi="Arial"/>
          <w:b w:val="0"/>
          <w:i w:val="0"/>
          <w:color w:val="24323D"/>
          <w:sz w:val="20"/>
        </w:rPr>
        <w:t>Opening question: “Does understanding an argument require temporarily setting aside your own conclusion?”</w:t>
      </w:r>
    </w:p>
    <w:p>
      <w:pPr>
        <w:pStyle w:val="ListBullet"/>
        <w:spacing w:after="40"/>
      </w:pPr>
      <w:r>
        <w:rPr>
          <w:rFonts w:ascii="Arial" w:hAnsi="Arial"/>
          <w:b w:val="0"/>
          <w:i w:val="0"/>
          <w:color w:val="24323D"/>
          <w:sz w:val="20"/>
        </w:rPr>
        <w:t>Probe: “What would count as evidence that you have actually understood a position?”</w:t>
      </w:r>
    </w:p>
    <w:p>
      <w:pPr>
        <w:pStyle w:val="ListBullet"/>
        <w:spacing w:after="40"/>
      </w:pPr>
      <w:r>
        <w:rPr>
          <w:rFonts w:ascii="Arial" w:hAnsi="Arial"/>
          <w:b w:val="0"/>
          <w:i w:val="0"/>
          <w:color w:val="24323D"/>
          <w:sz w:val="20"/>
        </w:rPr>
        <w:t>Closing synthesis: understanding is demonstrated by accurate reconstruction, not by sympathy.</w:t>
      </w:r>
    </w:p>
    <w:p>
      <w:pPr>
        <w:spacing w:before="20" w:after="100"/>
      </w:pPr>
      <w:r>
        <w:rPr>
          <w:rFonts w:ascii="Arial" w:hAnsi="Arial"/>
          <w:b/>
          <w:i w:val="0"/>
          <w:color w:val="D4873B"/>
          <w:sz w:val="19"/>
        </w:rPr>
        <w:t xml:space="preserve">[Sources] </w:t>
      </w:r>
      <w:r>
        <w:rPr>
          <w:rFonts w:ascii="Arial" w:hAnsi="Arial"/>
          <w:b w:val="0"/>
          <w:i/>
          <w:color w:val="6B7280"/>
          <w:sz w:val="19"/>
        </w:rPr>
        <w:t>Assigned reading: section on suspending judgment and understanding arguments.</w:t>
      </w:r>
    </w:p>
    <w:p>
      <w:pPr>
        <w:pStyle w:val="Heading2"/>
        <w:spacing w:before="160" w:after="60"/>
      </w:pPr>
      <w:r>
        <w:t>DISPLAY SLIDE 6 | 1:23–1:30 PM | What a critical reader actually looks for</w:t>
      </w:r>
    </w:p>
    <w:p>
      <w:pPr>
        <w:spacing w:after="80"/>
      </w:pPr>
      <w:r>
        <w:rPr>
          <w:rFonts w:ascii="Arial" w:hAnsi="Arial"/>
          <w:b w:val="0"/>
          <w:i w:val="0"/>
          <w:color w:val="24323D"/>
          <w:sz w:val="21"/>
        </w:rPr>
        <w:t>Introduce five practical questions: What is the writer claiming? What supports the claim? How strong is the evidence? What assumptions are operating? How does the organization and language shape the reasoning? This deliberately overlaps with the reading at the level of method, but does not answer any discussion-board prompt for students.</w:t>
      </w:r>
    </w:p>
    <w:p>
      <w:pPr>
        <w:pStyle w:val="ListBullet"/>
        <w:spacing w:after="40"/>
      </w:pPr>
      <w:r>
        <w:rPr>
          <w:rFonts w:ascii="Arial" w:hAnsi="Arial"/>
          <w:b w:val="0"/>
          <w:i w:val="0"/>
          <w:color w:val="24323D"/>
          <w:sz w:val="20"/>
        </w:rPr>
        <w:t>Pair activity, 3 minutes: give students a one-sentence invented argument from the slide and have them identify claim, reason, evidence, and assumption.</w:t>
      </w:r>
    </w:p>
    <w:p>
      <w:pPr>
        <w:pStyle w:val="ListBullet"/>
        <w:spacing w:after="40"/>
      </w:pPr>
      <w:r>
        <w:rPr>
          <w:rFonts w:ascii="Arial" w:hAnsi="Arial"/>
          <w:b w:val="0"/>
          <w:i w:val="0"/>
          <w:color w:val="24323D"/>
          <w:sz w:val="20"/>
        </w:rPr>
        <w:t>Debrief by asking which element they had to infer rather than directly see.</w:t>
      </w:r>
    </w:p>
    <w:p>
      <w:pPr>
        <w:spacing w:before="20" w:after="100"/>
      </w:pPr>
      <w:r>
        <w:rPr>
          <w:rFonts w:ascii="Arial" w:hAnsi="Arial"/>
          <w:b/>
          <w:i w:val="0"/>
          <w:color w:val="D4873B"/>
          <w:sz w:val="19"/>
        </w:rPr>
        <w:t xml:space="preserve">[Sources] </w:t>
      </w:r>
      <w:r>
        <w:rPr>
          <w:rFonts w:ascii="Arial" w:hAnsi="Arial"/>
          <w:b w:val="0"/>
          <w:i/>
          <w:color w:val="6B7280"/>
          <w:sz w:val="19"/>
        </w:rPr>
        <w:t>Assigned reading: strategies for analyzing and evaluating arguments; instructor-created practice statement.</w:t>
      </w:r>
    </w:p>
    <w:p>
      <w:pPr>
        <w:pStyle w:val="Heading2"/>
        <w:spacing w:before="160" w:after="60"/>
      </w:pPr>
      <w:r>
        <w:t>DISPLAY SLIDE 7 | 1:30–1:36 PM | Evaluate more than the conclusion</w:t>
      </w:r>
    </w:p>
    <w:p>
      <w:pPr>
        <w:spacing w:after="80"/>
      </w:pPr>
      <w:r>
        <w:rPr>
          <w:rFonts w:ascii="Arial" w:hAnsi="Arial"/>
          <w:b w:val="0"/>
          <w:i w:val="0"/>
          <w:color w:val="24323D"/>
          <w:sz w:val="21"/>
        </w:rPr>
        <w:t>Emphasize that a conclusion can be attractive and still be poorly supported. Conversely, an unfamiliar conclusion can be supported by a coherent argument. Critical reading asks about strengths, weaknesses, evidence, assumptions, organization, and language—not simply whether the reader agrees.</w:t>
      </w:r>
    </w:p>
    <w:p>
      <w:pPr>
        <w:pStyle w:val="ListBullet"/>
        <w:spacing w:after="40"/>
      </w:pPr>
      <w:r>
        <w:rPr>
          <w:rFonts w:ascii="Arial" w:hAnsi="Arial"/>
          <w:b w:val="0"/>
          <w:i w:val="0"/>
          <w:color w:val="24323D"/>
          <w:sz w:val="20"/>
        </w:rPr>
        <w:t>Small-group activity, 3 minutes: rank three hypothetical arguments by strength using criteria, not agreement.</w:t>
      </w:r>
    </w:p>
    <w:p>
      <w:pPr>
        <w:pStyle w:val="ListBullet"/>
        <w:spacing w:after="40"/>
      </w:pPr>
      <w:r>
        <w:rPr>
          <w:rFonts w:ascii="Arial" w:hAnsi="Arial"/>
          <w:b w:val="0"/>
          <w:i w:val="0"/>
          <w:color w:val="24323D"/>
          <w:sz w:val="20"/>
        </w:rPr>
        <w:t>Whole-class prompt: “Which criterion changed your ranking most?”</w:t>
      </w:r>
    </w:p>
    <w:p>
      <w:pPr>
        <w:spacing w:before="20" w:after="100"/>
      </w:pPr>
      <w:r>
        <w:rPr>
          <w:rFonts w:ascii="Arial" w:hAnsi="Arial"/>
          <w:b/>
          <w:i w:val="0"/>
          <w:color w:val="D4873B"/>
          <w:sz w:val="19"/>
        </w:rPr>
        <w:t xml:space="preserve">[Sources] </w:t>
      </w:r>
      <w:r>
        <w:rPr>
          <w:rFonts w:ascii="Arial" w:hAnsi="Arial"/>
          <w:b w:val="0"/>
          <w:i/>
          <w:color w:val="6B7280"/>
          <w:sz w:val="19"/>
        </w:rPr>
        <w:t>Assigned reading: evaluating arguments; instructor-created hypothetical examples.</w:t>
      </w:r>
    </w:p>
    <w:p>
      <w:pPr>
        <w:pStyle w:val="Heading2"/>
        <w:spacing w:before="160" w:after="60"/>
      </w:pPr>
      <w:r>
        <w:t>DISPLAY SLIDE 8 | 1:36–1:42 PM | Referential vs. rhetorical summary</w:t>
      </w:r>
    </w:p>
    <w:p>
      <w:pPr>
        <w:spacing w:after="80"/>
      </w:pPr>
      <w:r>
        <w:rPr>
          <w:rFonts w:ascii="Arial" w:hAnsi="Arial"/>
          <w:b w:val="0"/>
          <w:i w:val="0"/>
          <w:color w:val="24323D"/>
          <w:sz w:val="21"/>
        </w:rPr>
        <w:t>Distinguish “What does the writer say?” from “How does the writer make the case?” Referential summary gives the argument’s content and major points. Rhetorical summary foregrounds choices: organization, language, evidence, appeals, tone, and audience. Composition students need both because analysis depends on accurate representation plus attention to method.</w:t>
      </w:r>
    </w:p>
    <w:p>
      <w:pPr>
        <w:pStyle w:val="ListBullet"/>
        <w:spacing w:after="40"/>
      </w:pPr>
      <w:r>
        <w:rPr>
          <w:rFonts w:ascii="Arial" w:hAnsi="Arial"/>
          <w:b w:val="0"/>
          <w:i w:val="0"/>
          <w:color w:val="24323D"/>
          <w:sz w:val="20"/>
        </w:rPr>
        <w:t>Pair activity, 3 minutes: convert the same two-sentence description into (a) a referential summary and (b) a rhetorical description.</w:t>
      </w:r>
    </w:p>
    <w:p>
      <w:pPr>
        <w:pStyle w:val="ListBullet"/>
        <w:spacing w:after="40"/>
      </w:pPr>
      <w:r>
        <w:rPr>
          <w:rFonts w:ascii="Arial" w:hAnsi="Arial"/>
          <w:b w:val="0"/>
          <w:i w:val="0"/>
          <w:color w:val="24323D"/>
          <w:sz w:val="20"/>
        </w:rPr>
        <w:t>Debrief: what changed when the question changed?</w:t>
      </w:r>
    </w:p>
    <w:p>
      <w:pPr>
        <w:spacing w:before="20" w:after="100"/>
      </w:pPr>
      <w:r>
        <w:rPr>
          <w:rFonts w:ascii="Arial" w:hAnsi="Arial"/>
          <w:b/>
          <w:i w:val="0"/>
          <w:color w:val="D4873B"/>
          <w:sz w:val="19"/>
        </w:rPr>
        <w:t xml:space="preserve">[Sources] </w:t>
      </w:r>
      <w:r>
        <w:rPr>
          <w:rFonts w:ascii="Arial" w:hAnsi="Arial"/>
          <w:b w:val="0"/>
          <w:i/>
          <w:color w:val="6B7280"/>
          <w:sz w:val="19"/>
        </w:rPr>
        <w:t>Assigned reading: distinction between referential and rhetorical summary.</w:t>
      </w:r>
    </w:p>
    <w:p>
      <w:pPr>
        <w:pStyle w:val="Heading2"/>
        <w:spacing w:before="160" w:after="60"/>
      </w:pPr>
      <w:r>
        <w:t>DISPLAY SLIDE 9 | 1:42–1:48 PM | Annotation as active thinking</w:t>
      </w:r>
    </w:p>
    <w:p>
      <w:pPr>
        <w:spacing w:after="80"/>
      </w:pPr>
      <w:r>
        <w:rPr>
          <w:rFonts w:ascii="Arial" w:hAnsi="Arial"/>
          <w:b w:val="0"/>
          <w:i w:val="0"/>
          <w:color w:val="24323D"/>
          <w:sz w:val="21"/>
        </w:rPr>
        <w:t>Present annotation as a form of externalized thinking. Useful marginal moves include: identify a major claim; mark a surprising or important sentence; question a weak connection; flag an assumption; connect an idea to earlier material; summarize a paragraph in a few words. Stress that highlighting alone is not annotation unless it records a thought.</w:t>
      </w:r>
    </w:p>
    <w:p>
      <w:pPr>
        <w:pStyle w:val="ListBullet"/>
        <w:spacing w:after="40"/>
      </w:pPr>
      <w:r>
        <w:rPr>
          <w:rFonts w:ascii="Arial" w:hAnsi="Arial"/>
          <w:b w:val="0"/>
          <w:i w:val="0"/>
          <w:color w:val="24323D"/>
          <w:sz w:val="20"/>
        </w:rPr>
        <w:t>Quick individual task: annotate one paragraph of the assigned chapter using two different kinds of marks—one for understanding and one for evaluation.</w:t>
      </w:r>
    </w:p>
    <w:p>
      <w:pPr>
        <w:pStyle w:val="ListBullet"/>
        <w:spacing w:after="40"/>
      </w:pPr>
      <w:r>
        <w:rPr>
          <w:rFonts w:ascii="Arial" w:hAnsi="Arial"/>
          <w:b w:val="0"/>
          <w:i w:val="0"/>
          <w:color w:val="24323D"/>
          <w:sz w:val="20"/>
        </w:rPr>
        <w:t>Invite two or three students to describe what their marks are doing.</w:t>
      </w:r>
    </w:p>
    <w:p>
      <w:pPr>
        <w:spacing w:before="20" w:after="100"/>
      </w:pPr>
      <w:r>
        <w:rPr>
          <w:rFonts w:ascii="Arial" w:hAnsi="Arial"/>
          <w:b/>
          <w:i w:val="0"/>
          <w:color w:val="D4873B"/>
          <w:sz w:val="19"/>
        </w:rPr>
        <w:t xml:space="preserve">[Sources] </w:t>
      </w:r>
      <w:r>
        <w:rPr>
          <w:rFonts w:ascii="Arial" w:hAnsi="Arial"/>
          <w:b w:val="0"/>
          <w:i/>
          <w:color w:val="6B7280"/>
          <w:sz w:val="19"/>
        </w:rPr>
        <w:t>Assigned reading: active annotation strategies.</w:t>
      </w:r>
    </w:p>
    <w:p>
      <w:pPr>
        <w:pStyle w:val="Heading2"/>
        <w:spacing w:before="160" w:after="60"/>
      </w:pPr>
      <w:r>
        <w:t>DISPLAY SLIDE 10 | 1:48–1:50 PM | Closing / Wednesday bridge</w:t>
      </w:r>
    </w:p>
    <w:p>
      <w:pPr>
        <w:spacing w:after="80"/>
      </w:pPr>
      <w:r>
        <w:rPr>
          <w:rFonts w:ascii="Arial" w:hAnsi="Arial"/>
          <w:b w:val="0"/>
          <w:i w:val="0"/>
          <w:color w:val="24323D"/>
          <w:sz w:val="21"/>
        </w:rPr>
        <w:t>Close with the course habit: understand → reconstruct → test → evaluate. Preview Wednesday: finish the chapter by putting these habits together, then begin using the same method on a historical argument—Madison’s Federalist No. 51.</w:t>
      </w:r>
    </w:p>
    <w:p>
      <w:pPr>
        <w:pStyle w:val="ListBullet"/>
        <w:spacing w:after="40"/>
      </w:pPr>
      <w:r>
        <w:rPr>
          <w:rFonts w:ascii="Arial" w:hAnsi="Arial"/>
          <w:b w:val="0"/>
          <w:i w:val="0"/>
          <w:color w:val="24323D"/>
          <w:sz w:val="20"/>
        </w:rPr>
        <w:t>Exit ticket: “Name one question a critical reader should ask before deciding whether an argument is effective.”</w:t>
      </w:r>
    </w:p>
    <w:p>
      <w:pPr>
        <w:spacing w:before="20" w:after="100"/>
      </w:pPr>
      <w:r>
        <w:rPr>
          <w:rFonts w:ascii="Arial" w:hAnsi="Arial"/>
          <w:b/>
          <w:i w:val="0"/>
          <w:color w:val="D4873B"/>
          <w:sz w:val="19"/>
        </w:rPr>
        <w:t xml:space="preserve">[Sources] </w:t>
      </w:r>
      <w:r>
        <w:rPr>
          <w:rFonts w:ascii="Arial" w:hAnsi="Arial"/>
          <w:b w:val="0"/>
          <w:i/>
          <w:color w:val="6B7280"/>
          <w:sz w:val="19"/>
        </w:rPr>
        <w:t>Assigned reading: “Critical Reading of Written Arguments”; Wednesday reading: James Madison, Federalist No. 51.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B7280"/>
        <w:sz w:val="16"/>
      </w:rPr>
      <w:t>ENG 101 • ENGLISH COMPOSITION II   |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432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24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