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0F4C75"/>
          <w:sz w:val="72"/>
          <w:szCs w:val="72"/>
        </w:rPr>
        <w:t xml:space="preserve">AI Spend Auditor</w:t>
      </w:r>
    </w:p>
    <w:p>
      <w:pPr>
        <w:spacing w:after="60" w:before="0"/>
        <w:jc w:val="center"/>
      </w:pPr>
      <w:r>
        <w:rPr>
          <w:rFonts w:ascii="Arial" w:cs="Arial" w:eastAsia="Arial" w:hAnsi="Arial"/>
          <w:color w:val="555555"/>
          <w:sz w:val="36"/>
          <w:szCs w:val="36"/>
        </w:rPr>
        <w:t xml:space="preserve">Product Requirements Document</w:t>
      </w:r>
    </w:p>
    <w:p>
      <w:pPr>
        <w:spacing w:after="0" w:before="0"/>
        <w:jc w:val="center"/>
      </w:pPr>
      <w:r>
        <w:rPr>
          <w:rFonts w:ascii="Arial" w:cs="Arial" w:eastAsia="Arial" w:hAnsi="Arial"/>
          <w:color w:val="888888"/>
          <w:sz w:val="22"/>
          <w:szCs w:val="22"/>
        </w:rPr>
        <w:t xml:space="preserve">Version 1.1  ·  CLI-First MVP — All 7 Agents  ·  Confidential</w:t>
      </w:r>
    </w:p>
    <w:p>
      <w:pPr>
        <w:spacing w:after="0" w:before="0"/>
      </w:pPr>
      <w:r>
        <w:t xml:space="preserve"/>
      </w:r>
    </w:p>
    <w:p>
      <w:pPr>
        <w:spacing w:after="0" w:before="0"/>
      </w:pPr>
      <w:r>
        <w:t xml:space="preserve"/>
      </w:r>
    </w:p>
    <w:tbl>
      <w:tblPr>
        <w:tblW w:type="dxa" w:w="5000"/>
        <w:tblBorders>
          <w:top w:val="none" w:color="FFFFFF" w:sz="0"/>
          <w:left w:val="none" w:color="FFFFFF" w:sz="0"/>
          <w:bottom w:val="none" w:color="FFFFFF" w:sz="0"/>
          <w:right w:val="none" w:color="FFFFFF" w:sz="0"/>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0F4C75" w:val="clear"/>
            <w:tcMar>
              <w:top w:type="dxa" w:w="6"/>
              <w:left w:type="dxa" w:w="0"/>
              <w:bottom w:type="dxa" w:w="6"/>
              <w:right w:type="dxa" w:w="0"/>
            </w:tcMar>
          </w:tcPr>
          <w:p>
            <w:r>
              <w:t xml:space="preserve"/>
            </w:r>
          </w:p>
        </w:tc>
      </w:tr>
    </w:tbl>
    <w:p>
      <w:pPr>
        <w:spacing w:after="0" w:before="0"/>
      </w:pPr>
      <w:r>
        <w:t xml:space="preserve"/>
      </w:r>
    </w:p>
    <w:p>
      <w:pPr>
        <w:spacing w:after="0" w:before="0"/>
      </w:pPr>
      <w:r>
        <w:t xml:space="preserve"/>
      </w:r>
    </w:p>
    <w:p>
      <w:pPr>
        <w:spacing w:after="0" w:before="0"/>
        <w:jc w:val="center"/>
      </w:pPr>
      <w:r>
        <w:rPr>
          <w:rFonts w:ascii="Arial" w:cs="Arial" w:eastAsia="Arial" w:hAnsi="Arial"/>
          <w:i/>
          <w:iCs/>
          <w:color w:val="555555"/>
          <w:sz w:val="24"/>
          <w:szCs w:val="24"/>
        </w:rPr>
        <w:t xml:space="preserve">An autonomous financial investigation system for startups and growth-stage companies.</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r>
        <w:br w:type="page"/>
      </w:r>
    </w:p>
    <w:p>
      <w:pPr>
        <w:pStyle w:val="Heading1"/>
        <w:pBdr>
          <w:bottom w:val="single" w:color="0F4C75" w:sz="4" w:space="6"/>
        </w:pBdr>
        <w:spacing w:after="160" w:before="480"/>
      </w:pPr>
      <w:r>
        <w:rPr>
          <w:rFonts w:ascii="Arial" w:cs="Arial" w:eastAsia="Arial" w:hAnsi="Arial"/>
          <w:b/>
          <w:bCs/>
          <w:color w:val="0F4C75"/>
          <w:sz w:val="36"/>
          <w:szCs w:val="36"/>
        </w:rPr>
        <w:t xml:space="preserve">1. Executive Summary</w:t>
      </w:r>
    </w:p>
    <w:p>
      <w:pPr>
        <w:spacing w:line="320"/>
      </w:pPr>
      <w:r>
        <w:rPr>
          <w:rFonts w:ascii="Arial" w:cs="Arial" w:eastAsia="Arial" w:hAnsi="Arial"/>
          <w:color w:val="2C2C2C"/>
          <w:sz w:val="22"/>
          <w:szCs w:val="22"/>
        </w:rPr>
        <w:t xml:space="preserve">Companies do not lose money because they lack financial data. They lose money because finance teams cannot manually investigate every invoice, transaction, subscription, reimbursement, and vendor payment. AI Spend Auditor is an autonomous financial investigation system that continuously monitors company spending and proactively generates findings — before humans notice the problem.</w:t>
      </w:r>
    </w:p>
    <w:p>
      <w:pPr>
        <w:spacing w:after="0" w:before="0"/>
      </w:pPr>
      <w:r>
        <w:t xml:space="preserve"/>
      </w:r>
    </w:p>
    <w:p>
      <w:pPr>
        <w:spacing w:line="320"/>
      </w:pPr>
      <w:r>
        <w:rPr>
          <w:rFonts w:ascii="Arial" w:cs="Arial" w:eastAsia="Arial" w:hAnsi="Arial"/>
          <w:color w:val="2C2C2C"/>
          <w:sz w:val="22"/>
          <w:szCs w:val="22"/>
        </w:rPr>
        <w:t xml:space="preserve">The product is CLI-first by design. No dashboard, no SaaS login flow, no UI debt. The CLI proves the intelligence layer is real, generates the first paying customers, and establishes a reputation before any frontend is built.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Field</w:t>
            </w:r>
          </w:p>
        </w:tc>
        <w:tc>
          <w:tcPr>
            <w:tcW w:type="dxa" w:w="60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Product Name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Spend Auditor</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Version</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1.0 — CLI MVP</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Primary ICP</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Series A–C startups, 40–300 employees, ₹5Cr–₹200Cr annual spend</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CLI Inspiration</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Dexter (virattt) — streaming, scratchpad, event-driven UI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Runtime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 + TypeScript</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Terminal UI</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Ink + React (same architecture as Claude Code)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Agent Framework</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LangGraph.js — state machine investigation loop</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LLM — Fast steps</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Groq (llama-3.3-70b or mixtral-8x7b) — low latency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LLM — Reasoning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OpenRouter → claude-sonnet-4-6 or gpt-4o — finding generation</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Storage</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bun:sqlite (local, zero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MVP Finding Types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7: SaaS Waste, Duplicate Payments, Vendor Overbilling, Policy Violations, Reconciliation, Anomaly Detection, Cash Flow Risk</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2. Problem Statement</w:t>
      </w:r>
    </w:p>
    <w:p>
      <w:pPr>
        <w:pStyle w:val="Heading2"/>
        <w:spacing w:after="120" w:before="320"/>
      </w:pPr>
      <w:r>
        <w:rPr>
          <w:rFonts w:ascii="Arial" w:cs="Arial" w:eastAsia="Arial" w:hAnsi="Arial"/>
          <w:b/>
          <w:bCs/>
          <w:color w:val="0A0A0A"/>
          <w:sz w:val="28"/>
          <w:szCs w:val="28"/>
        </w:rPr>
        <w:t xml:space="preserve">2.1 The Core Problem</w:t>
      </w:r>
    </w:p>
    <w:p>
      <w:pPr>
        <w:spacing w:line="320"/>
      </w:pPr>
      <w:r>
        <w:rPr>
          <w:rFonts w:ascii="Arial" w:cs="Arial" w:eastAsia="Arial" w:hAnsi="Arial"/>
          <w:color w:val="2C2C2C"/>
          <w:sz w:val="22"/>
          <w:szCs w:val="22"/>
        </w:rPr>
        <w:t xml:space="preserve">Finance teams at growth-stage startups are systematically understaffed relative to spend volume. A 3-person finance team at a 100-person company is expected to approve, reconcile, and audit hundreds of transactions per month while simultaneously managing payroll, investor reporting, and vendor negotiations. Errors compound silently.</w:t>
      </w:r>
    </w:p>
    <w:p>
      <w:pPr>
        <w:spacing w:after="0" w:before="0"/>
      </w:pPr>
      <w:r>
        <w:t xml:space="preserve"/>
      </w:r>
    </w:p>
    <w:tbl>
      <w:tblPr>
        <w:tblW w:type="dxa" w:w="9200"/>
        <w:tblBorders>
          <w:top w:val="single" w:color="0F4C75" w:sz="4"/>
          <w:left w:val="single" w:color="0F4C75" w:sz="6"/>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8F1F8" w:val="clear"/>
            <w:tcMar>
              <w:top w:type="dxa" w:w="120"/>
              <w:left w:type="dxa" w:w="180"/>
              <w:bottom w:type="dxa" w:w="120"/>
              <w:right w:type="dxa" w:w="180"/>
            </w:tcMar>
          </w:tcPr>
          <w:p>
            <w:pPr>
              <w:spacing w:after="60" w:before="0"/>
            </w:pPr>
            <w:r>
              <w:rPr>
                <w:rFonts w:ascii="Arial" w:cs="Arial" w:eastAsia="Arial" w:hAnsi="Arial"/>
                <w:b/>
                <w:bCs/>
                <w:color w:val="0F4C75"/>
                <w:sz w:val="20"/>
                <w:szCs w:val="20"/>
              </w:rPr>
              <w:t xml:space="preserve">The Attention Gap</w:t>
            </w:r>
          </w:p>
          <w:p>
            <w:pPr>
              <w:spacing w:line="300"/>
            </w:pPr>
            <w:r>
              <w:rPr>
                <w:rFonts w:ascii="Arial" w:cs="Arial" w:eastAsia="Arial" w:hAnsi="Arial"/>
                <w:color w:val="2C2C2C"/>
                <w:sz w:val="20"/>
                <w:szCs w:val="20"/>
              </w:rPr>
              <w:t xml:space="preserve">Billing errors and AP fraud affect an estimated 5–8% of company revenue at SMBs. The vast majority are discovered incidentally — during a year-end audit, by accident, or never. The problem is not data availability. The problem is investigative capacity.</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2.2 Who Actually Pays</w:t>
      </w:r>
    </w:p>
    <w:p>
      <w:pPr>
        <w:spacing w:line="320"/>
      </w:pPr>
      <w:r>
        <w:rPr>
          <w:rFonts w:ascii="Arial" w:cs="Arial" w:eastAsia="Arial" w:hAnsi="Arial"/>
          <w:color w:val="2C2C2C"/>
          <w:sz w:val="22"/>
          <w:szCs w:val="22"/>
        </w:rPr>
        <w:t xml:space="preserve">The economic buyer is the CFO or VP Finance. The daily user is the finance lead or controller. The sweet spot is companies where both of these are different people and both are under pressure: Series A to Series C companies with ₹5Cr–₹200Cr in annual vendor and operational spend.</w:t>
      </w:r>
    </w:p>
    <w:p>
      <w:pPr>
        <w:spacing w:after="0" w:before="0"/>
      </w:pPr>
      <w:r>
        <w:t xml:space="preserve"/>
      </w:r>
    </w:p>
    <w:p>
      <w:pPr>
        <w:spacing w:line="320"/>
      </w:pPr>
      <w:r>
        <w:rPr>
          <w:rFonts w:ascii="Arial" w:cs="Arial" w:eastAsia="Arial" w:hAnsi="Arial"/>
          <w:color w:val="2C2C2C"/>
          <w:sz w:val="22"/>
          <w:szCs w:val="22"/>
        </w:rPr>
        <w:t xml:space="preserve">Early-stage startups (under 40 people) do not have enough spend complexity. Enterprises have internal audit teams and SAP. The MVP targets the gap between these two extremes.</w:t>
      </w:r>
    </w:p>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3. Product Vision</w:t>
      </w:r>
    </w:p>
    <w:p>
      <w:pPr>
        <w:pStyle w:val="Heading2"/>
        <w:spacing w:after="120" w:before="320"/>
      </w:pPr>
      <w:r>
        <w:rPr>
          <w:rFonts w:ascii="Arial" w:cs="Arial" w:eastAsia="Arial" w:hAnsi="Arial"/>
          <w:b/>
          <w:bCs/>
          <w:color w:val="0A0A0A"/>
          <w:sz w:val="28"/>
          <w:szCs w:val="28"/>
        </w:rPr>
        <w:t xml:space="preserve">3.1 What It Is</w:t>
      </w:r>
    </w:p>
    <w:p>
      <w:pPr>
        <w:spacing w:line="320"/>
      </w:pPr>
      <w:r>
        <w:rPr>
          <w:rFonts w:ascii="Arial" w:cs="Arial" w:eastAsia="Arial" w:hAnsi="Arial"/>
          <w:color w:val="2C2C2C"/>
          <w:sz w:val="22"/>
          <w:szCs w:val="22"/>
        </w:rPr>
        <w:t xml:space="preserve">AI Spend Auditor is a CLI tool that ingests financial data, runs an investigation engine against it, and outputs structured findings. Each finding explains what was detected, shows the supporting evidence, estimates financial impact, assigns confidence, and recommends next actions. The system runs continuously in the background or on demand.</w:t>
      </w:r>
    </w:p>
    <w:p>
      <w:pPr>
        <w:spacing w:after="0" w:before="0"/>
      </w:pPr>
      <w:r>
        <w:t xml:space="preserve"/>
      </w:r>
    </w:p>
    <w:p>
      <w:pPr>
        <w:pStyle w:val="Heading2"/>
        <w:spacing w:after="120" w:before="320"/>
      </w:pPr>
      <w:r>
        <w:rPr>
          <w:rFonts w:ascii="Arial" w:cs="Arial" w:eastAsia="Arial" w:hAnsi="Arial"/>
          <w:b/>
          <w:bCs/>
          <w:color w:val="0A0A0A"/>
          <w:sz w:val="28"/>
          <w:szCs w:val="28"/>
        </w:rPr>
        <w:t xml:space="preserve">3.2 What It Is Not</w:t>
      </w:r>
    </w:p>
    <w:p>
      <w:pPr>
        <w:pStyle w:val="ListParagraph"/>
        <w:numPr>
          <w:ilvl w:val="0"/>
          <w:numId w:val="2"/>
        </w:numPr>
        <w:spacing w:after="60" w:before="0"/>
      </w:pPr>
      <w:r>
        <w:rPr>
          <w:rFonts w:ascii="Arial" w:cs="Arial" w:eastAsia="Arial" w:hAnsi="Arial"/>
          <w:color w:val="2C2C2C"/>
          <w:sz w:val="22"/>
          <w:szCs w:val="22"/>
        </w:rPr>
        <w:t xml:space="preserve">Not a chatbot or question-answering system</w:t>
      </w:r>
    </w:p>
    <w:p>
      <w:pPr>
        <w:pStyle w:val="ListParagraph"/>
        <w:numPr>
          <w:ilvl w:val="0"/>
          <w:numId w:val="2"/>
        </w:numPr>
        <w:spacing w:after="60" w:before="0"/>
      </w:pPr>
      <w:r>
        <w:rPr>
          <w:rFonts w:ascii="Arial" w:cs="Arial" w:eastAsia="Arial" w:hAnsi="Arial"/>
          <w:color w:val="2C2C2C"/>
          <w:sz w:val="22"/>
          <w:szCs w:val="22"/>
        </w:rPr>
        <w:t xml:space="preserve">Not a dashboard or analytics platform</w:t>
      </w:r>
    </w:p>
    <w:p>
      <w:pPr>
        <w:pStyle w:val="ListParagraph"/>
        <w:numPr>
          <w:ilvl w:val="0"/>
          <w:numId w:val="2"/>
        </w:numPr>
        <w:spacing w:after="60" w:before="0"/>
      </w:pPr>
      <w:r>
        <w:rPr>
          <w:rFonts w:ascii="Arial" w:cs="Arial" w:eastAsia="Arial" w:hAnsi="Arial"/>
          <w:color w:val="2C2C2C"/>
          <w:sz w:val="22"/>
          <w:szCs w:val="22"/>
        </w:rPr>
        <w:t xml:space="preserve">Not a budgeting or expense tracking app</w:t>
      </w:r>
    </w:p>
    <w:p>
      <w:pPr>
        <w:pStyle w:val="ListParagraph"/>
        <w:numPr>
          <w:ilvl w:val="0"/>
          <w:numId w:val="2"/>
        </w:numPr>
        <w:spacing w:after="60" w:before="0"/>
      </w:pPr>
      <w:r>
        <w:rPr>
          <w:rFonts w:ascii="Arial" w:cs="Arial" w:eastAsia="Arial" w:hAnsi="Arial"/>
          <w:color w:val="2C2C2C"/>
          <w:sz w:val="22"/>
          <w:szCs w:val="22"/>
        </w:rPr>
        <w:t xml:space="preserve">Not a generic RAG system with financial documents</w:t>
      </w:r>
    </w:p>
    <w:p>
      <w:pPr>
        <w:pStyle w:val="ListParagraph"/>
        <w:numPr>
          <w:ilvl w:val="0"/>
          <w:numId w:val="2"/>
        </w:numPr>
        <w:spacing w:after="60" w:before="0"/>
      </w:pPr>
      <w:r>
        <w:rPr>
          <w:rFonts w:ascii="Arial" w:cs="Arial" w:eastAsia="Arial" w:hAnsi="Arial"/>
          <w:color w:val="2C2C2C"/>
          <w:sz w:val="22"/>
          <w:szCs w:val="22"/>
        </w:rPr>
        <w:t xml:space="preserve">Not an accounting tool or ERP replacement</w:t>
      </w:r>
    </w:p>
    <w:p>
      <w:pPr>
        <w:spacing w:after="0" w:before="0"/>
      </w:pPr>
      <w:r>
        <w:t xml:space="preserve"/>
      </w:r>
    </w:p>
    <w:p>
      <w:pPr>
        <w:pStyle w:val="Heading2"/>
        <w:spacing w:after="120" w:before="320"/>
      </w:pPr>
      <w:r>
        <w:rPr>
          <w:rFonts w:ascii="Arial" w:cs="Arial" w:eastAsia="Arial" w:hAnsi="Arial"/>
          <w:b/>
          <w:bCs/>
          <w:color w:val="0A0A0A"/>
          <w:sz w:val="28"/>
          <w:szCs w:val="28"/>
        </w:rPr>
        <w:t xml:space="preserve">3.3 The CLI Philosophy</w:t>
      </w:r>
    </w:p>
    <w:p>
      <w:pPr>
        <w:spacing w:line="320"/>
      </w:pPr>
      <w:r>
        <w:rPr>
          <w:rFonts w:ascii="Arial" w:cs="Arial" w:eastAsia="Arial" w:hAnsi="Arial"/>
          <w:color w:val="2C2C2C"/>
          <w:sz w:val="22"/>
          <w:szCs w:val="22"/>
        </w:rPr>
        <w:t xml:space="preserve">The CLI is not a UX compromise. It is a deliberate positioning decision. Every serious infrastructure tool — Git, Docker, Stripe CLI, the AWS CLI — is adopted by technical teams before going mainstream. The CLI communicates depth, seriousness, and infrastructure-grade intent. It signals: this is financial infrastructure, not another SaaS dashboard.</w:t>
      </w:r>
    </w:p>
    <w:p>
      <w:pPr>
        <w:spacing w:after="0" w:before="0"/>
      </w:pPr>
      <w:r>
        <w:t xml:space="preserve"/>
      </w:r>
    </w:p>
    <w:p>
      <w:pPr>
        <w:spacing w:line="320"/>
      </w:pPr>
      <w:r>
        <w:rPr>
          <w:rFonts w:ascii="Arial" w:cs="Arial" w:eastAsia="Arial" w:hAnsi="Arial"/>
          <w:color w:val="2C2C2C"/>
          <w:sz w:val="22"/>
          <w:szCs w:val="22"/>
        </w:rPr>
        <w:t xml:space="preserve">Inspiration: Dexter by virattt (github.com/virattt/dexter). Dexter is a Claude Code-style autonomous agent for financial research. AI Spend Auditor borrows Dexter's core architecture: Ink + React for terminal UI, AsyncGenerator for streaming agent events, JSONL scratchpad for audit trails, and Bun as the runtime. The key difference is direction: Dexter is query-driven (ask → research → answer). AI Spend Auditor is event-driven (ingest → investigate → push).</w:t>
      </w:r>
    </w:p>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4. CLI Design</w:t>
      </w:r>
    </w:p>
    <w:p>
      <w:pPr>
        <w:pStyle w:val="Heading2"/>
        <w:spacing w:after="120" w:before="320"/>
      </w:pPr>
      <w:r>
        <w:rPr>
          <w:rFonts w:ascii="Arial" w:cs="Arial" w:eastAsia="Arial" w:hAnsi="Arial"/>
          <w:b/>
          <w:bCs/>
          <w:color w:val="0A0A0A"/>
          <w:sz w:val="28"/>
          <w:szCs w:val="28"/>
        </w:rPr>
        <w:t xml:space="preserve">4.1 Command Structure</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&lt;command&gt; [subcommand] [flags]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init                          Initialize workspace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ingest &lt;path&gt; [--type]        Ingest financial data</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investigate [--type] [--watch] Run investigation engine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findings [--status] [--type]  Browse findings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explain &lt;FINDING-ID&gt;          Deep-dive a 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feedback &lt;FINDING-ID&gt;         Submit review action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report [--period] [--export]  Generate reports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status                        System and agent health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config                        Workspace configuration</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4.2 Full Command Reference</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Workspace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init --company "Acme Corp" --currency INR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Ingest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ingest subscriptions.csv</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ingest invoices/ --format pdf</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ingest transactions.csv --type bank-export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ingest contracts/ --type pdf</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Investigate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investigate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investigate --type saas-waste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investigate --type duplicate-payments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investigate --watch              # daemon mode, runs continuously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Findings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findings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findings --status open --severity critical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findings --type saas-waste --since 7d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Review</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explain FINDING-003</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explain FINDING-003 --evidence   # full evidence chain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explain FINDING-003 --trace      # investigation reasoning log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explain FINDING-003 --export pdf</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Feedback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feedback FINDING-003 --resolve "Spoke to vendor, corrected"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feedback FINDING-003 --dismiss --reason "Known approved exception"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feedback FINDING-003 --escalate --to finance@company.com</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Reports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report --period 2025-Q1 --export pdf</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audit report --type executive-summary</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4.3 Streaming Investigation Output</w:t>
      </w:r>
    </w:p>
    <w:p>
      <w:pPr>
        <w:spacing w:line="320"/>
      </w:pPr>
      <w:r>
        <w:rPr>
          <w:rFonts w:ascii="Arial" w:cs="Arial" w:eastAsia="Arial" w:hAnsi="Arial"/>
          <w:color w:val="2C2C2C"/>
          <w:sz w:val="22"/>
          <w:szCs w:val="22"/>
        </w:rPr>
        <w:t xml:space="preserve">When audit investigate runs, the terminal streams the investigation live — one event per meaningful agent step. This is the core UX differentiator: the user watches the investigation happen, not a spinner followed by a result. Built with Ink + React consuming an AsyncGenerator&lt;AuditEvent&gt;.</w:t>
      </w:r>
    </w:p>
    <w:p>
      <w:pPr>
        <w:spacing w:after="0" w:before="0"/>
      </w:pPr>
      <w:r>
        <w:t xml:space="preserve"/>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 investigate --type duplicate-payments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AI Spend Auditor — Investigation Engine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Duplicate Payment Agent — scanning 847 transactions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Loading vendor registry... 94 vendors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Loading invoices... 203 records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Investigating: Razorpay Payments Pvt Ltd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14 invoices vs 14 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Amount tolerance: ±0.5%  |  Date window: ±7 days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 anomalies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Investigating: AWS India Pvt Ltd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8 invoices vs 9 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Amount match: INV-2024-1147 ↔ INV-2024-1163</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Date delta: 3 days  ← within duplicate window</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Line items: both reference "October 2024 Infrastructure"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Bank status: both payments cleared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Confidence: 87%</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Finding generated: FINDING-003</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94 vendors reviewed  |  2 findings  |  12.3s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Run `audit findings` to review.</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4.4 Finding Display (audit explain)</w:t>
      </w:r>
    </w:p>
    <w:p>
      <w:pPr>
        <w:spacing w:after="0" w:before="0"/>
      </w:pPr>
      <w:r>
        <w:t xml:space="preserve"/>
      </w:r>
    </w:p>
    <w:tbl>
      <w:tblPr>
        <w:tblW w:type="dxa" w:w="9200"/>
        <w:tblBorders>
          <w:top w:val="single" w:color="C0392B" w:sz="2"/>
          <w:left w:val="single" w:color="C0392B" w:sz="2"/>
          <w:bottom w:val="single" w:color="C0392B" w:sz="2"/>
          <w:right w:val="single" w:color="C0392B" w:sz="2"/>
          <w:insideH w:val="single" w:color="auto" w:sz="4"/>
          <w:insideV w:val="single" w:color="auto" w:sz="4"/>
        </w:tblBorders>
      </w:tblPr>
      <w:tblGrid>
        <w:gridCol w:w="2200"/>
        <w:gridCol w:w="7000"/>
      </w:tblGrid>
      <w:tr>
        <w:tc>
          <w:tcPr>
            <w:tcW w:type="dxa" w:w="9200"/>
            <w:gridSpan w:val="2"/>
            <w:tcBorders>
              <w:top w:val="none" w:color="FFFFFF" w:sz="0"/>
              <w:left w:val="none" w:color="FFFFFF" w:sz="0"/>
              <w:bottom w:val="none" w:color="FFFFFF" w:sz="0"/>
              <w:right w:val="none" w:color="FFFFFF" w:sz="0"/>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  FINDING-003  |  Duplicate Payment  |  Critical</w:t>
            </w:r>
          </w:p>
        </w:tc>
      </w:tr>
      <w:tr>
        <w:tc>
          <w:tcPr>
            <w:tcW w:type="dxa" w:w="22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Vendor</w:t>
            </w:r>
          </w:p>
        </w:tc>
        <w:tc>
          <w:tcPr>
            <w:tcW w:type="dxa" w:w="70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color w:val="2C2C2C"/>
                <w:sz w:val="20"/>
                <w:szCs w:val="20"/>
              </w:rPr>
              <w:t xml:space="preserve">AWS India Pvt Ltd</w:t>
            </w:r>
          </w:p>
        </w:tc>
      </w:tr>
      <w:tr>
        <w:tc>
          <w:tcPr>
            <w:tcW w:type="dxa" w:w="2200"/>
            <w:tcBorders>
              <w:top w:val="single" w:color="C0392B" w:sz="1"/>
              <w:left w:val="single" w:color="C0392B" w:sz="1"/>
              <w:bottom w:val="single" w:color="C0392B" w:sz="1"/>
              <w:right w:val="single" w:color="C0392B"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Evidence</w:t>
            </w:r>
          </w:p>
        </w:tc>
        <w:tc>
          <w:tcPr>
            <w:tcW w:type="dxa" w:w="7000"/>
            <w:tcBorders>
              <w:top w:val="single" w:color="C0392B" w:sz="1"/>
              <w:left w:val="single" w:color="C0392B" w:sz="1"/>
              <w:bottom w:val="single" w:color="C0392B" w:sz="1"/>
              <w:right w:val="single" w:color="C0392B"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INV-2024-1147 (₹48,320 · 2024-11-03) and INV-2024-1163 (₹48,320 · 2024-11-06) — both cleared, both reference "October 2024 Infrastructure"</w:t>
            </w:r>
          </w:p>
        </w:tc>
      </w:tr>
      <w:tr>
        <w:tc>
          <w:tcPr>
            <w:tcW w:type="dxa" w:w="22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Impact</w:t>
            </w:r>
          </w:p>
        </w:tc>
        <w:tc>
          <w:tcPr>
            <w:tcW w:type="dxa" w:w="70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color w:val="2C2C2C"/>
                <w:sz w:val="20"/>
                <w:szCs w:val="20"/>
              </w:rPr>
              <w:t xml:space="preserve">₹48,320 confirmed exposure</w:t>
            </w:r>
          </w:p>
        </w:tc>
      </w:tr>
      <w:tr>
        <w:tc>
          <w:tcPr>
            <w:tcW w:type="dxa" w:w="2200"/>
            <w:tcBorders>
              <w:top w:val="single" w:color="C0392B" w:sz="1"/>
              <w:left w:val="single" w:color="C0392B" w:sz="1"/>
              <w:bottom w:val="single" w:color="C0392B" w:sz="1"/>
              <w:right w:val="single" w:color="C0392B" w:sz="1"/>
            </w:tcBorders>
            <w:shd w:fill="FFFFFF" w:val="clear"/>
            <w:tcMar>
              <w:top w:type="dxa" w:w="80"/>
              <w:left w:type="dxa" w:w="140"/>
              <w:bottom w:type="dxa" w:w="80"/>
              <w:right w:type="dxa" w:w="140"/>
            </w:tcMar>
          </w:tcPr>
          <w:p>
            <w:r>
              <w:rPr>
                <w:rFonts w:ascii="Arial" w:cs="Arial" w:eastAsia="Arial" w:hAnsi="Arial"/>
                <w:b/>
                <w:bCs/>
                <w:color w:val="C0392B"/>
                <w:sz w:val="20"/>
                <w:szCs w:val="20"/>
              </w:rPr>
              <w:t xml:space="preserve">Confidence</w:t>
            </w:r>
          </w:p>
        </w:tc>
        <w:tc>
          <w:tcPr>
            <w:tcW w:type="dxa" w:w="7000"/>
            <w:tcBorders>
              <w:top w:val="single" w:color="C0392B" w:sz="1"/>
              <w:left w:val="single" w:color="C0392B" w:sz="1"/>
              <w:bottom w:val="single" w:color="C0392B" w:sz="1"/>
              <w:right w:val="single" w:color="C0392B"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87% — exact amount match, same billing period, both payments cleared</w:t>
            </w:r>
          </w:p>
        </w:tc>
      </w:tr>
      <w:tr>
        <w:tc>
          <w:tcPr>
            <w:tcW w:type="dxa" w:w="22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b/>
                <w:bCs/>
                <w:color w:val="C0392B"/>
                <w:sz w:val="20"/>
                <w:szCs w:val="20"/>
              </w:rPr>
              <w:t xml:space="preserve">Action</w:t>
            </w:r>
          </w:p>
        </w:tc>
        <w:tc>
          <w:tcPr>
            <w:tcW w:type="dxa" w:w="7000"/>
            <w:tcBorders>
              <w:top w:val="single" w:color="C0392B" w:sz="1"/>
              <w:left w:val="single" w:color="C0392B" w:sz="1"/>
              <w:bottom w:val="single" w:color="C0392B" w:sz="1"/>
              <w:right w:val="single" w:color="C0392B" w:sz="1"/>
            </w:tcBorders>
            <w:shd w:fill="FDEDEC" w:val="clear"/>
            <w:tcMar>
              <w:top w:type="dxa" w:w="80"/>
              <w:left w:type="dxa" w:w="140"/>
              <w:bottom w:type="dxa" w:w="80"/>
              <w:right w:type="dxa" w:w="140"/>
            </w:tcMar>
          </w:tcPr>
          <w:p>
            <w:r>
              <w:rPr>
                <w:rFonts w:ascii="Arial" w:cs="Arial" w:eastAsia="Arial" w:hAnsi="Arial"/>
                <w:color w:val="2C2C2C"/>
                <w:sz w:val="20"/>
                <w:szCs w:val="20"/>
              </w:rPr>
              <w:t xml:space="preserve">Contact AWS billing, reference both invoice numbers, hold next payment pending confirmation</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5. User Personas</w:t>
      </w:r>
    </w:p>
    <w:p>
      <w:pPr>
        <w:pStyle w:val="Heading2"/>
        <w:spacing w:after="120" w:before="320"/>
      </w:pPr>
      <w:r>
        <w:rPr>
          <w:rFonts w:ascii="Arial" w:cs="Arial" w:eastAsia="Arial" w:hAnsi="Arial"/>
          <w:b/>
          <w:bCs/>
          <w:color w:val="0A0A0A"/>
          <w:sz w:val="28"/>
          <w:szCs w:val="28"/>
        </w:rPr>
        <w:t xml:space="preserve">Persona A — Finance Lead (Primary User)</w:t>
      </w:r>
    </w:p>
    <w:p>
      <w:pPr>
        <w:spacing w:line="320"/>
      </w:pPr>
      <w:r>
        <w:rPr>
          <w:rFonts w:ascii="Arial" w:cs="Arial" w:eastAsia="Arial" w:hAnsi="Arial"/>
          <w:color w:val="2C2C2C"/>
          <w:sz w:val="22"/>
          <w:szCs w:val="22"/>
        </w:rPr>
        <w:t xml:space="preserve">Title: Finance Manager / Controller. Company size: 50–200 people. Manages AP, AR, payroll, compliance, and vendor relationships simultaneously. Approves 150–400 transactions per month. Spends 45 seconds per invoice on average. Does not have time for systematic cross-referencing. Pain: "I approved that invoice in under a minute because there were 60 others queued."</w:t>
      </w:r>
    </w:p>
    <w:p>
      <w:pPr>
        <w:spacing w:after="0" w:before="0"/>
      </w:pPr>
      <w:r>
        <w:t xml:space="preserve"/>
      </w:r>
    </w:p>
    <w:p>
      <w:pPr>
        <w:pStyle w:val="Heading2"/>
        <w:spacing w:after="120" w:before="320"/>
      </w:pPr>
      <w:r>
        <w:rPr>
          <w:rFonts w:ascii="Arial" w:cs="Arial" w:eastAsia="Arial" w:hAnsi="Arial"/>
          <w:b/>
          <w:bCs/>
          <w:color w:val="0A0A0A"/>
          <w:sz w:val="28"/>
          <w:szCs w:val="28"/>
        </w:rPr>
        <w:t xml:space="preserve">Persona B — CFO (Economic Buyer)</w:t>
      </w:r>
    </w:p>
    <w:p>
      <w:pPr>
        <w:spacing w:line="320"/>
      </w:pPr>
      <w:r>
        <w:rPr>
          <w:rFonts w:ascii="Arial" w:cs="Arial" w:eastAsia="Arial" w:hAnsi="Arial"/>
          <w:color w:val="2C2C2C"/>
          <w:sz w:val="22"/>
          <w:szCs w:val="22"/>
        </w:rPr>
        <w:t xml:space="preserve">Title: CFO / VP Finance. Receives weekly digest. Cares about: runway visibility, audit readiness, unit economics, board defensibility. Does not use the product daily. Primary concern: "Do we have financial controls in place and can I prove it?" Makes the purchase decision. Primary metric: confirmed financial recovery per quarter.</w:t>
      </w:r>
    </w:p>
    <w:p>
      <w:pPr>
        <w:spacing w:after="0" w:before="0"/>
      </w:pPr>
      <w:r>
        <w:t xml:space="preserve"/>
      </w:r>
    </w:p>
    <w:p>
      <w:pPr>
        <w:pStyle w:val="Heading2"/>
        <w:spacing w:after="120" w:before="320"/>
      </w:pPr>
      <w:r>
        <w:rPr>
          <w:rFonts w:ascii="Arial" w:cs="Arial" w:eastAsia="Arial" w:hAnsi="Arial"/>
          <w:b/>
          <w:bCs/>
          <w:color w:val="0A0A0A"/>
          <w:sz w:val="28"/>
          <w:szCs w:val="28"/>
        </w:rPr>
        <w:t xml:space="preserve">Persona C — Founder / COO (Early-Stage)</w:t>
      </w:r>
    </w:p>
    <w:p>
      <w:pPr>
        <w:spacing w:line="320"/>
      </w:pPr>
      <w:r>
        <w:rPr>
          <w:rFonts w:ascii="Arial" w:cs="Arial" w:eastAsia="Arial" w:hAnsi="Arial"/>
          <w:color w:val="2C2C2C"/>
          <w:sz w:val="22"/>
          <w:szCs w:val="22"/>
        </w:rPr>
        <w:t xml:space="preserve">No dedicated finance hire yet. Signs off on every payment personally. Wants the system to flag "pay this" vs "hold — something looks off" without requiring financial expertise to interpret. Will be the first paying customer category.</w:t>
      </w:r>
    </w:p>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6. MVP Scope</w:t>
      </w:r>
    </w:p>
    <w:p>
      <w:pPr>
        <w:pStyle w:val="Heading2"/>
        <w:spacing w:after="120" w:before="320"/>
      </w:pPr>
      <w:r>
        <w:rPr>
          <w:rFonts w:ascii="Arial" w:cs="Arial" w:eastAsia="Arial" w:hAnsi="Arial"/>
          <w:b/>
          <w:bCs/>
          <w:color w:val="0A0A0A"/>
          <w:sz w:val="28"/>
          <w:szCs w:val="28"/>
        </w:rPr>
        <w:t xml:space="preserve">6.1 All 7 Finding Types — CLI Phase 1</w:t>
      </w:r>
    </w:p>
    <w:tbl>
      <w:tblPr>
        <w:tblW w:type="dxa" w:w="9200"/>
        <w:tblBorders>
          <w:top w:val="single" w:color="1A7A4A" w:sz="4"/>
          <w:left w:val="single" w:color="1A7A4A" w:sz="6"/>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E9F7EF" w:val="clear"/>
            <w:tcMar>
              <w:top w:type="dxa" w:w="120"/>
              <w:left w:type="dxa" w:w="180"/>
              <w:bottom w:type="dxa" w:w="120"/>
              <w:right w:type="dxa" w:w="180"/>
            </w:tcMar>
          </w:tcPr>
          <w:p>
            <w:pPr>
              <w:spacing w:after="60" w:before="0"/>
            </w:pPr>
            <w:r>
              <w:rPr>
                <w:rFonts w:ascii="Arial" w:cs="Arial" w:eastAsia="Arial" w:hAnsi="Arial"/>
                <w:b/>
                <w:bCs/>
                <w:color w:val="1A7A4A"/>
                <w:sz w:val="20"/>
                <w:szCs w:val="20"/>
              </w:rPr>
              <w:t xml:space="preserve">Scope Decision: All 7 Agents in Phase 1</w:t>
            </w:r>
          </w:p>
          <w:p>
            <w:pPr>
              <w:spacing w:line="300"/>
            </w:pPr>
            <w:r>
              <w:rPr>
                <w:rFonts w:ascii="Arial" w:cs="Arial" w:eastAsia="Arial" w:hAnsi="Arial"/>
                <w:color w:val="2C2C2C"/>
                <w:sz w:val="20"/>
                <w:szCs w:val="20"/>
              </w:rPr>
              <w:t xml:space="preserve">Because this is CLI-first with no UI to build, all engineering bandwidth goes into the intelligence layer. Every finding type is the same pattern: one LangGraph state machine, same 6-node flow, same streaming output, same scratchpad logging. Adding an agent costs a few days, not weeks. All 7 ship in Phase 1. The system activates agents based on what data has been ingested — customers unlock more agents by adding more data sources.</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600"/>
      </w:tblGrid>
      <w:tr>
        <w:trPr>
          <w:tblHeader/>
        </w:trPr>
        <w:tc>
          <w:tcPr>
            <w:tcW w:type="dxa" w:w="2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Finding Type</w:t>
            </w:r>
          </w:p>
        </w:tc>
        <w:tc>
          <w:tcPr>
            <w:tcW w:type="dxa" w:w="34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Data Required</w:t>
            </w:r>
          </w:p>
        </w:tc>
        <w:tc>
          <w:tcPr>
            <w:tcW w:type="dxa" w:w="36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What It Detects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SaaS Spend Waste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subscriptions.csv + usage.csv (optional)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Zombie tools, unused seats, redundant overlapping tools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Duplicate Payments</w:t>
            </w:r>
          </w:p>
        </w:tc>
        <w:tc>
          <w:tcPr>
            <w:tcW w:type="dxa" w:w="3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transactions.csv or bank export</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Same vendor + amount + billing period, both payments cleared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Vendor Overbilling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invoices/ (PDF or CSV) + contracts/ (PDF)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Contracted amount vs billed amount deviation &gt; threshold</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Policy Violations</w:t>
            </w:r>
          </w:p>
        </w:tc>
        <w:tc>
          <w:tcPr>
            <w:tcW w:type="dxa" w:w="3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expense-reports.csv + audit.yaml policy rules</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Per diem breaches, missing receipts, prohibited categories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Reconciliation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invoices/ + transactions.csv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Invoice without payment, payment without invoice, orphaned docs</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Anomaly Detection</w:t>
            </w:r>
          </w:p>
        </w:tc>
        <w:tc>
          <w:tcPr>
            <w:tcW w:type="dxa" w:w="3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transactions.csv with 3+ months history</w:t>
            </w:r>
          </w:p>
        </w:tc>
        <w:tc>
          <w:tcPr>
            <w:tcW w:type="dxa" w:w="36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Category spend &gt; rolling average threshold, statistical outlier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Cash Flow Risk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transactions.csv + committed-expenses.csv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Projected runway below CFO-defined threshold at current burn rate</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6.2 Data-Driven Agent Activation</w:t>
      </w:r>
    </w:p>
    <w:p>
      <w:pPr>
        <w:spacing w:line="320"/>
      </w:pPr>
      <w:r>
        <w:rPr>
          <w:rFonts w:ascii="Arial" w:cs="Arial" w:eastAsia="Arial" w:hAnsi="Arial"/>
          <w:color w:val="2C2C2C"/>
          <w:sz w:val="22"/>
          <w:szCs w:val="22"/>
        </w:rPr>
        <w:t xml:space="preserve">Agents activate automatically based on what has been ingested. The CLI shows exactly which agents are ready and what data unlocks the rest. Customers naturally expand their data sources over time — each addition unlocks new agents without any configuration.</w:t>
      </w:r>
    </w:p>
    <w:p>
      <w:pPr>
        <w:spacing w:after="0" w:before="0"/>
      </w:pPr>
      <w:r>
        <w:t xml:space="preserve"/>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 status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Data Sources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subscriptions.csv       47 records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transactions.csv       847 records  (Jan–Jun 2025)</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invoices/               31 documents (PDF parsed)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contracts/              not ingested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expense-reports/        not ingested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committed-expenses.csv  not ingested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Active Agents                     Needs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saas-waste              ready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duplicate-payments      ready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reconciliation          ready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anomaly-detection       ready  (3+ months detected)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vendor-overbilling      needs: contracts/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policy-violations       needs: expense-reports/ + policy config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cashflow-risk           needs: committed-expenses.csv</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Run `audit investigate` to start with 4 active agents.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Add contracts/ to unlock vendor-overbilling.</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6.3 All Data Inputs</w:t>
      </w:r>
    </w:p>
    <w:p>
      <w:pPr>
        <w:pStyle w:val="ListParagraph"/>
        <w:numPr>
          <w:ilvl w:val="0"/>
          <w:numId w:val="2"/>
        </w:numPr>
        <w:spacing w:after="60" w:before="0"/>
      </w:pPr>
      <w:r>
        <w:rPr>
          <w:rFonts w:ascii="Arial" w:cs="Arial" w:eastAsia="Arial" w:hAnsi="Arial"/>
          <w:color w:val="2C2C2C"/>
          <w:sz w:val="22"/>
          <w:szCs w:val="22"/>
        </w:rPr>
        <w:t xml:space="preserve">subscriptions.csv — vendor, monthly amount, seat count, renewal date</w:t>
      </w:r>
    </w:p>
    <w:p>
      <w:pPr>
        <w:pStyle w:val="ListParagraph"/>
        <w:numPr>
          <w:ilvl w:val="0"/>
          <w:numId w:val="2"/>
        </w:numPr>
        <w:spacing w:after="60" w:before="0"/>
      </w:pPr>
      <w:r>
        <w:rPr>
          <w:rFonts w:ascii="Arial" w:cs="Arial" w:eastAsia="Arial" w:hAnsi="Arial"/>
          <w:color w:val="2C2C2C"/>
          <w:sz w:val="22"/>
          <w:szCs w:val="22"/>
        </w:rPr>
        <w:t xml:space="preserve">usage.csv — employee email, last login per tool (optional, from SSO/Google Workspace export)</w:t>
      </w:r>
    </w:p>
    <w:p>
      <w:pPr>
        <w:pStyle w:val="ListParagraph"/>
        <w:numPr>
          <w:ilvl w:val="0"/>
          <w:numId w:val="2"/>
        </w:numPr>
        <w:spacing w:after="60" w:before="0"/>
      </w:pPr>
      <w:r>
        <w:rPr>
          <w:rFonts w:ascii="Arial" w:cs="Arial" w:eastAsia="Arial" w:hAnsi="Arial"/>
          <w:color w:val="2C2C2C"/>
          <w:sz w:val="22"/>
          <w:szCs w:val="22"/>
        </w:rPr>
        <w:t xml:space="preserve">transactions.csv — date, vendor name, amount, reference number, cleared status</w:t>
      </w:r>
    </w:p>
    <w:p>
      <w:pPr>
        <w:pStyle w:val="ListParagraph"/>
        <w:numPr>
          <w:ilvl w:val="0"/>
          <w:numId w:val="2"/>
        </w:numPr>
        <w:spacing w:after="60" w:before="0"/>
      </w:pPr>
      <w:r>
        <w:rPr>
          <w:rFonts w:ascii="Arial" w:cs="Arial" w:eastAsia="Arial" w:hAnsi="Arial"/>
          <w:color w:val="2C2C2C"/>
          <w:sz w:val="22"/>
          <w:szCs w:val="22"/>
        </w:rPr>
        <w:t xml:space="preserve">invoices/ — PDF invoices or CSV export from accounting tool</w:t>
      </w:r>
    </w:p>
    <w:p>
      <w:pPr>
        <w:pStyle w:val="ListParagraph"/>
        <w:numPr>
          <w:ilvl w:val="0"/>
          <w:numId w:val="2"/>
        </w:numPr>
        <w:spacing w:after="60" w:before="0"/>
      </w:pPr>
      <w:r>
        <w:rPr>
          <w:rFonts w:ascii="Arial" w:cs="Arial" w:eastAsia="Arial" w:hAnsi="Arial"/>
          <w:color w:val="2C2C2C"/>
          <w:sz w:val="22"/>
          <w:szCs w:val="22"/>
        </w:rPr>
        <w:t xml:space="preserve">contracts/ — vendor contract PDFs (unlocks overbilling agent)</w:t>
      </w:r>
    </w:p>
    <w:p>
      <w:pPr>
        <w:pStyle w:val="ListParagraph"/>
        <w:numPr>
          <w:ilvl w:val="0"/>
          <w:numId w:val="2"/>
        </w:numPr>
        <w:spacing w:after="60" w:before="0"/>
      </w:pPr>
      <w:r>
        <w:rPr>
          <w:rFonts w:ascii="Arial" w:cs="Arial" w:eastAsia="Arial" w:hAnsi="Arial"/>
          <w:color w:val="2C2C2C"/>
          <w:sz w:val="22"/>
          <w:szCs w:val="22"/>
        </w:rPr>
        <w:t xml:space="preserve">expense-reports.csv — employee, date, category, amount, receipt flag</w:t>
      </w:r>
    </w:p>
    <w:p>
      <w:pPr>
        <w:pStyle w:val="ListParagraph"/>
        <w:numPr>
          <w:ilvl w:val="0"/>
          <w:numId w:val="2"/>
        </w:numPr>
        <w:spacing w:after="60" w:before="0"/>
      </w:pPr>
      <w:r>
        <w:rPr>
          <w:rFonts w:ascii="Arial" w:cs="Arial" w:eastAsia="Arial" w:hAnsi="Arial"/>
          <w:color w:val="2C2C2C"/>
          <w:sz w:val="22"/>
          <w:szCs w:val="22"/>
        </w:rPr>
        <w:t xml:space="preserve">committed-expenses.csv — upcoming known payments, contract renewals, payroll</w:t>
      </w:r>
    </w:p>
    <w:p>
      <w:pPr>
        <w:spacing w:line="320"/>
      </w:pPr>
      <w:r>
        <w:rPr>
          <w:rFonts w:ascii="Arial" w:cs="Arial" w:eastAsia="Arial" w:hAnsi="Arial"/>
          <w:color w:val="2C2C2C"/>
          <w:sz w:val="22"/>
          <w:szCs w:val="22"/>
        </w:rPr>
        <w:t xml:space="preserve">All inputs are file-based for Phase 1. Live connectors (Razorpay, QuickBooks, Zoho Books, bank feeds) are Phase 2. CSV/PDF is not glamorous but it unblocks all 7 agents without any integration work or security review.</w:t>
      </w:r>
    </w:p>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7. Data Flow Architecture</w:t>
      </w:r>
    </w:p>
    <w:p>
      <w:pPr>
        <w:pStyle w:val="Heading2"/>
        <w:spacing w:after="120" w:before="320"/>
      </w:pPr>
      <w:r>
        <w:rPr>
          <w:rFonts w:ascii="Arial" w:cs="Arial" w:eastAsia="Arial" w:hAnsi="Arial"/>
          <w:b/>
          <w:bCs/>
          <w:color w:val="0A0A0A"/>
          <w:sz w:val="28"/>
          <w:szCs w:val="28"/>
        </w:rPr>
        <w:t xml:space="preserve">7.1 Master Data Flow</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INGESTION LAYER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 ingest subscriptions.csv          audit ingest invoices/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 ingest transactions.csv           audit ingest contracts/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Document Intelligence Layer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csv-parse    │  pdf-parse + LLM extraction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Zod schemas  │  Structured field extraction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 guard   │  OCR fallback for scanned docs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Normalization Layer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Raw input → FinancialRecord (canonical schema)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{id, type, vendor_id, amount, currency, date,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period_start, period_end, reference, description,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status, source_doc_id, raw}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Vendor Resolution: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"Amazon Web Services India Pvt Ltd"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"AWS India" ──────────────────────→ VND-0042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Fuzzy match + canonical vendor registry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STORAGE LAYER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bun:sqlite (local, zero config)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Tables: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financial_records     canonical normalized events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vendors               resolved vendor registry + trust scores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documents             source file references + extracted text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findings              all generated findings + lifecycle state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feedback              human review actions + agent calibration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scratchpad_runs       per-run investigation audit log index</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.audit/scratchpad/&lt;timestamp&gt;.jsonl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{type:"init", query, timestamp}</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{type:"agent_step", agent, message, timestamp}</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{type:"evidence", key, value, source_doc_id}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{type:"comparison", expected, actual, delta}</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{type:"confidence_score", score, reasons}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{type:"finding", finding_id, summary}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INVESTIGATION TRIGGERING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Three trigger modes: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[1] Event-driven  — new data ingested → trigger relevant agents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[2] Scheduled     — daily full-scan (APScheduler / cron)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[3] Manual        — audit investigate (on-demand)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Trigger Router: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Event Type      → Agents Triggered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new_invoice     → duplicate_agent, overbilling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new_payment     → duplicate_agent, reconciliation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new_subscription→ saas_waste_agent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new_expense     → policy_agent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daily_tick      → anomaly_agent, cashflow_agent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LANGGRAPH INVESTIGATION LOOP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Supervisor (orchestrator)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Receives trigger 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Selects relevant sub-agents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Prevents duplicate investigation of same 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Merges related findings (dedup)</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Per-agent LangGraph state machine: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[retrieve_evidence]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[run_comparison]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[score_confidence]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confidence &lt; 0.70? ──── yes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[generate_finding]   ← OpenRouter (heavy reasoning)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[human_review_queue]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LLM routing: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Agent steps (classify, retrieve, compare, score)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Groq: llama-3.3-70b-versatile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Low latency, fast loop iterations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Finding generation (structured memo, recommendations)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OpenRouter: claude-sonnet-4-6 or gpt-4o</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Higher quality, more expensive, less frequent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FINDING GENERATION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Investigation result + risk score → Finding Builder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Populate finding template (type-specific)</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Attach evidence chain (source doc references)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Calculate financial impact (point + range)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Generate recommended actions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Assign confidence % + explanation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Assign severity (Critical/High/Warning/Info)</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Write to DB → alert if Critical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HUMAN FEEDBACK LOOP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 feedback FINDING-003 --resolve / --dismiss / --escalate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Resolve  → finding closed, resolution note stored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Dismiss  → finding closed, reason stored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agent recalibrates if pattern dismissed 3×</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Escalate → routed to senior finance via email/Slack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Feedback feeds back into:</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confidence_calibration per agent per vendor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threshold_tuning for this workspace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vendor_trust_score (repeated flags = elevated scrutiny)</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8. Investigation Engine (LangGraph)</w:t>
      </w:r>
    </w:p>
    <w:p>
      <w:pPr>
        <w:pStyle w:val="Heading2"/>
        <w:spacing w:after="120" w:before="320"/>
      </w:pPr>
      <w:r>
        <w:rPr>
          <w:rFonts w:ascii="Arial" w:cs="Arial" w:eastAsia="Arial" w:hAnsi="Arial"/>
          <w:b/>
          <w:bCs/>
          <w:color w:val="0A0A0A"/>
          <w:sz w:val="28"/>
          <w:szCs w:val="28"/>
        </w:rPr>
        <w:t xml:space="preserve">8.1 State Shape</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shared/types.ts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interface InvestigationState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trigger:      FinancialEvent       // what kicked off this investigation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agentType:    AgentType            // which agent is running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evidence:     Evidence[]           // collected facts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comparisons:  Comparison[]         // expected vs actual pairs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confidence:   number               // 0.0 – 1.0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iterations:   number               // loop guard (max 5)</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finding?:     Finding              // populated if confidence &gt;= 0.70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events:       AuditEvent[]         // streamed to Ink UI</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type AuditEvent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"agent_start";    agent: string; description: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"step";           agent: string; message: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"evidence_found"; key: string; value: string; sourceDocId: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"comparison";     label: string; expected: string; actual: string; delta?: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"confidence";     score: number; reason: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"finding";        finding: Finding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"llm_token";      token: string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type: "done";           totalFindings: number; durationMs: number }</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8.2 LLM Routing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Provider</w:t>
            </w:r>
          </w:p>
        </w:tc>
        <w:tc>
          <w:tcPr>
            <w:tcW w:type="dxa" w:w="60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20"/>
                <w:szCs w:val="20"/>
              </w:rPr>
              <w:t xml:space="preserve">Groq — Fast Steps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classify_event, retrieve_evidence, run_comparison, score_confidence
Model: llama-3.3-70b-versatile
Latency: &lt;500ms per step
Use case: tight investigation loop, many iterations</w:t>
            </w:r>
          </w:p>
        </w:tc>
      </w:tr>
      <w:tr>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b/>
                <w:bCs/>
                <w:color w:val="2C2C2C"/>
                <w:sz w:val="20"/>
                <w:szCs w:val="20"/>
              </w:rPr>
              <w:t xml:space="preserve">OpenRouter — Reasoning</w:t>
            </w:r>
          </w:p>
        </w:tc>
        <w:tc>
          <w:tcPr>
            <w:tcW w:type="dxa" w:w="6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generate_finding (structured memo + recommendations)
Model: claude-sonnet-4-6 via openrouter.ai
Latency: 2–5s acceptable (runs once per finding)
Use case: high-quality finding language, evidence synthesis</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8.3 SaaS Waste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new subscription record OR daily_tick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 (Groq)</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Identify: vendor, amount/seat, renewal_date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"Loading 47 subscriptions..."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 (deterministic, no LLM)</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subscriptions from SQLite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usage.csv if available (SSO login activity)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Map seats → employee directory → active/inactive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"evidence_found", key: "Figma seats", value: "14 paid, 9 unused"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 (deterministic)</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Total seats: N  |  Active (login &lt;90d): M  |  Unused: N-M</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Cost per seat: amount / 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Waste/month: (N-M) × cost_per_seat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"Figma", expected: "14 active", actual: "5 active", delta: "₹11,571/mo waste"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 (Groq)</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Usage data available?    +30pts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Zero activity (&gt;90 days)? +25pts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Renewal within 30 days?  +15pts (urgency)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 contract data?         -5pts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confidence = total / 100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"confidence", score: 0.88, reason: "Usage data confirmed, 9/14 seats zero activity"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If &lt; 0.70: gather more evidence (up to 5 iterations)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If &gt;= 0.70: proceed to finding generation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 (OpenRouter — claude-sonnet-4-6)</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Prompt: structured finding template + all evidence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Stream tokens to Ink UI via { type: "llm_token", token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Parse: title, summary, evidence_chain, impact, confidence, actions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Write finding to SQLite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"finding", finding: { id: "FINDING-001", ... } }</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8.4 Duplicate Payment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new invoice ingested OR daily_tick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Extract: vendor_id, amount, date, invoice_number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Query: same vendor_id AND amount within ±0.5% AND date within ±7 days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both document records in full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evidence for each candidate match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Amount delta (exact = 1.0, ≤0.5% = 0.9, &gt;2% = 0.2)</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Date delta   (same day = 1.0, ≤3d = 0.9, ≤7d = 0.7)</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Invoice nums (same = 0.0 — NOT duplicate, diff = 0.8)</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Line items   (semantic similarity via Groq embeddings)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Period check (do both reference same billing period?)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Bank status  (both cleared = 1.0, one pending = 0.6)</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Weighted average of above signals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weights: [amount:0.30, date:0.20, line_items:0.25, period:0.15, status:0.10]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loop or proceed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Comparison table: INV-A vs INV-B line by line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Impact: amount of smaller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Action: contact vendor with both invoice numbers</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8.5 Vendor Overbilling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new invoice ingested AND vendor has contract on file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Extract vendor_id from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Check: does contracts/ contain a document for this vendor?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If no contract: generate Contract Gap finding instead (separate type)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"Contract found for vendor X"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LLM extraction from contract PDF (OpenRouter — one-time per contract)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Extract: base_price, billing_frequency, escalation_clause (%/year allowed)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volume_discounts, payment_terms, scope_of_services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Store as ContractTerms in SQLite (cached, not re-extracted every run)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invoice: total_amount, line_items, billing_period, adjustments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evidence: contracted rate, billed rate, period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 (line by line)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invoice line item: map to contract line item (fuzzy match)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expected_amount = contract_rate × (1 + escalation) ^ years_elapsed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billed_amount   = invoice line item amount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deviation       = (billed - expected) / expected × 100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Flag: any line item not mentioned in contract ("unbundled charge")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Flag: billing period mismatch (quarterly billed as monthly)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"Base fee", expected: "₹40,000", actual: "₹48,000", delta: "+₹8,000 (+20%)"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Contract clearly covers this period:          +30pts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Deviation &gt; configured threshold (default 5%): +25pts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Line items clearly matched to contract:       +20pts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 amendment file found:                      +15pts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Same deviation seen in prior invoices:        +10pts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ambiguous contract language           -10pts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active escalation clause covers gap   -20pts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loop or proceed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Comparison table: contracted vs billed, line by line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Impact: deviation amount × months if recurring pattern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Action: contact vendor, reference contract clause, request corrected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hold payment pending resolution</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8.6 Policy Violations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new expense report ingested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policy rules from audit.yaml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Extract: submitter, date, line items (category, amount, receipt_flag)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Determine employee tier if configured (executive vs staff limits differ)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all line items from this expense report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line: category, amount, has_receipt, submission_date, expense_date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Check: is submitter in employee directory? Is tier mapped?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"Reviewing 14 expense line items"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 (rule engine — no LLM needed)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 1: Amount within per-category limit?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e.g. meals ≤ ₹2,000/person, travel ≤ ₹8,000/night hotel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 2: Receipt present if amount &gt; receipt_threshold?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e.g. any expense &gt; ₹500 requires receipt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 3: Category allowed? (personal expenses, alcohol in some configs)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 4: Submission within allowed window?</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e.g. must submit within 30 days of expense date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 5: Pre-approval present if amount &gt; pre_approval_threshold?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Collect: all_violations[] with rule_violated, line_item, amount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"Client dinner", expected: "≤ ₹5,000", actual: "₹12,400", delta: "+₹7,400 over limit"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Rule-based violations are deterministic — confidence always ≥ 0.90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only if: category is ambiguous, amount is borderline (within 5%)</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Pattern: same employee, same violation type, 3rd occurrence → Critical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always proceeds (rule-based, near-certain)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One finding per expense report (not per line item)</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List all violations with rule citations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Total non-compliant amount in this report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Action: return to employee for documentation, block reimbursement until resolved</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8.7 Reconciliation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daily_tick OR new invoice/payment ingested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all invoices from last reconciliation window (default: 30 days)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all payments from same window</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"Reconciling 203 invoices vs 198 payments"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 (matching pass)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invoice: attempt to find matching payment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Match criteria: same vendor_id, amount within ±1%, date within ±14 days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payment: attempt to find matching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Build: matched_pairs[], unmatched_invoices[], unmatched_payments[]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evidence for each unmatched document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Unmatched invoice (payment not found):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Check: is payment pending? Is vendor on payment hold?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Age bucket: &lt;7d (normal), 7–30d (warning), &gt;30d (critical)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Unmatched payment (invoice not found):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Check: is this a recurring auto-charge without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Suspicious: payment to new vendor with no prior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Partial match (amount differs):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Delta = payment_amount - invoice_amount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Possible short payment or overpayment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"INV-2025-0441", expected: "payment found", actual: "no matching payment after 45 days"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Unmatched + aged &gt;30 days: +35pts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Amount confirmed on both sides: +25pts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Vendor has prior reconciled history: -10pts (less suspicious)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New vendor, first transaction: +20pts (elevated risk)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loop or proceed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 A: "Invoice without payment" — action: confirm payment status with AP</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 B: "Payment without invoice" — action: request invoice from vendor,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flag for AP review before next payment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Type C: "Amount mismatch" — action: determine if short pay was intentional</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8.8 Anomaly Detection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daily_tick (requires 3+ months of transaction history)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all transactions grouped by category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Categories: SaaS, Infrastructure, Marketing, Travel, Office, Contractors, etc.</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Confirm: at least 90 days of history available per category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"Building baselines for 12 spend categories"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 (baseline construction)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category: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Rolling 90-day average spend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Rolling 90-day standard deviation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Month-over-month trend (is this category growing?)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Seasonality check (is this month historically higher?)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Current period: sum of transactions in current month so far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"evidence_found", key: "Marketing baseline", value: "₹2.1L ± ₹18K/month (90d)"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 (statistical)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For each category: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z_score = (current_spend - rolling_avg) / rolling_stddev</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If z_score &gt; 2.0: anomaly candidate (2 standard deviations)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If z_score &gt; 3.0: strong anomaly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Adjust for trend: if category growing 10%/month, expected current is baseline × 1.10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Adjust for seasonality: if last 3 Decembers were 2× baseline, current Dec is expected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After adjustments: recompute adjusted_z_score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"Marketing", expected: "₹2.1L ± ₹18K", actual: "₹4.7L", delta: "+₹2.6L (+124%)"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adjusted_z_score 2.0–2.5: 65% confidence (Warning)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adjusted_z_score 2.5–3.0: 78% confidence (High)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adjusted_z_score &gt; 3.0:   90% confidence (Critical)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high variance category (σ &gt; 30% of mean) — less reliable baseline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fewer than 60 days of history — baseline not reliable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loop (gather more historical context) or proceed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Show: category, baseline, current, deviation, z-score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Drill down: which vendors in this category drove the spike?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Action: review top vendors in category, confirm all charges are authorized</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8.9 Cash Flow Risk Agent — Step by Step</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Trigger: daily_tick</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1: classify_event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current bank balance (from transactions.csv — last settlement)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committed-expenses.csv (upcoming known 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current monthly burn rate from transaction history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Load: CFO runway target from audit.yaml (e.g. min_runway_months: 8)</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"step", message: "Projecting cash flow for next 6 months"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2: retrieve_evidence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Current balance: last bank statement closing balance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Committed outflows: contract renewals, payroll, known vendor payments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Variable burn: rolling 90-day average of non-committed spend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Incoming: confirmed AR if available (optional input)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"evidence_found", key: "Current balance", value: "₹1.24Cr"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"evidence_found", key: "Monthly burn (90d avg)", value: "₹18.4L"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"evidence_found", key: "Committed next 90 days", value: "₹62L"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3: run_comparison (projection)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Month-by-month balance projection: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month_0_balance = current_balance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month_N_balance = month_(N-1)_balance - committed[N] - variable_burn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Runway = months until balance &lt; min_operating_reserve (default: 1 month burn)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Target runway = CFO-configured threshold (e.g. 8 months)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Alert if: projected_runway &lt; target_runway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Alert if: any single month balance goes negative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Emit: { type: "comparison", label: "Projected runway", expected: "≥ 8 months", actual: "5.2 months at current trajectory"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4: score_confidence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Balance data fresh (&lt; 3 days old): +25pts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Committed expenses fully loaded:   +25pts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90+ days of burn history:          +20pts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AR data available:                 +15pts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balance data &gt;7 days old   -20pts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Deduct: &lt;60 days of history        -15pts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5: confidence check  → loop or proceed</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Step 6: generate_finding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Month-by-month projection table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Identify: which committed expense is the biggest contributor?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Identify: which spending category has grown fastest?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Action: review top 3 spend categories, evaluate deferrable commitments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Alert: send Slack/email if severity is Critical (runway &lt; 3 months)</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9. Technical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8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4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Bun 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Built-in SQLite, fast TS execution, bun:sqlite</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Language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TypeScript 5.0+</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Type-safe agents, Zod schema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CLI UI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Ink 5 + React 18</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React components in terminal — smooth streaming</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Spinners/UI</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ink-spinner, ink-table</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Live spinners, findings table display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Agent Graph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LangGraph.js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State machine for investigation loop</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LLM (fast)</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Groq SDK</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llama-3.3-70b for agent steps &lt;500ms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 (quality)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OpenRouter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claude-sonnet-4-6 for finding generation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Storage</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bun:sqlite</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Zero config, local-first, no migrations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csv-parse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Battle-tested CSV ingestion</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PDF</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pdf-parse</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PDF text extraction for invoices/contracts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Zod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Safe parse of all external data</w:t>
            </w:r>
          </w:p>
        </w:tc>
      </w:tr>
      <w:tr>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Config</w:t>
            </w:r>
          </w:p>
        </w:tc>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audit.yaml + .env</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YAML for thresholds, .env for secrets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Logs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.audit/scratchpad/*.jsonl</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JSONL per-run audit trail (Dexter pattern)</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10. Project Structure</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ai-spend-auditor/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src/</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cli/                       Ink + React terminal UI</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App.tsx                Root component, command router</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components/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 InvestigationStream.tsx  Live streaming view</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 FindingCard.tsx          Single finding display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 FindingsTable.tsx        audit findings list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 EvidenceChain.tsx        audit explain output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 StatusBar.tsx            Agent health + data unlock status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commands/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init.ts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ingest.ts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investigate.ts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findings.ts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explain.ts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feedback.ts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status.ts           shows active agents + data unlock prompts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report.ts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agents/                    LangGraph investigation agents (all 7)</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supervisor.ts          Orchestrator, trigger routing, agent activation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saas-waste.ts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duplicate-payments.ts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vendor-overbilling.ts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policy-violations.ts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reconciliation.ts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anomaly-detection.ts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cashflow-risk.ts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nodes/                 Shared LangGraph node functions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classify.ts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retrieve-evidence.ts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run-comparison.ts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score-confidence.ts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generate-finding.ts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engine/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events.ts              AuditEvent type definitions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scratchpad.ts          JSONL logging (Dexter pattern)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risk-scorer.ts         3-factor risk scoring</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finding-builder.ts     Structured finding generation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baseline.ts            Rolling averages for anomaly detection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activation.ts          Data-driven agent unlock logic</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ingest/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csv-parser.ts          CSV ingestion + Zod validation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pdf-extractor.ts       PDF text extraction (invoices + contracts)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contract-parser.ts     LLM extraction of ContractTerms from PDF</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normalizer.ts          Vendor resolution, canonical schema</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db/</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index.ts               bun:sqlite connection + migrations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queries.ts             Typed query functions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 schema.ts              Table definitions, indexes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model/</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groq.ts                Groq client — fast agent steps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openrouter.ts          OpenRouter client — finding generation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scratchpad/                Per-run JSONL audit logs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audit.yaml                     Workspace config (thresholds, policy rules)</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.env                           API keys (GROQ_API_KEY, OPENROUTER_API_KEY)</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package.json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tsconfig.json</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11. Trust &amp; Explainability</w:t>
      </w:r>
    </w:p>
    <w:p>
      <w:pPr>
        <w:pStyle w:val="Heading2"/>
        <w:spacing w:after="120" w:before="320"/>
      </w:pPr>
      <w:r>
        <w:rPr>
          <w:rFonts w:ascii="Arial" w:cs="Arial" w:eastAsia="Arial" w:hAnsi="Arial"/>
          <w:b/>
          <w:bCs/>
          <w:color w:val="0A0A0A"/>
          <w:sz w:val="28"/>
          <w:szCs w:val="28"/>
        </w:rPr>
        <w:t xml:space="preserve">11.1 Why This Makes or Breaks the Product</w:t>
      </w:r>
    </w:p>
    <w:p>
      <w:pPr>
        <w:spacing w:line="320"/>
      </w:pPr>
      <w:r>
        <w:rPr>
          <w:rFonts w:ascii="Arial" w:cs="Arial" w:eastAsia="Arial" w:hAnsi="Arial"/>
          <w:color w:val="2C2C2C"/>
          <w:sz w:val="22"/>
          <w:szCs w:val="22"/>
        </w:rPr>
        <w:t xml:space="preserve">Finance teams have zero tolerance for noise. One false positive that causes an embarrassing vendor call and the finance lead stops reading findings. One false positive that holds a legitimate payment and the product gets cancelled. Trust is not a feature — it is the product.</w:t>
      </w:r>
    </w:p>
    <w:p>
      <w:pPr>
        <w:spacing w:after="0" w:before="0"/>
      </w:pPr>
      <w:r>
        <w:t xml:space="preserve"/>
      </w:r>
    </w:p>
    <w:p>
      <w:pPr>
        <w:pStyle w:val="Heading2"/>
        <w:spacing w:after="120" w:before="320"/>
      </w:pPr>
      <w:r>
        <w:rPr>
          <w:rFonts w:ascii="Arial" w:cs="Arial" w:eastAsia="Arial" w:hAnsi="Arial"/>
          <w:b/>
          <w:bCs/>
          <w:color w:val="0A0A0A"/>
          <w:sz w:val="28"/>
          <w:szCs w:val="28"/>
        </w:rPr>
        <w:t xml:space="preserve">11.2 Confidence Display</w:t>
      </w:r>
    </w:p>
    <w:p>
      <w:pPr>
        <w:spacing w:line="320"/>
      </w:pPr>
      <w:r>
        <w:rPr>
          <w:rFonts w:ascii="Arial" w:cs="Arial" w:eastAsia="Arial" w:hAnsi="Arial"/>
          <w:color w:val="2C2C2C"/>
          <w:sz w:val="22"/>
          <w:szCs w:val="22"/>
        </w:rPr>
        <w:t xml:space="preserve">Every finding shows confidence as both a number and an explanation. Never just a percentage.</w:t>
      </w:r>
    </w:p>
    <w:tbl>
      <w:tblPr>
        <w:tblW w:type="dxa" w:w="9200"/>
        <w:tblBorders>
          <w:top w:val="single" w:color="1B6CA8" w:sz="4"/>
          <w:left w:val="single" w:color="1B6CA8" w:sz="8"/>
          <w:bottom w:val="single" w:color="CCCCCC" w:sz="1"/>
          <w:right w:val="single" w:color="CCCCCC" w:sz="1"/>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Confidence: 87% — High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Why this is high:</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Exact amount match (₹48,320 = ₹48,320)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Both payments cleared bank account</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Both reference "October 2024" in description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3-day gap consistent with reprocessing error pattern</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Why not 100%:</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Invoice numbers differ (possible separate legitimate invoice)</w:t>
            </w:r>
          </w:p>
        </w:tc>
      </w:tr>
      <w:tr>
        <w:tc>
          <w:tcPr>
            <w:tcW w:type="dxa" w:w="9200"/>
            <w:tcBorders>
              <w:top w:val="none" w:color="FFFFFF" w:sz="0"/>
              <w:left w:val="none" w:color="FFFFFF" w:sz="0"/>
              <w:bottom w:val="none" w:color="FFFFFF" w:sz="0"/>
              <w:right w:val="none" w:color="FFFFFF" w:sz="0"/>
            </w:tcBorders>
            <w:shd w:fill="F4F4F4" w:val="clear"/>
            <w:tcMar>
              <w:top w:type="dxa" w:w="0"/>
              <w:left w:type="dxa" w:w="240"/>
              <w:bottom w:type="dxa" w:w="0"/>
              <w:right w:type="dxa" w:w="240"/>
            </w:tcMar>
          </w:tcPr>
          <w:p>
            <w:pPr>
              <w:spacing w:line="280"/>
            </w:pPr>
            <w:r>
              <w:rPr>
                <w:rFonts w:ascii="Courier New" w:cs="Courier New" w:eastAsia="Courier New" w:hAnsi="Courier New"/>
                <w:color w:val="1A1A2E"/>
                <w:sz w:val="18"/>
                <w:szCs w:val="18"/>
              </w:rPr>
              <w:t xml:space="preserve">  ✗ No contract retrieved to confirm expected monthly amount</w:t>
            </w:r>
          </w:p>
        </w:tc>
      </w:tr>
    </w:tbl>
    <w:p>
      <w:pPr>
        <w:spacing w:after="0" w:before="0"/>
      </w:pPr>
      <w:r>
        <w:t xml:space="preserve"/>
      </w:r>
    </w:p>
    <w:p>
      <w:pPr>
        <w:pStyle w:val="Heading2"/>
        <w:spacing w:after="120" w:before="320"/>
      </w:pPr>
      <w:r>
        <w:rPr>
          <w:rFonts w:ascii="Arial" w:cs="Arial" w:eastAsia="Arial" w:hAnsi="Arial"/>
          <w:b/>
          <w:bCs/>
          <w:color w:val="0A0A0A"/>
          <w:sz w:val="28"/>
          <w:szCs w:val="28"/>
        </w:rPr>
        <w:t xml:space="preserve">11.3 False Positive Handling</w:t>
      </w:r>
    </w:p>
    <w:p>
      <w:pPr>
        <w:spacing w:line="320"/>
      </w:pPr>
      <w:r>
        <w:rPr>
          <w:rFonts w:ascii="Arial" w:cs="Arial" w:eastAsia="Arial" w:hAnsi="Arial"/>
          <w:color w:val="2C2C2C"/>
          <w:sz w:val="22"/>
          <w:szCs w:val="22"/>
        </w:rPr>
        <w:t xml:space="preserve">Dismissal is not a dead end — it is a learning signal. The dismiss feedback form captures structured reasons. If a finding type is dismissed 3 or more times at the same company with the same reason, the agent automatically recalibrates its confidence threshold for that workspace.</w:t>
      </w:r>
    </w:p>
    <w:p>
      <w:pPr>
        <w:spacing w:after="0" w:before="0"/>
      </w:pPr>
      <w:r>
        <w:t xml:space="preserve"/>
      </w:r>
    </w:p>
    <w:p>
      <w:pPr>
        <w:pStyle w:val="Heading2"/>
        <w:spacing w:after="120" w:before="320"/>
      </w:pPr>
      <w:r>
        <w:rPr>
          <w:rFonts w:ascii="Arial" w:cs="Arial" w:eastAsia="Arial" w:hAnsi="Arial"/>
          <w:b/>
          <w:bCs/>
          <w:color w:val="0A0A0A"/>
          <w:sz w:val="28"/>
          <w:szCs w:val="28"/>
        </w:rPr>
        <w:t xml:space="preserve">11.4 Immutable Audit Trail</w:t>
      </w:r>
    </w:p>
    <w:p>
      <w:pPr>
        <w:spacing w:line="320"/>
      </w:pPr>
      <w:r>
        <w:rPr>
          <w:rFonts w:ascii="Arial" w:cs="Arial" w:eastAsia="Arial" w:hAnsi="Arial"/>
          <w:color w:val="2C2C2C"/>
          <w:sz w:val="22"/>
          <w:szCs w:val="22"/>
        </w:rPr>
        <w:t xml:space="preserve">Every finding has a complete, append-only event log stored in SQLite. This is the artifact that justifies the product to external auditors: "show me everything the system flagged last quarter and how it was resolved." This log is also viewable via audit explain FINDING-ID --trace.</w:t>
      </w:r>
    </w:p>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12. Roadmap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200"/>
      </w:tblGrid>
      <w:tr>
        <w:trPr>
          <w:tblHeader/>
        </w:trPr>
        <w:tc>
          <w:tcPr>
            <w:tcW w:type="dxa" w:w="18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5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Scope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0
Weeks 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Research Prototype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SaaS waste agent only. CSV input, no storage, terminal print. Goal: one confirmed true positive from real customer data. Validate the detection logic before building anything else.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1
Weeks 5–16</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CLI MVP — All 7 Agents</w:t>
            </w:r>
          </w:p>
        </w:tc>
        <w:tc>
          <w:tcPr>
            <w:tcW w:type="dxa" w:w="5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All 7 finding types. Data-driven agent activation. SQLite persistence. Full finding lifecycle (open → resolved/dismissed). Scratchpad audit logs. Weekly digest email. Feedback loop + confidence calibration. Target: 5–10 paying customers.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Months 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Live Connectors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Razorpay, QuickBooks, Zoho Books, RazorpayX integrations. Bank feed via Setu/Finbox. Removes CSV dependency for core data sources. Background daemon mode (audit watch). Slack integration for Critical findings.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3
Months 7–12</w:t>
            </w:r>
          </w:p>
        </w:tc>
        <w:tc>
          <w:tcPr>
            <w:tcW w:type="dxa" w:w="2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Team + Web UI</w:t>
            </w:r>
          </w:p>
        </w:tc>
        <w:tc>
          <w:tcPr>
            <w:tcW w:type="dxa" w:w="5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Multi-user web interface. Finding comments, escalation, assignments. QuickBooks/Zoho live sync. Anomaly baselines mature with real customer history. First enterprise pilots.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
Year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Enterprise Controls</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SSO, RBAC, data residency. ERP integrations (SAP, Oracle, Workday). Custom policy builder. SOC 2 Type II. Audit committee PDF reports. Regulatory compliance layer.</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13. Success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200"/>
      </w:tblGrid>
      <w:tr>
        <w:trPr>
          <w:tblHeader/>
        </w:trPr>
        <w:tc>
          <w:tcPr>
            <w:tcW w:type="dxa" w:w="18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4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True positive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&gt;75% on both finding types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1 metric</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Time to first finding</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&lt;60 seconds from CSV 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Paying customers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5–10 by end of Week 12</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1 metric</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Confirmed recovery</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≥1 per customer in first 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False positive rate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&lt;15% across all finding types</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2 metric</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Customer count</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25–50 paying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NRR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&gt;100% (expansion &gt; churn)</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Phase 3 metric</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MAU without prompting</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Finance lead opens app weekly unprompted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3 metric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Finding resolution time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&lt;48 hours average</w:t>
            </w:r>
          </w:p>
        </w:tc>
      </w:tr>
      <w:tr>
        <w:tc>
          <w:tcPr>
            <w:tcW w:type="dxa" w:w="1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North star</w:t>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Recovered spend / subscription cost</w:t>
            </w:r>
          </w:p>
        </w:tc>
        <w:tc>
          <w:tcPr>
            <w:tcW w:type="dxa" w:w="4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&gt;3× annually per customer</w:t>
            </w:r>
          </w:p>
        </w:tc>
      </w:tr>
    </w:tbl>
    <w:p>
      <w:pPr>
        <w:spacing w:after="0" w:before="0"/>
      </w:pPr>
      <w:r>
        <w:t xml:space="preserve"/>
      </w:r>
    </w:p>
    <w:p>
      <w:pPr>
        <w:pStyle w:val="Heading1"/>
        <w:pBdr>
          <w:bottom w:val="single" w:color="0F4C75" w:sz="4" w:space="6"/>
        </w:pBdr>
        <w:spacing w:after="160" w:before="480"/>
      </w:pPr>
      <w:r>
        <w:rPr>
          <w:rFonts w:ascii="Arial" w:cs="Arial" w:eastAsia="Arial" w:hAnsi="Arial"/>
          <w:b/>
          <w:bCs/>
          <w:color w:val="0F4C75"/>
          <w:sz w:val="36"/>
          <w:szCs w:val="36"/>
        </w:rPr>
        <w:t xml:space="preserve">14. Risk Register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200"/>
      </w:tblGrid>
      <w:tr>
        <w:trPr>
          <w:tblHeader/>
        </w:trPr>
        <w:tc>
          <w:tcPr>
            <w:tcW w:type="dxa" w:w="28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5200"/>
            <w:tcBorders>
              <w:top w:val="single" w:color="0F4C75" w:sz="1"/>
              <w:left w:val="single" w:color="0F4C75" w:sz="1"/>
              <w:bottom w:val="single" w:color="0F4C75" w:sz="1"/>
              <w:right w:val="single" w:color="0F4C75" w:sz="1"/>
            </w:tcBorders>
            <w:shd w:fill="0F4C75"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False positive fatigue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Critical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Confidence floor at 70%. Feedback loop auto-tunes thresholds. Never surface findings the system is unsure about.</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Data ingestion friction</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5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Forgiving CSV parsers with clear error messages. Accept messy real-world data. Never fail silently.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No baseline for 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High</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Set expectation explicitly at onboarding. Detect improving confidence over first month. Show trend.</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Incumbent feature addition</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5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Go deeper on investigation chain than any platform player. Finding quality + explainability is the moat.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LLM cost at scale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Groq for fast steps (cheap). OpenRouter for findings (expensive but infrequent). Cap tokens per investigation.</w:t>
            </w:r>
          </w:p>
        </w:tc>
      </w:tr>
      <w:tr>
        <w:tc>
          <w:tcPr>
            <w:tcW w:type="dxa" w:w="28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PDF contract quality</w:t>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Medium</w:t>
            </w:r>
          </w:p>
        </w:tc>
        <w:tc>
          <w:tcPr>
            <w:tcW w:type="dxa" w:w="5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color w:val="2C2C2C"/>
                <w:sz w:val="20"/>
                <w:szCs w:val="20"/>
              </w:rPr>
              <w:t xml:space="preserve">Contracts are messy. Add human-review flag on low-confidence extractions. Do not auto-act on unverified data.</w:t>
            </w:r>
          </w:p>
        </w:tc>
      </w:tr>
    </w:tbl>
    <w:p>
      <w:pPr>
        <w:spacing w:after="0" w:before="0"/>
      </w:pPr>
      <w:r>
        <w:t xml:space="preserve"/>
      </w:r>
    </w:p>
    <w:p>
      <w:pPr>
        <w:pBdr>
          <w:bottom w:val="single" w:color="BBBBBB" w:sz="2" w:space="4"/>
        </w:pBdr>
        <w:spacing w:after="120" w:before="120"/>
      </w:pPr>
      <w:r>
        <w:t xml:space="preserve"/>
      </w:r>
    </w:p>
    <w:p>
      <w:pPr>
        <w:spacing w:after="0" w:before="120"/>
        <w:jc w:val="center"/>
      </w:pPr>
      <w:r>
        <w:rPr>
          <w:rFonts w:ascii="Arial" w:cs="Arial" w:eastAsia="Arial" w:hAnsi="Arial"/>
          <w:color w:val="888888"/>
          <w:sz w:val="18"/>
          <w:szCs w:val="18"/>
        </w:rPr>
        <w:t xml:space="preserve">AI Spend Auditor PRD v1.1  ·  CLI-First MVP — All 7 Agents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4"/>
      </w:pBdr>
      <w:tabs>
        <w:tab w:val="right" w:pos="9026"/>
      </w:tabs>
    </w:pPr>
    <w:r>
      <w:rPr>
        <w:rFonts w:ascii="Arial" w:cs="Arial" w:eastAsia="Arial" w:hAnsi="Arial"/>
        <w:color w:val="888888"/>
        <w:sz w:val="18"/>
        <w:szCs w:val="18"/>
      </w:rPr>
      <w:t xml:space="preserve">yashmaheshwari.is-a.dev</w:t>
    </w:r>
    <w:r>
      <w:rPr>
        <w:sz w:val="18"/>
        <w:szCs w:val="18"/>
      </w:rPr>
      <w:tab/>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2" w:space="4"/>
      </w:pBdr>
      <w:tabs>
        <w:tab w:val="right" w:pos="9026"/>
      </w:tabs>
    </w:pPr>
    <w:r>
      <w:rPr>
        <w:rFonts w:ascii="Arial" w:cs="Arial" w:eastAsia="Arial" w:hAnsi="Arial"/>
        <w:color w:val="888888"/>
        <w:sz w:val="18"/>
        <w:szCs w:val="18"/>
      </w:rPr>
      <w:t xml:space="preserve">AI Spend Auditor  ·  PRD v1.1</w:t>
    </w:r>
    <w:r>
      <w:rPr>
        <w:sz w:val="18"/>
        <w:szCs w:val="18"/>
      </w:rPr>
      <w:tab/>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4C75"/>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A0A0A"/>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2026-06-24T04:51:16.025Z</dcterms:created>
  <dcterms:modified xsi:type="dcterms:W3CDTF">2026-06-24T04:51:16.038Z</dcterms:modified>
</cp:coreProperties>
</file>

<file path=docProps/custom.xml><?xml version="1.0" encoding="utf-8"?>
<Properties xmlns="http://schemas.openxmlformats.org/officeDocument/2006/custom-properties" xmlns:vt="http://schemas.openxmlformats.org/officeDocument/2006/docPropsVTypes"/>
</file>