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89019" w14:textId="77777777" w:rsidR="00AA5478" w:rsidRDefault="00AA5478" w:rsidP="00C66EF0">
      <w:pPr>
        <w:pStyle w:val="Title"/>
      </w:pPr>
      <w:r>
        <w:t>Introduction</w:t>
      </w:r>
    </w:p>
    <w:p w14:paraId="6CCCBD16" w14:textId="77777777" w:rsidR="007E2909" w:rsidRDefault="00397F67" w:rsidP="00397F67">
      <w:pPr>
        <w:spacing w:after="0"/>
      </w:pPr>
      <w:r>
        <w:t xml:space="preserve">The APEXA API </w:t>
      </w:r>
      <w:r w:rsidR="00632BB8">
        <w:t>is an outbound web service that allows our clients to pull advisor,</w:t>
      </w:r>
      <w:r w:rsidR="00C86123">
        <w:t xml:space="preserve"> shareholder,</w:t>
      </w:r>
      <w:r w:rsidR="00632BB8">
        <w:t xml:space="preserve"> corporate and contract information from APEXA b</w:t>
      </w:r>
      <w:r w:rsidR="00AA5478">
        <w:t>ack into their own environment.</w:t>
      </w:r>
      <w:r w:rsidR="007E2909">
        <w:t xml:space="preserve"> </w:t>
      </w:r>
    </w:p>
    <w:p w14:paraId="057EE311" w14:textId="77777777" w:rsidR="00C66EF0" w:rsidRDefault="00C66EF0" w:rsidP="00397F67">
      <w:pPr>
        <w:spacing w:after="0"/>
      </w:pPr>
    </w:p>
    <w:p w14:paraId="6FD9B035" w14:textId="77777777" w:rsidR="00C66EF0" w:rsidRDefault="00561343" w:rsidP="00C66EF0">
      <w:pPr>
        <w:pStyle w:val="Title"/>
      </w:pPr>
      <w:r>
        <w:t>Connecting to the API &amp; Testing</w:t>
      </w:r>
    </w:p>
    <w:p w14:paraId="0D49C177" w14:textId="77777777" w:rsidR="00561343" w:rsidRDefault="00561343" w:rsidP="00561343">
      <w:pPr>
        <w:pStyle w:val="Heading1"/>
      </w:pPr>
      <w:r>
        <w:t>API Credentials</w:t>
      </w:r>
    </w:p>
    <w:p w14:paraId="618FAE65" w14:textId="77777777" w:rsidR="00561343" w:rsidRDefault="00561343" w:rsidP="00561343">
      <w:r>
        <w:t xml:space="preserve">The APEXA platform uses a special CITS Feed account to allow your organization to access the API. The administrator of APEXA for your organization will need to create an account within the test (UAT) and production environments. </w:t>
      </w:r>
    </w:p>
    <w:p w14:paraId="6022536C" w14:textId="77777777" w:rsidR="00561343" w:rsidRDefault="00561343" w:rsidP="00561343">
      <w:r>
        <w:t>In order to set up this account, you’ll need an accessible inbox. This address should be provided to your APEXA administrator. They will set up an account with the role type “CITS Feed” and an email will be sent to the inbox you’ve provided. Proceed with the set-up instructions – the username (email) and password will become the credentials you need to access the API in the respective environment.</w:t>
      </w:r>
    </w:p>
    <w:p w14:paraId="1FE7444E" w14:textId="77777777" w:rsidR="00561343" w:rsidRDefault="00561343" w:rsidP="00561343">
      <w:pPr>
        <w:pStyle w:val="Heading1"/>
      </w:pPr>
      <w:r>
        <w:t>Testing the API</w:t>
      </w:r>
    </w:p>
    <w:p w14:paraId="063437A9" w14:textId="77777777" w:rsidR="00561343" w:rsidRPr="00561343" w:rsidRDefault="00561343" w:rsidP="00561343">
      <w:r>
        <w:t xml:space="preserve">As mentioned, the API is available in the testing (UAT) environment. However, this cannot be made available to your organization until the UAT environment is deployed for your team. This happens the week after training. At that point, the instructions above should be executed. </w:t>
      </w:r>
    </w:p>
    <w:p w14:paraId="1C480146" w14:textId="77777777" w:rsidR="00C66EF0" w:rsidRDefault="00C66EF0" w:rsidP="00C66EF0">
      <w:pPr>
        <w:pStyle w:val="Title"/>
      </w:pPr>
      <w:r>
        <w:t>Working with the API</w:t>
      </w:r>
    </w:p>
    <w:p w14:paraId="11659AB9" w14:textId="77777777" w:rsidR="00AA5478" w:rsidRPr="00AA5478" w:rsidRDefault="00AA5478" w:rsidP="00AA5478">
      <w:pPr>
        <w:pStyle w:val="Heading1"/>
      </w:pPr>
      <w:r>
        <w:t>Step One – Determining the Records That Have Changed</w:t>
      </w:r>
    </w:p>
    <w:p w14:paraId="01ED58D8" w14:textId="4169CB3D" w:rsidR="002B60A8" w:rsidRDefault="00632BB8" w:rsidP="00397F67">
      <w:pPr>
        <w:spacing w:after="0"/>
      </w:pPr>
      <w:r>
        <w:t xml:space="preserve">The </w:t>
      </w:r>
      <w:r w:rsidR="002B60A8">
        <w:t xml:space="preserve">first call you’ll make is a “Changed Producer Listing Request.” This method allows you to pass a Start </w:t>
      </w:r>
      <w:r w:rsidR="00AA5478">
        <w:t>Date/Time and an End Date/Time</w:t>
      </w:r>
      <w:r w:rsidR="00947B01">
        <w:t>. Note the Date range should be exactly 1 day</w:t>
      </w:r>
      <w:r w:rsidR="00AA5478">
        <w:t xml:space="preserve"> (Sample Request - Figure 1)</w:t>
      </w:r>
    </w:p>
    <w:p w14:paraId="0975FB56" w14:textId="77777777" w:rsidR="002B60A8" w:rsidRDefault="002B60A8" w:rsidP="00397F67">
      <w:pPr>
        <w:spacing w:after="0"/>
      </w:pPr>
    </w:p>
    <w:p w14:paraId="0E37D3CF" w14:textId="4E998642" w:rsidR="00AA5478" w:rsidRDefault="00947B01" w:rsidP="00AA5478">
      <w:pPr>
        <w:keepNext/>
        <w:spacing w:after="0"/>
      </w:pPr>
      <w:r>
        <w:rPr>
          <w:noProof/>
        </w:rPr>
        <w:lastRenderedPageBreak/>
        <mc:AlternateContent>
          <mc:Choice Requires="wps">
            <w:drawing>
              <wp:anchor distT="45720" distB="45720" distL="114300" distR="114300" simplePos="0" relativeHeight="251659264" behindDoc="0" locked="0" layoutInCell="1" allowOverlap="1" wp14:anchorId="72C0679E" wp14:editId="59E4A48D">
                <wp:simplePos x="0" y="0"/>
                <wp:positionH relativeFrom="column">
                  <wp:posOffset>2694622</wp:posOffset>
                </wp:positionH>
                <wp:positionV relativeFrom="paragraph">
                  <wp:posOffset>1870075</wp:posOffset>
                </wp:positionV>
                <wp:extent cx="152400" cy="1714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71450"/>
                        </a:xfrm>
                        <a:custGeom>
                          <a:avLst/>
                          <a:gdLst>
                            <a:gd name="connsiteX0" fmla="*/ 0 w 347345"/>
                            <a:gd name="connsiteY0" fmla="*/ 0 h 241935"/>
                            <a:gd name="connsiteX1" fmla="*/ 347345 w 347345"/>
                            <a:gd name="connsiteY1" fmla="*/ 0 h 241935"/>
                            <a:gd name="connsiteX2" fmla="*/ 347345 w 347345"/>
                            <a:gd name="connsiteY2" fmla="*/ 241935 h 241935"/>
                            <a:gd name="connsiteX3" fmla="*/ 0 w 347345"/>
                            <a:gd name="connsiteY3" fmla="*/ 241935 h 241935"/>
                            <a:gd name="connsiteX4" fmla="*/ 0 w 347345"/>
                            <a:gd name="connsiteY4" fmla="*/ 0 h 241935"/>
                            <a:gd name="connsiteX0" fmla="*/ 0 w 347345"/>
                            <a:gd name="connsiteY0" fmla="*/ 0 h 241935"/>
                            <a:gd name="connsiteX1" fmla="*/ 228283 w 347345"/>
                            <a:gd name="connsiteY1" fmla="*/ 47625 h 241935"/>
                            <a:gd name="connsiteX2" fmla="*/ 347345 w 347345"/>
                            <a:gd name="connsiteY2" fmla="*/ 241935 h 241935"/>
                            <a:gd name="connsiteX3" fmla="*/ 0 w 347345"/>
                            <a:gd name="connsiteY3" fmla="*/ 241935 h 241935"/>
                            <a:gd name="connsiteX4" fmla="*/ 0 w 347345"/>
                            <a:gd name="connsiteY4" fmla="*/ 0 h 241935"/>
                            <a:gd name="connsiteX0" fmla="*/ 71438 w 347345"/>
                            <a:gd name="connsiteY0" fmla="*/ 4762 h 194310"/>
                            <a:gd name="connsiteX1" fmla="*/ 228283 w 347345"/>
                            <a:gd name="connsiteY1" fmla="*/ 0 h 194310"/>
                            <a:gd name="connsiteX2" fmla="*/ 347345 w 347345"/>
                            <a:gd name="connsiteY2" fmla="*/ 194310 h 194310"/>
                            <a:gd name="connsiteX3" fmla="*/ 0 w 347345"/>
                            <a:gd name="connsiteY3" fmla="*/ 194310 h 194310"/>
                            <a:gd name="connsiteX4" fmla="*/ 71438 w 347345"/>
                            <a:gd name="connsiteY4" fmla="*/ 4762 h 194310"/>
                            <a:gd name="connsiteX0" fmla="*/ 71438 w 290195"/>
                            <a:gd name="connsiteY0" fmla="*/ 4762 h 246697"/>
                            <a:gd name="connsiteX1" fmla="*/ 228283 w 290195"/>
                            <a:gd name="connsiteY1" fmla="*/ 0 h 246697"/>
                            <a:gd name="connsiteX2" fmla="*/ 290195 w 290195"/>
                            <a:gd name="connsiteY2" fmla="*/ 246697 h 246697"/>
                            <a:gd name="connsiteX3" fmla="*/ 0 w 290195"/>
                            <a:gd name="connsiteY3" fmla="*/ 194310 h 246697"/>
                            <a:gd name="connsiteX4" fmla="*/ 71438 w 290195"/>
                            <a:gd name="connsiteY4" fmla="*/ 4762 h 246697"/>
                            <a:gd name="connsiteX0" fmla="*/ 38101 w 256858"/>
                            <a:gd name="connsiteY0" fmla="*/ 4762 h 246697"/>
                            <a:gd name="connsiteX1" fmla="*/ 194946 w 256858"/>
                            <a:gd name="connsiteY1" fmla="*/ 0 h 246697"/>
                            <a:gd name="connsiteX2" fmla="*/ 256858 w 256858"/>
                            <a:gd name="connsiteY2" fmla="*/ 246697 h 246697"/>
                            <a:gd name="connsiteX3" fmla="*/ 0 w 256858"/>
                            <a:gd name="connsiteY3" fmla="*/ 194310 h 246697"/>
                            <a:gd name="connsiteX4" fmla="*/ 38101 w 256858"/>
                            <a:gd name="connsiteY4" fmla="*/ 4762 h 246697"/>
                            <a:gd name="connsiteX0" fmla="*/ 38101 w 256858"/>
                            <a:gd name="connsiteY0" fmla="*/ 0 h 241935"/>
                            <a:gd name="connsiteX1" fmla="*/ 256858 w 256858"/>
                            <a:gd name="connsiteY1" fmla="*/ 42924 h 241935"/>
                            <a:gd name="connsiteX2" fmla="*/ 256858 w 256858"/>
                            <a:gd name="connsiteY2" fmla="*/ 241935 h 241935"/>
                            <a:gd name="connsiteX3" fmla="*/ 0 w 256858"/>
                            <a:gd name="connsiteY3" fmla="*/ 189548 h 241935"/>
                            <a:gd name="connsiteX4" fmla="*/ 38101 w 256858"/>
                            <a:gd name="connsiteY4" fmla="*/ 0 h 241935"/>
                            <a:gd name="connsiteX0" fmla="*/ 38101 w 285468"/>
                            <a:gd name="connsiteY0" fmla="*/ 0 h 241935"/>
                            <a:gd name="connsiteX1" fmla="*/ 285468 w 285468"/>
                            <a:gd name="connsiteY1" fmla="*/ 9586 h 241935"/>
                            <a:gd name="connsiteX2" fmla="*/ 256858 w 285468"/>
                            <a:gd name="connsiteY2" fmla="*/ 241935 h 241935"/>
                            <a:gd name="connsiteX3" fmla="*/ 0 w 285468"/>
                            <a:gd name="connsiteY3" fmla="*/ 189548 h 241935"/>
                            <a:gd name="connsiteX4" fmla="*/ 38101 w 285468"/>
                            <a:gd name="connsiteY4" fmla="*/ 0 h 241935"/>
                            <a:gd name="connsiteX0" fmla="*/ 38101 w 356994"/>
                            <a:gd name="connsiteY0" fmla="*/ 0 h 241935"/>
                            <a:gd name="connsiteX1" fmla="*/ 356994 w 356994"/>
                            <a:gd name="connsiteY1" fmla="*/ 0 h 241935"/>
                            <a:gd name="connsiteX2" fmla="*/ 256858 w 356994"/>
                            <a:gd name="connsiteY2" fmla="*/ 241935 h 241935"/>
                            <a:gd name="connsiteX3" fmla="*/ 0 w 356994"/>
                            <a:gd name="connsiteY3" fmla="*/ 189548 h 241935"/>
                            <a:gd name="connsiteX4" fmla="*/ 38101 w 356994"/>
                            <a:gd name="connsiteY4" fmla="*/ 0 h 24193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6994" h="241935">
                              <a:moveTo>
                                <a:pt x="38101" y="0"/>
                              </a:moveTo>
                              <a:lnTo>
                                <a:pt x="356994" y="0"/>
                              </a:lnTo>
                              <a:lnTo>
                                <a:pt x="256858" y="241935"/>
                              </a:lnTo>
                              <a:lnTo>
                                <a:pt x="0" y="189548"/>
                              </a:lnTo>
                              <a:lnTo>
                                <a:pt x="38101" y="0"/>
                              </a:lnTo>
                              <a:close/>
                            </a:path>
                          </a:pathLst>
                        </a:custGeom>
                        <a:solidFill>
                          <a:srgbClr val="FFFFFF"/>
                        </a:solidFill>
                        <a:ln w="9525">
                          <a:noFill/>
                          <a:miter lim="800000"/>
                          <a:headEnd/>
                          <a:tailEnd/>
                        </a:ln>
                      </wps:spPr>
                      <wps:txbx>
                        <w:txbxContent>
                          <w:p w14:paraId="1B73EC0C" w14:textId="021C3FEF" w:rsidR="00947B01" w:rsidRDefault="00947B01">
                            <w:r>
                              <w:t>20</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C0679E" id="Text Box 2" o:spid="_x0000_s1026" style="position:absolute;margin-left:212.15pt;margin-top:147.25pt;width:12pt;height:1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coordsize="356994,241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" adj="-11796480,,5400" path="m38101,l356994,,256858,241935,,189548,38101,xe" stroked="f">
                <v:stroke joinstyle="miter"/>
                <v:formulas/>
                <v:path arrowok="t" o:connecttype="custom" o:connectlocs="16265,0;152400,0;109652,171450;0,134325;16265,0" o:connectangles="0,0,0,0,0" textboxrect="0,0,356994,241935"/>
                <v:textbox inset="0,0,0,0">
                  <w:txbxContent>
                    <w:p w14:paraId="1B73EC0C" w14:textId="021C3FEF" w:rsidR="00947B01" w:rsidRDefault="00947B01">
                      <w:r>
                        <w:t>20</w:t>
                      </w:r>
                    </w:p>
                  </w:txbxContent>
                </v:textbox>
              </v:shape>
            </w:pict>
          </mc:Fallback>
        </mc:AlternateContent>
      </w:r>
      <w:r w:rsidR="002B60A8">
        <w:rPr>
          <w:noProof/>
        </w:rPr>
        <w:drawing>
          <wp:inline distT="0" distB="0" distL="0" distR="0" wp14:anchorId="670FEDFB" wp14:editId="6929B064">
            <wp:extent cx="9464985" cy="2418830"/>
            <wp:effectExtent l="0" t="0" r="317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9758129" cy="2493745"/>
                    </a:xfrm>
                    <a:prstGeom prst="rect">
                      <a:avLst/>
                    </a:prstGeom>
                  </pic:spPr>
                </pic:pic>
              </a:graphicData>
            </a:graphic>
          </wp:inline>
        </w:drawing>
      </w:r>
    </w:p>
    <w:p w14:paraId="0EC57433" w14:textId="77777777" w:rsidR="002B60A8" w:rsidRDefault="00AA5478" w:rsidP="00AA5478">
      <w:pPr>
        <w:pStyle w:val="Caption"/>
      </w:pPr>
      <w:r>
        <w:t xml:space="preserve">Figure </w:t>
      </w:r>
      <w:fldSimple w:instr=" SEQ Figure \* ARABIC ">
        <w:r w:rsidR="00E63314">
          <w:rPr>
            <w:noProof/>
          </w:rPr>
          <w:t>1</w:t>
        </w:r>
      </w:fldSimple>
    </w:p>
    <w:p w14:paraId="4807821C" w14:textId="77777777" w:rsidR="002B60A8" w:rsidRDefault="002B60A8" w:rsidP="00397F67">
      <w:pPr>
        <w:spacing w:after="0"/>
      </w:pPr>
    </w:p>
    <w:p w14:paraId="6317497E" w14:textId="77777777" w:rsidR="00AA5478" w:rsidRDefault="002B60A8" w:rsidP="00397F67">
      <w:pPr>
        <w:spacing w:after="0"/>
      </w:pPr>
      <w:r>
        <w:t>The response will contain each “party” (advisor, shareholder or corporation) that has had a change to their profile wit</w:t>
      </w:r>
      <w:r w:rsidR="00AA5478">
        <w:t>hin the time frame passed through in the first call (Sample Response – Figure 2).</w:t>
      </w:r>
    </w:p>
    <w:p w14:paraId="0F6B5CB7" w14:textId="77777777" w:rsidR="00AA5478" w:rsidRDefault="00AA5478" w:rsidP="00397F67">
      <w:pPr>
        <w:spacing w:after="0"/>
      </w:pPr>
    </w:p>
    <w:p w14:paraId="24D08836" w14:textId="77777777" w:rsidR="00AA5478" w:rsidRDefault="00AA5478" w:rsidP="00AA5478">
      <w:pPr>
        <w:pStyle w:val="Heading1"/>
      </w:pPr>
      <w:r>
        <w:t>Step Two – Pulling back Advisor, Shareholder and/or Corporate Records</w:t>
      </w:r>
    </w:p>
    <w:p w14:paraId="6F064E24" w14:textId="77777777" w:rsidR="00AA5478" w:rsidRDefault="00AA5478" w:rsidP="00397F67">
      <w:pPr>
        <w:spacing w:after="0"/>
      </w:pPr>
      <w:r>
        <w:t>Once you’ve received the list of records that have changed (the response to the “Changed Producer Listing” request), you will take those IDs and pass them back to APEXA to get the full files for these advisors, shareholders or corporations.</w:t>
      </w:r>
    </w:p>
    <w:p w14:paraId="5FF0A2B4" w14:textId="77777777" w:rsidR="00AA5478" w:rsidRDefault="00AA5478" w:rsidP="00397F67">
      <w:pPr>
        <w:spacing w:after="0"/>
      </w:pPr>
    </w:p>
    <w:p w14:paraId="2D9EB553" w14:textId="77777777" w:rsidR="00AA5478" w:rsidRDefault="00AA5478" w:rsidP="00397F67">
      <w:pPr>
        <w:spacing w:after="0"/>
      </w:pPr>
      <w:r>
        <w:t xml:space="preserve">The easiest request to use for this is the “Multiple Producers Request by ID” request (Sample Request – Figure 3). </w:t>
      </w:r>
      <w:r w:rsidR="001D7C61">
        <w:t xml:space="preserve">This request allows you to pass all of the IDs, regardless of the type of ID (advisor, shareholder or corporation) and receive the full record for that ID in return. </w:t>
      </w:r>
    </w:p>
    <w:p w14:paraId="3C9EF424" w14:textId="77777777" w:rsidR="001D7C61" w:rsidRDefault="001D7C61" w:rsidP="00397F67">
      <w:pPr>
        <w:spacing w:after="0"/>
      </w:pPr>
    </w:p>
    <w:p w14:paraId="3908CB64" w14:textId="77777777" w:rsidR="001D7C61" w:rsidRDefault="001D7C61" w:rsidP="00397F67">
      <w:pPr>
        <w:spacing w:after="0"/>
        <w:rPr>
          <w:rStyle w:val="IntenseEmphasis"/>
        </w:rPr>
      </w:pPr>
      <w:r w:rsidRPr="001D7C61">
        <w:rPr>
          <w:rStyle w:val="IntenseEmphasis"/>
        </w:rPr>
        <w:t xml:space="preserve">Note: We do provide specific requests that narrow down the results – see Appendix A for a list of those requests and what types of responses they will provide. </w:t>
      </w:r>
    </w:p>
    <w:p w14:paraId="216F8BA7" w14:textId="77777777" w:rsidR="00561343" w:rsidRDefault="00561343" w:rsidP="00397F67">
      <w:pPr>
        <w:spacing w:after="0"/>
        <w:rPr>
          <w:rStyle w:val="IntenseEmphasis"/>
        </w:rPr>
      </w:pPr>
    </w:p>
    <w:p w14:paraId="4F4D54B7" w14:textId="77777777" w:rsidR="00561343" w:rsidRDefault="00561343" w:rsidP="00561343">
      <w:r>
        <w:t>The response for “Multiple Producers by ID” will provide the full information (see the API documentation spreadsheet for all available fields) for the advisor, shareholder or corporation. (Sample Response – Figure 4 includes the response for one of the IDs passed).</w:t>
      </w:r>
    </w:p>
    <w:p w14:paraId="64B7E285" w14:textId="77777777" w:rsidR="00561343" w:rsidRPr="001D7C61" w:rsidRDefault="00561343" w:rsidP="00397F67">
      <w:pPr>
        <w:spacing w:after="0"/>
        <w:rPr>
          <w:rStyle w:val="IntenseEmphasis"/>
        </w:rPr>
      </w:pPr>
    </w:p>
    <w:p w14:paraId="7D79F3AF" w14:textId="77777777" w:rsidR="00AA5478" w:rsidRDefault="002B60A8" w:rsidP="00AA5478">
      <w:pPr>
        <w:keepNext/>
        <w:spacing w:after="0"/>
      </w:pPr>
      <w:r>
        <w:rPr>
          <w:noProof/>
        </w:rPr>
        <w:lastRenderedPageBreak/>
        <w:drawing>
          <wp:inline distT="0" distB="0" distL="0" distR="0" wp14:anchorId="7F60CFFB" wp14:editId="4017C05A">
            <wp:extent cx="8959670" cy="729026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998790" cy="7322093"/>
                    </a:xfrm>
                    <a:prstGeom prst="rect">
                      <a:avLst/>
                    </a:prstGeom>
                  </pic:spPr>
                </pic:pic>
              </a:graphicData>
            </a:graphic>
          </wp:inline>
        </w:drawing>
      </w:r>
    </w:p>
    <w:p w14:paraId="4A868BF1" w14:textId="77777777" w:rsidR="00AA5478" w:rsidRDefault="00AA5478" w:rsidP="00AA5478">
      <w:pPr>
        <w:pStyle w:val="Caption"/>
      </w:pPr>
      <w:r>
        <w:t xml:space="preserve">Figure </w:t>
      </w:r>
      <w:fldSimple w:instr=" SEQ Figure \* ARABIC ">
        <w:r w:rsidR="00E63314">
          <w:rPr>
            <w:noProof/>
          </w:rPr>
          <w:t>2</w:t>
        </w:r>
      </w:fldSimple>
    </w:p>
    <w:p w14:paraId="26B370B2" w14:textId="77777777" w:rsidR="001D7C61" w:rsidRDefault="001D7C61">
      <w:r>
        <w:br w:type="page"/>
      </w:r>
    </w:p>
    <w:p w14:paraId="4CF735D4" w14:textId="77777777" w:rsidR="001D7C61" w:rsidRDefault="001D7C61" w:rsidP="001D7C61">
      <w:pPr>
        <w:keepNext/>
        <w:spacing w:after="0"/>
      </w:pPr>
      <w:r>
        <w:rPr>
          <w:noProof/>
        </w:rPr>
        <w:lastRenderedPageBreak/>
        <w:drawing>
          <wp:inline distT="0" distB="0" distL="0" distR="0" wp14:anchorId="6A3B1363" wp14:editId="77639CDF">
            <wp:extent cx="6497493" cy="79635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44574" cy="8021298"/>
                    </a:xfrm>
                    <a:prstGeom prst="rect">
                      <a:avLst/>
                    </a:prstGeom>
                  </pic:spPr>
                </pic:pic>
              </a:graphicData>
            </a:graphic>
          </wp:inline>
        </w:drawing>
      </w:r>
    </w:p>
    <w:p w14:paraId="42D8E5B3" w14:textId="77777777" w:rsidR="001D7C61" w:rsidRDefault="001D7C61" w:rsidP="001D7C61">
      <w:pPr>
        <w:pStyle w:val="Caption"/>
      </w:pPr>
      <w:r>
        <w:t xml:space="preserve">Figure </w:t>
      </w:r>
      <w:fldSimple w:instr=" SEQ Figure \* ARABIC ">
        <w:r w:rsidR="00E63314">
          <w:rPr>
            <w:noProof/>
          </w:rPr>
          <w:t>3</w:t>
        </w:r>
      </w:fldSimple>
    </w:p>
    <w:p w14:paraId="15F0DC25" w14:textId="77777777" w:rsidR="001D7C61" w:rsidRDefault="001D7C61" w:rsidP="001D7C61">
      <w:pPr>
        <w:keepNext/>
      </w:pPr>
      <w:r>
        <w:rPr>
          <w:noProof/>
        </w:rPr>
        <w:lastRenderedPageBreak/>
        <w:drawing>
          <wp:inline distT="0" distB="0" distL="0" distR="0" wp14:anchorId="43860408" wp14:editId="07558BD7">
            <wp:extent cx="8509010" cy="3865418"/>
            <wp:effectExtent l="0" t="0" r="635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531132" cy="3875467"/>
                    </a:xfrm>
                    <a:prstGeom prst="rect">
                      <a:avLst/>
                    </a:prstGeom>
                  </pic:spPr>
                </pic:pic>
              </a:graphicData>
            </a:graphic>
          </wp:inline>
        </w:drawing>
      </w:r>
    </w:p>
    <w:p w14:paraId="543A424B" w14:textId="77777777" w:rsidR="001D7C61" w:rsidRDefault="001D7C61" w:rsidP="001D7C61">
      <w:pPr>
        <w:pStyle w:val="Caption"/>
      </w:pPr>
      <w:r>
        <w:t xml:space="preserve">Figure </w:t>
      </w:r>
      <w:fldSimple w:instr=" SEQ Figure \* ARABIC ">
        <w:r w:rsidR="00E63314">
          <w:rPr>
            <w:noProof/>
          </w:rPr>
          <w:t>4</w:t>
        </w:r>
      </w:fldSimple>
    </w:p>
    <w:p w14:paraId="5A0E22B1" w14:textId="77777777" w:rsidR="001D7C61" w:rsidRDefault="001D7C61" w:rsidP="007E2909">
      <w:pPr>
        <w:pStyle w:val="Heading1"/>
      </w:pPr>
      <w:r>
        <w:t>Step Three – Applying Business Rules and Logic to Response</w:t>
      </w:r>
    </w:p>
    <w:p w14:paraId="6B55CC45" w14:textId="77777777" w:rsidR="001D7C61" w:rsidRDefault="001D7C61" w:rsidP="001D7C61">
      <w:r>
        <w:t xml:space="preserve">As mentioned above, the response for “Multiple Producers by ID” will provide </w:t>
      </w:r>
      <w:r>
        <w:rPr>
          <w:b/>
        </w:rPr>
        <w:t xml:space="preserve">everything </w:t>
      </w:r>
      <w:r>
        <w:t>available for that advisor, corporation or shareholder and not just the items that have changed.</w:t>
      </w:r>
    </w:p>
    <w:p w14:paraId="558A6974" w14:textId="77777777" w:rsidR="001D7C61" w:rsidRDefault="001D7C61" w:rsidP="001D7C61">
      <w:r>
        <w:t>Your organization may choose to over-write the full file in your backoffice with the information contained in the response, regardless of the change.</w:t>
      </w:r>
    </w:p>
    <w:p w14:paraId="39FC60AE" w14:textId="77777777" w:rsidR="001D7C61" w:rsidRDefault="001D7C61" w:rsidP="001D7C61">
      <w:r>
        <w:t xml:space="preserve">You may choose to store off the last response for each </w:t>
      </w:r>
      <w:r w:rsidR="007E2909">
        <w:t>record and compare to determine if the change is material to your business.</w:t>
      </w:r>
    </w:p>
    <w:p w14:paraId="2215CF60" w14:textId="77777777" w:rsidR="007E2909" w:rsidRDefault="007E2909" w:rsidP="001D7C61">
      <w:r>
        <w:t>You may only care about one piece of information (licence information, for example) and so if there is licence information included, you will choose to write that back to your back office and if not, you will ignore the record.</w:t>
      </w:r>
    </w:p>
    <w:p w14:paraId="39C15963" w14:textId="77777777" w:rsidR="007E2909" w:rsidRDefault="007E2909" w:rsidP="001D7C61">
      <w:r>
        <w:t>How you proceed with the response to the second request is up to your organization.</w:t>
      </w:r>
    </w:p>
    <w:p w14:paraId="498EF7B1" w14:textId="77777777" w:rsidR="007E2909" w:rsidRDefault="007E2909" w:rsidP="001D7C61">
      <w:pPr>
        <w:rPr>
          <w:rStyle w:val="IntenseEmphasis"/>
        </w:rPr>
      </w:pPr>
      <w:r w:rsidRPr="007E2909">
        <w:rPr>
          <w:rStyle w:val="IntenseEmphasis"/>
        </w:rPr>
        <w:t xml:space="preserve">Note: The pdf documents available in APEXA are provided in the response as a hyperlink to the document location in APEXA. </w:t>
      </w:r>
      <w:r>
        <w:rPr>
          <w:rStyle w:val="IntenseEmphasis"/>
        </w:rPr>
        <w:t>If you wish to download the document</w:t>
      </w:r>
      <w:r w:rsidR="00E63314">
        <w:rPr>
          <w:rStyle w:val="IntenseEmphasis"/>
        </w:rPr>
        <w:t xml:space="preserve"> this is done through a separate call. </w:t>
      </w:r>
      <w:r w:rsidR="00561343">
        <w:rPr>
          <w:rStyle w:val="IntenseEmphasis"/>
        </w:rPr>
        <w:t>See Appendix B for more information.</w:t>
      </w:r>
    </w:p>
    <w:p w14:paraId="0CC11B25" w14:textId="77777777" w:rsidR="00561343" w:rsidRDefault="00561343">
      <w:pPr>
        <w:rPr>
          <w:rStyle w:val="IntenseEmphasis"/>
          <w:i w:val="0"/>
        </w:rPr>
      </w:pPr>
      <w:r>
        <w:rPr>
          <w:rStyle w:val="IntenseEmphasis"/>
          <w:i w:val="0"/>
        </w:rPr>
        <w:br w:type="page"/>
      </w:r>
    </w:p>
    <w:p w14:paraId="673B05BF" w14:textId="77777777" w:rsidR="00C66EF0" w:rsidRDefault="00561343" w:rsidP="00E63314">
      <w:pPr>
        <w:pStyle w:val="Title"/>
        <w:rPr>
          <w:rStyle w:val="IntenseEmphasis"/>
          <w:i w:val="0"/>
          <w:iCs w:val="0"/>
          <w:color w:val="auto"/>
        </w:rPr>
      </w:pPr>
      <w:r w:rsidRPr="00E63314">
        <w:rPr>
          <w:rStyle w:val="IntenseEmphasis"/>
          <w:i w:val="0"/>
          <w:iCs w:val="0"/>
          <w:color w:val="auto"/>
        </w:rPr>
        <w:lastRenderedPageBreak/>
        <w:t>Appendix A</w:t>
      </w:r>
      <w:r w:rsidR="00E63314">
        <w:rPr>
          <w:rStyle w:val="IntenseEmphasis"/>
          <w:i w:val="0"/>
          <w:iCs w:val="0"/>
          <w:color w:val="auto"/>
        </w:rPr>
        <w:t xml:space="preserve"> – Request Types</w:t>
      </w:r>
    </w:p>
    <w:p w14:paraId="5E587023" w14:textId="77777777" w:rsidR="00E63314" w:rsidRPr="00E63314" w:rsidRDefault="00E63314" w:rsidP="00E63314"/>
    <w:tbl>
      <w:tblPr>
        <w:tblStyle w:val="TableGrid"/>
        <w:tblW w:w="0" w:type="auto"/>
        <w:tblLook w:val="04A0" w:firstRow="1" w:lastRow="0" w:firstColumn="1" w:lastColumn="0" w:noHBand="0" w:noVBand="1"/>
      </w:tblPr>
      <w:tblGrid>
        <w:gridCol w:w="4675"/>
        <w:gridCol w:w="4675"/>
      </w:tblGrid>
      <w:tr w:rsidR="00561343" w14:paraId="12888557" w14:textId="77777777" w:rsidTr="00561343">
        <w:tc>
          <w:tcPr>
            <w:tcW w:w="4675" w:type="dxa"/>
          </w:tcPr>
          <w:p w14:paraId="01D2E34F" w14:textId="77777777" w:rsidR="00561343" w:rsidRDefault="00561343" w:rsidP="001D7C61">
            <w:pPr>
              <w:rPr>
                <w:rStyle w:val="IntenseEmphasis"/>
                <w:i w:val="0"/>
              </w:rPr>
            </w:pPr>
            <w:r>
              <w:rPr>
                <w:rStyle w:val="IntenseEmphasis"/>
                <w:i w:val="0"/>
              </w:rPr>
              <w:t>Request</w:t>
            </w:r>
          </w:p>
        </w:tc>
        <w:tc>
          <w:tcPr>
            <w:tcW w:w="4675" w:type="dxa"/>
          </w:tcPr>
          <w:p w14:paraId="1266F317" w14:textId="77777777" w:rsidR="00561343" w:rsidRDefault="00561343" w:rsidP="001D7C61">
            <w:pPr>
              <w:rPr>
                <w:rStyle w:val="IntenseEmphasis"/>
                <w:i w:val="0"/>
              </w:rPr>
            </w:pPr>
            <w:r>
              <w:rPr>
                <w:rStyle w:val="IntenseEmphasis"/>
                <w:i w:val="0"/>
              </w:rPr>
              <w:t>Record Type</w:t>
            </w:r>
          </w:p>
        </w:tc>
      </w:tr>
      <w:tr w:rsidR="00561343" w14:paraId="6C58327F" w14:textId="77777777" w:rsidTr="00561343">
        <w:tc>
          <w:tcPr>
            <w:tcW w:w="4675" w:type="dxa"/>
          </w:tcPr>
          <w:p w14:paraId="1A7005C4" w14:textId="77777777" w:rsidR="00561343" w:rsidRPr="00E63314" w:rsidRDefault="00561343" w:rsidP="00E63314">
            <w:pPr>
              <w:rPr>
                <w:rStyle w:val="IntenseEmphasis"/>
                <w:i w:val="0"/>
                <w:color w:val="000000" w:themeColor="text1"/>
              </w:rPr>
            </w:pPr>
            <w:r w:rsidRPr="00E63314">
              <w:rPr>
                <w:rStyle w:val="IntenseEmphasis"/>
                <w:i w:val="0"/>
                <w:color w:val="000000" w:themeColor="text1"/>
              </w:rPr>
              <w:t>Advisor with Appointments</w:t>
            </w:r>
          </w:p>
        </w:tc>
        <w:tc>
          <w:tcPr>
            <w:tcW w:w="4675" w:type="dxa"/>
          </w:tcPr>
          <w:p w14:paraId="5699FBA8" w14:textId="77777777" w:rsidR="00561343" w:rsidRPr="00E63314" w:rsidRDefault="00561343" w:rsidP="00E63314">
            <w:pPr>
              <w:rPr>
                <w:rStyle w:val="IntenseEmphasis"/>
                <w:i w:val="0"/>
                <w:color w:val="000000" w:themeColor="text1"/>
              </w:rPr>
            </w:pPr>
            <w:r w:rsidRPr="00E63314">
              <w:rPr>
                <w:rStyle w:val="IntenseEmphasis"/>
                <w:i w:val="0"/>
                <w:color w:val="000000" w:themeColor="text1"/>
              </w:rPr>
              <w:t>Advisors with contracts (in any state)</w:t>
            </w:r>
          </w:p>
        </w:tc>
      </w:tr>
      <w:tr w:rsidR="00561343" w14:paraId="246247B4" w14:textId="77777777" w:rsidTr="00561343">
        <w:tc>
          <w:tcPr>
            <w:tcW w:w="4675" w:type="dxa"/>
          </w:tcPr>
          <w:p w14:paraId="0E962382" w14:textId="77777777" w:rsidR="00561343" w:rsidRPr="00E63314" w:rsidRDefault="00561343" w:rsidP="00E63314">
            <w:pPr>
              <w:rPr>
                <w:rStyle w:val="IntenseEmphasis"/>
                <w:i w:val="0"/>
                <w:color w:val="000000" w:themeColor="text1"/>
              </w:rPr>
            </w:pPr>
            <w:r w:rsidRPr="00E63314">
              <w:rPr>
                <w:rStyle w:val="IntenseEmphasis"/>
                <w:i w:val="0"/>
                <w:color w:val="000000" w:themeColor="text1"/>
              </w:rPr>
              <w:t xml:space="preserve">Multiple Producers </w:t>
            </w:r>
          </w:p>
        </w:tc>
        <w:tc>
          <w:tcPr>
            <w:tcW w:w="4675" w:type="dxa"/>
          </w:tcPr>
          <w:p w14:paraId="30DCDEF6" w14:textId="77777777" w:rsidR="00561343" w:rsidRPr="00E63314" w:rsidRDefault="00E63314" w:rsidP="00E63314">
            <w:pPr>
              <w:rPr>
                <w:rStyle w:val="IntenseEmphasis"/>
                <w:i w:val="0"/>
                <w:color w:val="000000" w:themeColor="text1"/>
              </w:rPr>
            </w:pPr>
            <w:r w:rsidRPr="00E63314">
              <w:rPr>
                <w:rStyle w:val="IntenseEmphasis"/>
                <w:i w:val="0"/>
                <w:color w:val="000000" w:themeColor="text1"/>
              </w:rPr>
              <w:t>All (Advisors, Shareholders and Corporations)</w:t>
            </w:r>
          </w:p>
        </w:tc>
      </w:tr>
      <w:tr w:rsidR="00561343" w14:paraId="010B8B72" w14:textId="77777777" w:rsidTr="00561343">
        <w:tc>
          <w:tcPr>
            <w:tcW w:w="4675" w:type="dxa"/>
          </w:tcPr>
          <w:p w14:paraId="6965910A" w14:textId="77777777" w:rsidR="00561343" w:rsidRPr="00E63314" w:rsidRDefault="00E63314" w:rsidP="00E63314">
            <w:pPr>
              <w:rPr>
                <w:rStyle w:val="IntenseEmphasis"/>
                <w:i w:val="0"/>
                <w:color w:val="000000" w:themeColor="text1"/>
              </w:rPr>
            </w:pPr>
            <w:r w:rsidRPr="00E63314">
              <w:rPr>
                <w:rStyle w:val="IntenseEmphasis"/>
                <w:i w:val="0"/>
                <w:color w:val="000000" w:themeColor="text1"/>
              </w:rPr>
              <w:t xml:space="preserve">Organization Only </w:t>
            </w:r>
          </w:p>
        </w:tc>
        <w:tc>
          <w:tcPr>
            <w:tcW w:w="4675" w:type="dxa"/>
          </w:tcPr>
          <w:p w14:paraId="787A25DD" w14:textId="77777777" w:rsidR="00561343" w:rsidRPr="00E63314" w:rsidRDefault="00E63314" w:rsidP="00E63314">
            <w:pPr>
              <w:rPr>
                <w:rStyle w:val="IntenseEmphasis"/>
                <w:i w:val="0"/>
                <w:color w:val="000000" w:themeColor="text1"/>
              </w:rPr>
            </w:pPr>
            <w:r w:rsidRPr="00E63314">
              <w:rPr>
                <w:rStyle w:val="IntenseEmphasis"/>
                <w:i w:val="0"/>
                <w:color w:val="000000" w:themeColor="text1"/>
              </w:rPr>
              <w:t>Corporations</w:t>
            </w:r>
          </w:p>
        </w:tc>
      </w:tr>
      <w:tr w:rsidR="00561343" w14:paraId="3FB53B7C" w14:textId="77777777" w:rsidTr="00561343">
        <w:tc>
          <w:tcPr>
            <w:tcW w:w="4675" w:type="dxa"/>
          </w:tcPr>
          <w:p w14:paraId="32F14724" w14:textId="77777777" w:rsidR="00561343" w:rsidRPr="00E63314" w:rsidRDefault="00E63314" w:rsidP="00E63314">
            <w:pPr>
              <w:rPr>
                <w:rStyle w:val="IntenseEmphasis"/>
                <w:i w:val="0"/>
                <w:color w:val="000000" w:themeColor="text1"/>
              </w:rPr>
            </w:pPr>
            <w:r w:rsidRPr="00E63314">
              <w:rPr>
                <w:rStyle w:val="IntenseEmphasis"/>
                <w:i w:val="0"/>
                <w:color w:val="000000" w:themeColor="text1"/>
              </w:rPr>
              <w:t>Organization and Shareholders</w:t>
            </w:r>
          </w:p>
        </w:tc>
        <w:tc>
          <w:tcPr>
            <w:tcW w:w="4675" w:type="dxa"/>
          </w:tcPr>
          <w:p w14:paraId="6D4308CB" w14:textId="77777777" w:rsidR="00561343" w:rsidRPr="00E63314" w:rsidRDefault="00E63314" w:rsidP="00E63314">
            <w:pPr>
              <w:rPr>
                <w:rStyle w:val="IntenseEmphasis"/>
                <w:i w:val="0"/>
                <w:color w:val="000000" w:themeColor="text1"/>
              </w:rPr>
            </w:pPr>
            <w:r w:rsidRPr="00E63314">
              <w:rPr>
                <w:rStyle w:val="IntenseEmphasis"/>
                <w:i w:val="0"/>
                <w:color w:val="000000" w:themeColor="text1"/>
              </w:rPr>
              <w:t>Corporations and Shareholders</w:t>
            </w:r>
          </w:p>
        </w:tc>
      </w:tr>
      <w:tr w:rsidR="00561343" w14:paraId="042C0BFC" w14:textId="77777777" w:rsidTr="00561343">
        <w:tc>
          <w:tcPr>
            <w:tcW w:w="4675" w:type="dxa"/>
          </w:tcPr>
          <w:p w14:paraId="26B7DD4A" w14:textId="77777777" w:rsidR="00561343" w:rsidRPr="00E63314" w:rsidRDefault="00E63314" w:rsidP="00E63314">
            <w:pPr>
              <w:rPr>
                <w:rStyle w:val="IntenseEmphasis"/>
                <w:i w:val="0"/>
                <w:color w:val="000000" w:themeColor="text1"/>
              </w:rPr>
            </w:pPr>
            <w:r w:rsidRPr="00E63314">
              <w:rPr>
                <w:rStyle w:val="IntenseEmphasis"/>
                <w:i w:val="0"/>
                <w:color w:val="000000" w:themeColor="text1"/>
              </w:rPr>
              <w:t>Organization with Appointments</w:t>
            </w:r>
          </w:p>
        </w:tc>
        <w:tc>
          <w:tcPr>
            <w:tcW w:w="4675" w:type="dxa"/>
          </w:tcPr>
          <w:p w14:paraId="76B1202B" w14:textId="77777777" w:rsidR="00561343" w:rsidRPr="00E63314" w:rsidRDefault="00E63314" w:rsidP="00E63314">
            <w:pPr>
              <w:rPr>
                <w:rStyle w:val="IntenseEmphasis"/>
                <w:i w:val="0"/>
                <w:color w:val="000000" w:themeColor="text1"/>
              </w:rPr>
            </w:pPr>
            <w:r w:rsidRPr="00E63314">
              <w:rPr>
                <w:rStyle w:val="IntenseEmphasis"/>
                <w:i w:val="0"/>
                <w:color w:val="000000" w:themeColor="text1"/>
              </w:rPr>
              <w:t>Corporations with contracts (in any state)</w:t>
            </w:r>
          </w:p>
        </w:tc>
      </w:tr>
      <w:tr w:rsidR="00E63314" w14:paraId="5AE566CB" w14:textId="77777777" w:rsidTr="00561343">
        <w:tc>
          <w:tcPr>
            <w:tcW w:w="4675" w:type="dxa"/>
          </w:tcPr>
          <w:p w14:paraId="28D4677D" w14:textId="77777777" w:rsidR="00E63314" w:rsidRPr="00E63314" w:rsidRDefault="00E63314" w:rsidP="00E63314">
            <w:pPr>
              <w:rPr>
                <w:rStyle w:val="IntenseEmphasis"/>
                <w:i w:val="0"/>
                <w:color w:val="000000" w:themeColor="text1"/>
              </w:rPr>
            </w:pPr>
            <w:r>
              <w:rPr>
                <w:rStyle w:val="IntenseEmphasis"/>
                <w:i w:val="0"/>
                <w:color w:val="000000" w:themeColor="text1"/>
              </w:rPr>
              <w:t>Organization and Shareholders with Appointments</w:t>
            </w:r>
          </w:p>
        </w:tc>
        <w:tc>
          <w:tcPr>
            <w:tcW w:w="4675" w:type="dxa"/>
          </w:tcPr>
          <w:p w14:paraId="7792EEF0" w14:textId="77777777" w:rsidR="00E63314" w:rsidRPr="00E63314" w:rsidRDefault="00E63314" w:rsidP="00E63314">
            <w:pPr>
              <w:rPr>
                <w:rStyle w:val="IntenseEmphasis"/>
                <w:i w:val="0"/>
                <w:color w:val="000000" w:themeColor="text1"/>
              </w:rPr>
            </w:pPr>
            <w:r>
              <w:rPr>
                <w:rStyle w:val="IntenseEmphasis"/>
                <w:i w:val="0"/>
                <w:color w:val="000000" w:themeColor="text1"/>
              </w:rPr>
              <w:t>Corporations and Shareholders with contracts (in any state)</w:t>
            </w:r>
          </w:p>
        </w:tc>
      </w:tr>
    </w:tbl>
    <w:p w14:paraId="2DA57275" w14:textId="77777777" w:rsidR="00E63314" w:rsidRDefault="00E63314" w:rsidP="001D7C61">
      <w:pPr>
        <w:rPr>
          <w:rStyle w:val="IntenseEmphasis"/>
          <w:i w:val="0"/>
        </w:rPr>
      </w:pPr>
    </w:p>
    <w:p w14:paraId="3F24BDE2" w14:textId="77777777" w:rsidR="00E63314" w:rsidRDefault="00E63314" w:rsidP="00E63314">
      <w:pPr>
        <w:rPr>
          <w:rStyle w:val="IntenseEmphasis"/>
          <w:i w:val="0"/>
        </w:rPr>
      </w:pPr>
      <w:r>
        <w:rPr>
          <w:rStyle w:val="IntenseEmphasis"/>
          <w:i w:val="0"/>
        </w:rPr>
        <w:br w:type="page"/>
      </w:r>
    </w:p>
    <w:p w14:paraId="7F955699" w14:textId="77777777" w:rsidR="00561343" w:rsidRPr="00E63314" w:rsidRDefault="00E63314" w:rsidP="00E63314">
      <w:pPr>
        <w:pStyle w:val="Title"/>
        <w:rPr>
          <w:rStyle w:val="IntenseEmphasis"/>
          <w:i w:val="0"/>
          <w:iCs w:val="0"/>
          <w:color w:val="auto"/>
        </w:rPr>
      </w:pPr>
      <w:r w:rsidRPr="00E63314">
        <w:rPr>
          <w:rStyle w:val="IntenseEmphasis"/>
          <w:i w:val="0"/>
          <w:iCs w:val="0"/>
          <w:color w:val="auto"/>
        </w:rPr>
        <w:lastRenderedPageBreak/>
        <w:t>Appendix B</w:t>
      </w:r>
      <w:r>
        <w:rPr>
          <w:rStyle w:val="IntenseEmphasis"/>
          <w:i w:val="0"/>
          <w:iCs w:val="0"/>
          <w:color w:val="auto"/>
        </w:rPr>
        <w:t xml:space="preserve"> – Downloading Documents</w:t>
      </w:r>
    </w:p>
    <w:p w14:paraId="1F282112" w14:textId="77777777" w:rsidR="00E63314" w:rsidRDefault="00E63314" w:rsidP="001D7C61">
      <w:pPr>
        <w:rPr>
          <w:rStyle w:val="IntenseEmphasis"/>
          <w:i w:val="0"/>
          <w:color w:val="000000" w:themeColor="text1"/>
        </w:rPr>
      </w:pPr>
    </w:p>
    <w:p w14:paraId="6189822F" w14:textId="77777777" w:rsidR="00E63314" w:rsidRPr="00E63314" w:rsidRDefault="00E63314" w:rsidP="001D7C61">
      <w:pPr>
        <w:rPr>
          <w:rStyle w:val="IntenseEmphasis"/>
          <w:i w:val="0"/>
          <w:color w:val="000000" w:themeColor="text1"/>
        </w:rPr>
      </w:pPr>
      <w:r w:rsidRPr="00E63314">
        <w:rPr>
          <w:rStyle w:val="IntenseEmphasis"/>
          <w:i w:val="0"/>
          <w:color w:val="000000" w:themeColor="text1"/>
        </w:rPr>
        <w:t>To download a pdf out of APEXA, you’ll need to use the “File Retrieval Request.” You’ll pass the URL provided in the “Multiple Producer by ID” response (Sample Request – Figure 5)</w:t>
      </w:r>
    </w:p>
    <w:p w14:paraId="73542C53" w14:textId="77777777" w:rsidR="00E63314" w:rsidRDefault="00E63314" w:rsidP="00E63314">
      <w:pPr>
        <w:keepNext/>
      </w:pPr>
      <w:r>
        <w:rPr>
          <w:noProof/>
        </w:rPr>
        <w:drawing>
          <wp:inline distT="0" distB="0" distL="0" distR="0" wp14:anchorId="77E25DEA" wp14:editId="4239DDA8">
            <wp:extent cx="6944397" cy="15461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75911" cy="1553184"/>
                    </a:xfrm>
                    <a:prstGeom prst="rect">
                      <a:avLst/>
                    </a:prstGeom>
                  </pic:spPr>
                </pic:pic>
              </a:graphicData>
            </a:graphic>
          </wp:inline>
        </w:drawing>
      </w:r>
    </w:p>
    <w:p w14:paraId="7F355187" w14:textId="77777777" w:rsidR="00E63314" w:rsidRDefault="00E63314" w:rsidP="00E63314">
      <w:pPr>
        <w:pStyle w:val="Caption"/>
        <w:rPr>
          <w:rStyle w:val="IntenseEmphasis"/>
          <w:i/>
        </w:rPr>
      </w:pPr>
      <w:r>
        <w:t xml:space="preserve">Figure </w:t>
      </w:r>
      <w:fldSimple w:instr=" SEQ Figure \* ARABIC ">
        <w:r>
          <w:rPr>
            <w:noProof/>
          </w:rPr>
          <w:t>5</w:t>
        </w:r>
      </w:fldSimple>
    </w:p>
    <w:p w14:paraId="3B859F1B" w14:textId="77777777" w:rsidR="00E63314" w:rsidRPr="00E63314" w:rsidRDefault="00E63314" w:rsidP="001D7C61">
      <w:pPr>
        <w:rPr>
          <w:rStyle w:val="IntenseEmphasis"/>
          <w:i w:val="0"/>
          <w:color w:val="000000" w:themeColor="text1"/>
        </w:rPr>
      </w:pPr>
      <w:r w:rsidRPr="00E63314">
        <w:rPr>
          <w:rStyle w:val="IntenseEmphasis"/>
          <w:i w:val="0"/>
          <w:color w:val="000000" w:themeColor="text1"/>
        </w:rPr>
        <w:t>This will return the pdf document (Sample Response – Figure 6)</w:t>
      </w:r>
    </w:p>
    <w:p w14:paraId="10359A6A" w14:textId="77777777" w:rsidR="00E63314" w:rsidRDefault="00E63314" w:rsidP="00E63314">
      <w:pPr>
        <w:keepNext/>
      </w:pPr>
      <w:r>
        <w:rPr>
          <w:noProof/>
        </w:rPr>
        <w:drawing>
          <wp:inline distT="0" distB="0" distL="0" distR="0" wp14:anchorId="40F9556A" wp14:editId="384EA61D">
            <wp:extent cx="6754959" cy="1795549"/>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48151" cy="1820321"/>
                    </a:xfrm>
                    <a:prstGeom prst="rect">
                      <a:avLst/>
                    </a:prstGeom>
                  </pic:spPr>
                </pic:pic>
              </a:graphicData>
            </a:graphic>
          </wp:inline>
        </w:drawing>
      </w:r>
    </w:p>
    <w:p w14:paraId="7371928C" w14:textId="77777777" w:rsidR="00E63314" w:rsidRPr="00C66EF0" w:rsidRDefault="00E63314" w:rsidP="00E63314">
      <w:pPr>
        <w:pStyle w:val="Caption"/>
        <w:rPr>
          <w:rStyle w:val="IntenseEmphasis"/>
          <w:i/>
        </w:rPr>
      </w:pPr>
      <w:r>
        <w:t xml:space="preserve">Figure </w:t>
      </w:r>
      <w:fldSimple w:instr=" SEQ Figure \* ARABIC ">
        <w:r>
          <w:rPr>
            <w:noProof/>
          </w:rPr>
          <w:t>6</w:t>
        </w:r>
      </w:fldSimple>
    </w:p>
    <w:sectPr w:rsidR="00E63314" w:rsidRPr="00C66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F67"/>
    <w:rsid w:val="001D7C61"/>
    <w:rsid w:val="002B60A8"/>
    <w:rsid w:val="00397F67"/>
    <w:rsid w:val="00561343"/>
    <w:rsid w:val="00632BB8"/>
    <w:rsid w:val="007E2909"/>
    <w:rsid w:val="008F2D74"/>
    <w:rsid w:val="00947B01"/>
    <w:rsid w:val="00AA5478"/>
    <w:rsid w:val="00C66EF0"/>
    <w:rsid w:val="00C86123"/>
    <w:rsid w:val="00D1328E"/>
    <w:rsid w:val="00E241FD"/>
    <w:rsid w:val="00E63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E31F6"/>
  <w15:chartTrackingRefBased/>
  <w15:docId w15:val="{B668D1BB-48C1-4367-B989-65C63186E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4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A5478"/>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A5478"/>
    <w:rPr>
      <w:rFonts w:asciiTheme="majorHAnsi" w:eastAsiaTheme="majorEastAsia" w:hAnsiTheme="majorHAnsi" w:cstheme="majorBidi"/>
      <w:color w:val="2E74B5" w:themeColor="accent1" w:themeShade="BF"/>
      <w:sz w:val="32"/>
      <w:szCs w:val="32"/>
    </w:rPr>
  </w:style>
  <w:style w:type="character" w:styleId="IntenseEmphasis">
    <w:name w:val="Intense Emphasis"/>
    <w:basedOn w:val="DefaultParagraphFont"/>
    <w:uiPriority w:val="21"/>
    <w:qFormat/>
    <w:rsid w:val="001D7C61"/>
    <w:rPr>
      <w:i/>
      <w:iCs/>
      <w:color w:val="5B9BD5" w:themeColor="accent1"/>
    </w:rPr>
  </w:style>
  <w:style w:type="paragraph" w:styleId="Title">
    <w:name w:val="Title"/>
    <w:basedOn w:val="Normal"/>
    <w:next w:val="Normal"/>
    <w:link w:val="TitleChar"/>
    <w:uiPriority w:val="10"/>
    <w:qFormat/>
    <w:rsid w:val="00C66E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EF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61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91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1057</TotalTime>
  <Pages>7</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RGARE</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Kruistum, Kelsi</dc:creator>
  <cp:keywords/>
  <dc:description/>
  <cp:lastModifiedBy>Lyakhovsky, Max</cp:lastModifiedBy>
  <cp:revision>3</cp:revision>
  <dcterms:created xsi:type="dcterms:W3CDTF">2019-08-26T20:31:00Z</dcterms:created>
  <dcterms:modified xsi:type="dcterms:W3CDTF">2022-07-15T22:33:00Z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757d4c8-9aa7-470a-95ee-e37723976709_Enabled">
    <vt:lpwstr>true</vt:lpwstr>
  </property>
  <property fmtid="{D5CDD505-2E9C-101B-9397-08002B2CF9AE}" pid="3" name="MSIP_Label_d757d4c8-9aa7-470a-95ee-e37723976709_SetDate">
    <vt:lpwstr>2022-07-15T22:27:21Z</vt:lpwstr>
  </property>
  <property fmtid="{D5CDD505-2E9C-101B-9397-08002B2CF9AE}" pid="4" name="MSIP_Label_d757d4c8-9aa7-470a-95ee-e37723976709_Method">
    <vt:lpwstr>Privileged</vt:lpwstr>
  </property>
  <property fmtid="{D5CDD505-2E9C-101B-9397-08002B2CF9AE}" pid="5" name="MSIP_Label_d757d4c8-9aa7-470a-95ee-e37723976709_Name">
    <vt:lpwstr>Internal</vt:lpwstr>
  </property>
  <property fmtid="{D5CDD505-2E9C-101B-9397-08002B2CF9AE}" pid="6" name="MSIP_Label_d757d4c8-9aa7-470a-95ee-e37723976709_SiteId">
    <vt:lpwstr>3425dff1-3121-4de4-a918-893fc94ebbbc</vt:lpwstr>
  </property>
  <property fmtid="{D5CDD505-2E9C-101B-9397-08002B2CF9AE}" pid="7" name="MSIP_Label_d757d4c8-9aa7-470a-95ee-e37723976709_ActionId">
    <vt:lpwstr>7ea0c04b-6542-4f4e-b96b-7326e9fc7833</vt:lpwstr>
  </property>
  <property fmtid="{D5CDD505-2E9C-101B-9397-08002B2CF9AE}" pid="8" name="MSIP_Label_d757d4c8-9aa7-470a-95ee-e37723976709_ContentBits">
    <vt:lpwstr>0</vt:lpwstr>
  </property>
</Properties>
</file>