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20D53" w14:textId="77777777" w:rsidR="00F62DA2" w:rsidRPr="00E97C2E" w:rsidRDefault="00000000" w:rsidP="00EF5AB0">
      <w:pPr>
        <w:spacing w:after="6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>CAP182 Summative Submission 3 – Part A</w:t>
      </w:r>
    </w:p>
    <w:p w14:paraId="0C6E94B5" w14:textId="77777777" w:rsidR="00F62DA2" w:rsidRPr="00E97C2E" w:rsidRDefault="00000000" w:rsidP="00E97C2E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Student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62DA2" w:rsidRPr="00E97C2E" w14:paraId="65000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962F" w14:textId="77777777" w:rsidR="00F62DA2" w:rsidRPr="00E97C2E" w:rsidRDefault="00000000" w:rsidP="00E97C2E">
            <w:p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97C2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Student reviewed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45EB" w14:textId="77777777" w:rsidR="00F62DA2" w:rsidRPr="00E97C2E" w:rsidRDefault="00000000" w:rsidP="00E97C2E">
            <w:p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97C2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Shandukani </w:t>
            </w:r>
            <w:proofErr w:type="spellStart"/>
            <w:r w:rsidRPr="00E97C2E">
              <w:rPr>
                <w:rFonts w:ascii="Arial" w:hAnsi="Arial" w:cs="Arial"/>
                <w:color w:val="000000" w:themeColor="text1"/>
                <w:sz w:val="24"/>
                <w:szCs w:val="24"/>
              </w:rPr>
              <w:t>Matshidzula</w:t>
            </w:r>
            <w:proofErr w:type="spellEnd"/>
          </w:p>
        </w:tc>
      </w:tr>
      <w:tr w:rsidR="00E97C2E" w:rsidRPr="00E97C2E" w14:paraId="4AE8A1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E4EA" w14:textId="1CCC1ADA" w:rsidR="00E97C2E" w:rsidRPr="00E97C2E" w:rsidRDefault="00E97C2E" w:rsidP="00E97C2E">
            <w:p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97C2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GitHub repository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BBB3" w14:textId="6A60ED20" w:rsidR="00E97C2E" w:rsidRPr="00E97C2E" w:rsidRDefault="00E97C2E" w:rsidP="00E97C2E">
            <w:p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hyperlink r:id="rId5" w:history="1">
              <w:r w:rsidRPr="00E97C2E">
                <w:rPr>
                  <w:rStyle w:val="Hyperlink"/>
                  <w:rFonts w:ascii="Arial" w:hAnsi="Arial" w:cs="Arial"/>
                  <w:color w:val="000000" w:themeColor="text1"/>
                  <w:sz w:val="24"/>
                  <w:szCs w:val="24"/>
                </w:rPr>
                <w:t>https://github.com/Shandu16/capstone-predictive-engine</w:t>
              </w:r>
            </w:hyperlink>
          </w:p>
        </w:tc>
      </w:tr>
      <w:tr w:rsidR="00E97C2E" w:rsidRPr="00E97C2E" w14:paraId="719D17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3AD8" w14:textId="7A2F2956" w:rsidR="00E97C2E" w:rsidRPr="00E97C2E" w:rsidRDefault="00E97C2E" w:rsidP="00E97C2E">
            <w:p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97C2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Reviewer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5552" w14:textId="5A2C72D2" w:rsidR="00E97C2E" w:rsidRPr="00E97C2E" w:rsidRDefault="00E97C2E" w:rsidP="00E97C2E">
            <w:p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97C2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Aphelele </w:t>
            </w:r>
            <w:proofErr w:type="spellStart"/>
            <w:r w:rsidRPr="00E97C2E">
              <w:rPr>
                <w:rFonts w:ascii="Arial" w:hAnsi="Arial" w:cs="Arial"/>
                <w:color w:val="000000" w:themeColor="text1"/>
                <w:sz w:val="24"/>
                <w:szCs w:val="24"/>
              </w:rPr>
              <w:t>Twele</w:t>
            </w:r>
            <w:proofErr w:type="spellEnd"/>
            <w:r w:rsidRPr="00E97C2E">
              <w:rPr>
                <w:rFonts w:ascii="Arial" w:hAnsi="Arial" w:cs="Arial"/>
                <w:color w:val="000000" w:themeColor="text1"/>
                <w:sz w:val="24"/>
                <w:szCs w:val="24"/>
              </w:rPr>
              <w:t>– 26304340</w:t>
            </w:r>
          </w:p>
        </w:tc>
      </w:tr>
      <w:tr w:rsidR="00E97C2E" w:rsidRPr="00E97C2E" w14:paraId="4F156D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05D4" w14:textId="1AFB6C51" w:rsidR="00E97C2E" w:rsidRPr="00E97C2E" w:rsidRDefault="00E97C2E" w:rsidP="00E97C2E">
            <w:p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97C2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Material reviewed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74F3" w14:textId="0802983A" w:rsidR="00E97C2E" w:rsidRPr="00E97C2E" w:rsidRDefault="00E97C2E" w:rsidP="00E97C2E">
            <w:p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97C2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SS1 (motivation, problem statement, RAAIDD log in README.md), SS2 (Part A literature/dataset tables, Part D recommendation memo), </w:t>
            </w:r>
            <w:proofErr w:type="spellStart"/>
            <w:r w:rsidRPr="00E97C2E">
              <w:rPr>
                <w:rFonts w:ascii="Arial" w:hAnsi="Arial" w:cs="Arial"/>
                <w:color w:val="000000" w:themeColor="text1"/>
                <w:sz w:val="24"/>
                <w:szCs w:val="24"/>
              </w:rPr>
              <w:t>bank_marketing_</w:t>
            </w:r>
            <w:proofErr w:type="gramStart"/>
            <w:r w:rsidRPr="00E97C2E">
              <w:rPr>
                <w:rFonts w:ascii="Arial" w:hAnsi="Arial" w:cs="Arial"/>
                <w:color w:val="000000" w:themeColor="text1"/>
                <w:sz w:val="24"/>
                <w:szCs w:val="24"/>
              </w:rPr>
              <w:t>pipeline.ipynb</w:t>
            </w:r>
            <w:proofErr w:type="spellEnd"/>
            <w:proofErr w:type="gramEnd"/>
            <w:r w:rsidRPr="00E97C2E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and all Markdown files under /Models, /Experimental setup, /Experimental results and /Statistical helper and comparison scripts</w:t>
            </w:r>
          </w:p>
        </w:tc>
      </w:tr>
      <w:tr w:rsidR="00E97C2E" w:rsidRPr="00E97C2E" w14:paraId="3DD3F2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2F64" w14:textId="4E38AD44" w:rsidR="00E97C2E" w:rsidRPr="00E97C2E" w:rsidRDefault="00E97C2E" w:rsidP="00E97C2E">
            <w:p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D0AB" w14:textId="458D0654" w:rsidR="00E97C2E" w:rsidRPr="00E97C2E" w:rsidRDefault="00E97C2E" w:rsidP="00E97C2E">
            <w:pPr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4363EF23" w14:textId="58CF6D87" w:rsidR="00F62DA2" w:rsidRPr="00E97C2E" w:rsidRDefault="00F62DA2" w:rsidP="00E97C2E">
      <w:pPr>
        <w:spacing w:after="12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BD9DE24" w14:textId="77777777" w:rsidR="00F62DA2" w:rsidRPr="00E97C2E" w:rsidRDefault="00000000" w:rsidP="00E97C2E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Motivation</w:t>
      </w:r>
    </w:p>
    <w:p w14:paraId="202BEF69" w14:textId="77777777" w:rsidR="00F62DA2" w:rsidRPr="00E97C2E" w:rsidRDefault="00000000" w:rsidP="00E97C2E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Strengths</w:t>
      </w:r>
    </w:p>
    <w:p w14:paraId="508C4B03" w14:textId="5B6CDA24" w:rsidR="00F62DA2" w:rsidRPr="00E97C2E" w:rsidRDefault="00000000" w:rsidP="00E97C2E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>Clearly grounded in business value</w:t>
      </w:r>
      <w:r w:rsidR="00EF5AB0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The motivation ties the problem directly to the revenue model and explains why an unfunded account is a net cost to the platform.</w:t>
      </w:r>
    </w:p>
    <w:p w14:paraId="1695425C" w14:textId="57061813" w:rsidR="00EF5AB0" w:rsidRPr="00EF5AB0" w:rsidRDefault="00000000" w:rsidP="00EF5AB0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>Quantified and trend-based</w:t>
      </w:r>
      <w:r w:rsidR="00EF5AB0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Using the drop in conversion from 64% to 59%, the 41% unfunded share and the R180 acquisition cost gives the reader a </w:t>
      </w:r>
      <w:r w:rsidR="00EF5AB0">
        <w:rPr>
          <w:rFonts w:ascii="Arial" w:hAnsi="Arial" w:cs="Arial"/>
          <w:color w:val="000000" w:themeColor="text1"/>
          <w:sz w:val="24"/>
          <w:szCs w:val="24"/>
        </w:rPr>
        <w:t>solid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 sense of scale rather than a vague </w:t>
      </w:r>
      <w:r w:rsidR="00EF5AB0">
        <w:rPr>
          <w:rFonts w:ascii="Arial" w:hAnsi="Arial" w:cs="Arial"/>
          <w:color w:val="000000" w:themeColor="text1"/>
          <w:sz w:val="24"/>
          <w:szCs w:val="24"/>
        </w:rPr>
        <w:t>problem.</w:t>
      </w:r>
    </w:p>
    <w:p w14:paraId="2F939278" w14:textId="1F5DE5C1" w:rsidR="00F62DA2" w:rsidRPr="00E97C2E" w:rsidRDefault="00000000" w:rsidP="00E97C2E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Strategically aligned.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Linking the work to the board’s 2030 goal (“activate the accounts that are already present”) shows why this problem deserves priority</w:t>
      </w:r>
      <w:r w:rsidR="00EF5AB0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4B66D76A" w14:textId="77777777" w:rsidR="00F62DA2" w:rsidRPr="00E97C2E" w:rsidRDefault="00000000" w:rsidP="00E97C2E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Weaknesses and suggestions</w:t>
      </w:r>
    </w:p>
    <w:p w14:paraId="1FFEE7A9" w14:textId="6631A838" w:rsidR="00EF5AB0" w:rsidRDefault="00000000" w:rsidP="00EF5AB0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Sunk cost framing.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Acquisition spend on existing dormant users is already sunk. The stronger argument is the forward-looking one</w:t>
      </w:r>
      <w:r w:rsidR="00EF5AB0">
        <w:rPr>
          <w:rFonts w:ascii="Arial" w:hAnsi="Arial" w:cs="Arial"/>
          <w:color w:val="000000" w:themeColor="text1"/>
          <w:sz w:val="24"/>
          <w:szCs w:val="24"/>
        </w:rPr>
        <w:t>,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 the revenue a newly activated account would generate and the cost of intervening on users who would have funded anyway.</w:t>
      </w:r>
    </w:p>
    <w:p w14:paraId="1ABCF787" w14:textId="59B8C232" w:rsidR="00EF5AB0" w:rsidRPr="00E97C2E" w:rsidRDefault="00EF5AB0" w:rsidP="00EF5AB0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The financial impact is overstated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-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Stating the calculated figure would be more accurate and more persuasive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instead of stating “hundreds of millions”</w:t>
      </w:r>
    </w:p>
    <w:p w14:paraId="43F1ABBA" w14:textId="5E70BEDF" w:rsidR="00F62DA2" w:rsidRPr="00E97C2E" w:rsidRDefault="00F62DA2" w:rsidP="00EF5AB0">
      <w:pPr>
        <w:pStyle w:val="ListParagraph"/>
        <w:spacing w:after="80" w:line="360" w:lineRule="auto"/>
        <w:ind w:left="540"/>
        <w:rPr>
          <w:rFonts w:ascii="Arial" w:hAnsi="Arial" w:cs="Arial"/>
          <w:color w:val="000000" w:themeColor="text1"/>
          <w:sz w:val="24"/>
          <w:szCs w:val="24"/>
        </w:rPr>
      </w:pPr>
    </w:p>
    <w:p w14:paraId="0EF7950C" w14:textId="1B5E3883" w:rsidR="004D5BD5" w:rsidRDefault="00000000" w:rsidP="004D5BD5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>Scope drift</w:t>
      </w:r>
      <w:r w:rsidR="00EF5AB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-</w:t>
      </w:r>
      <w:r w:rsidR="00EF5AB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The 31% early</w:t>
      </w:r>
      <w:r w:rsidR="004D5BD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dormancy figure is used to motivate the </w:t>
      </w:r>
      <w:proofErr w:type="gramStart"/>
      <w:r w:rsidR="00846271" w:rsidRPr="00E97C2E">
        <w:rPr>
          <w:rFonts w:ascii="Arial" w:hAnsi="Arial" w:cs="Arial"/>
          <w:color w:val="000000" w:themeColor="text1"/>
          <w:sz w:val="24"/>
          <w:szCs w:val="24"/>
        </w:rPr>
        <w:t>work</w:t>
      </w:r>
      <w:proofErr w:type="gramEnd"/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 but the RAAIDD “Decisions” entry explicitly excludes post-deposit churn. The motivation should either drop this figure or explain </w:t>
      </w:r>
      <w:r w:rsidR="00EF5AB0">
        <w:rPr>
          <w:rFonts w:ascii="Arial" w:hAnsi="Arial" w:cs="Arial"/>
          <w:color w:val="000000" w:themeColor="text1"/>
          <w:sz w:val="24"/>
          <w:szCs w:val="24"/>
        </w:rPr>
        <w:t>its correlation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 to first</w:t>
      </w:r>
      <w:r w:rsidR="00EF5AB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deposit activation.</w:t>
      </w:r>
    </w:p>
    <w:p w14:paraId="4B1DB8BD" w14:textId="77777777" w:rsidR="004D5BD5" w:rsidRPr="004D5BD5" w:rsidRDefault="004D5BD5" w:rsidP="004D5BD5">
      <w:pPr>
        <w:pStyle w:val="ListParagrap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B5C5CD6" w14:textId="4213DC4F" w:rsidR="00F62DA2" w:rsidRPr="004D5BD5" w:rsidRDefault="00000000" w:rsidP="004D5BD5">
      <w:p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D5BD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Overall assessment: 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>The motivation is sound. It is well argued and closely aligned to the business brief</w:t>
      </w:r>
      <w:r w:rsidR="00EF5AB0" w:rsidRPr="004D5BD5">
        <w:rPr>
          <w:rFonts w:ascii="Arial" w:hAnsi="Arial" w:cs="Arial"/>
          <w:color w:val="000000" w:themeColor="text1"/>
          <w:sz w:val="24"/>
          <w:szCs w:val="24"/>
        </w:rPr>
        <w:t>,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tightening the cost calculation and removing out</w:t>
      </w:r>
      <w:r w:rsidR="00EF5AB0" w:rsidRPr="004D5BD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>of</w:t>
      </w:r>
      <w:r w:rsidR="00EF5AB0" w:rsidRPr="004D5BD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>scope metrics would make it stronger.</w:t>
      </w:r>
    </w:p>
    <w:p w14:paraId="5F4C4E68" w14:textId="77777777" w:rsidR="004D5BD5" w:rsidRDefault="00000000" w:rsidP="004D5BD5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Problem statement</w:t>
      </w:r>
    </w:p>
    <w:p w14:paraId="3567B98F" w14:textId="4E8B369E" w:rsidR="00F62DA2" w:rsidRPr="00E97C2E" w:rsidRDefault="00000000" w:rsidP="004D5BD5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Strengths</w:t>
      </w:r>
    </w:p>
    <w:p w14:paraId="1605F055" w14:textId="3325BF32" w:rsidR="00F62DA2" w:rsidRPr="00182B41" w:rsidRDefault="00000000" w:rsidP="00182B41">
      <w:p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82B41">
        <w:rPr>
          <w:rFonts w:ascii="Arial" w:hAnsi="Arial" w:cs="Arial"/>
          <w:color w:val="000000" w:themeColor="text1"/>
          <w:sz w:val="24"/>
          <w:szCs w:val="24"/>
        </w:rPr>
        <w:t>The statement identifies a real gap</w:t>
      </w:r>
      <w:r w:rsidR="004D5BD5">
        <w:rPr>
          <w:rFonts w:ascii="Arial" w:hAnsi="Arial" w:cs="Arial"/>
          <w:color w:val="000000" w:themeColor="text1"/>
          <w:sz w:val="24"/>
          <w:szCs w:val="24"/>
        </w:rPr>
        <w:t>.</w:t>
      </w:r>
      <w:r w:rsidRPr="00182B4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D5BD5">
        <w:rPr>
          <w:rFonts w:ascii="Arial" w:hAnsi="Arial" w:cs="Arial"/>
          <w:color w:val="000000" w:themeColor="text1"/>
          <w:sz w:val="24"/>
          <w:szCs w:val="24"/>
        </w:rPr>
        <w:t>L</w:t>
      </w:r>
      <w:r w:rsidRPr="00182B41">
        <w:rPr>
          <w:rFonts w:ascii="Arial" w:hAnsi="Arial" w:cs="Arial"/>
          <w:color w:val="000000" w:themeColor="text1"/>
          <w:sz w:val="24"/>
          <w:szCs w:val="24"/>
        </w:rPr>
        <w:t>eadership can see aggregate drop-off but cannot distinguish at an individual level between a user who “needs more time” and one who has permanently stalled. This is a sensible framing for a supervised classification proble</w:t>
      </w:r>
      <w:r w:rsidR="00182B41">
        <w:rPr>
          <w:rFonts w:ascii="Arial" w:hAnsi="Arial" w:cs="Arial"/>
          <w:color w:val="000000" w:themeColor="text1"/>
          <w:sz w:val="24"/>
          <w:szCs w:val="24"/>
        </w:rPr>
        <w:t xml:space="preserve">m. </w:t>
      </w:r>
      <w:r w:rsidRPr="00182B41">
        <w:rPr>
          <w:rFonts w:ascii="Arial" w:hAnsi="Arial" w:cs="Arial"/>
          <w:color w:val="000000" w:themeColor="text1"/>
          <w:sz w:val="24"/>
          <w:szCs w:val="24"/>
        </w:rPr>
        <w:t xml:space="preserve">Scope is limited to the first deposit, and the RAAIDD log identifies realistic constraints (POPIA, the need for a unified </w:t>
      </w:r>
      <w:proofErr w:type="spellStart"/>
      <w:r w:rsidRPr="00182B41">
        <w:rPr>
          <w:rFonts w:ascii="Arial" w:hAnsi="Arial" w:cs="Arial"/>
          <w:color w:val="000000" w:themeColor="text1"/>
          <w:sz w:val="24"/>
          <w:szCs w:val="24"/>
        </w:rPr>
        <w:t>client_id</w:t>
      </w:r>
      <w:proofErr w:type="spellEnd"/>
      <w:r w:rsidRPr="00182B41">
        <w:rPr>
          <w:rFonts w:ascii="Arial" w:hAnsi="Arial" w:cs="Arial"/>
          <w:color w:val="000000" w:themeColor="text1"/>
          <w:sz w:val="24"/>
          <w:szCs w:val="24"/>
        </w:rPr>
        <w:t>, concept drift).</w:t>
      </w:r>
    </w:p>
    <w:p w14:paraId="7CE1AB37" w14:textId="77777777" w:rsidR="00F62DA2" w:rsidRPr="00E97C2E" w:rsidRDefault="00000000" w:rsidP="00E97C2E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Weaknesses and suggestions</w:t>
      </w:r>
    </w:p>
    <w:p w14:paraId="787261FA" w14:textId="456BF58C" w:rsidR="00F62DA2" w:rsidRPr="004D5BD5" w:rsidRDefault="00000000" w:rsidP="004D5BD5">
      <w:p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D5BD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The target variable is not fully </w:t>
      </w:r>
      <w:r w:rsidR="004D5BD5" w:rsidRPr="004D5BD5">
        <w:rPr>
          <w:rFonts w:ascii="Arial" w:hAnsi="Arial" w:cs="Arial"/>
          <w:b/>
          <w:bCs/>
          <w:color w:val="000000" w:themeColor="text1"/>
          <w:sz w:val="24"/>
          <w:szCs w:val="24"/>
        </w:rPr>
        <w:t>defined.</w:t>
      </w:r>
      <w:r w:rsidR="004D5BD5" w:rsidRPr="004D5BD5">
        <w:rPr>
          <w:rFonts w:ascii="Arial" w:hAnsi="Arial" w:cs="Arial"/>
          <w:color w:val="000000" w:themeColor="text1"/>
          <w:sz w:val="24"/>
          <w:szCs w:val="24"/>
        </w:rPr>
        <w:t xml:space="preserve"> The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data dictionary defines </w:t>
      </w:r>
      <w:proofErr w:type="spellStart"/>
      <w:r w:rsidRPr="004D5BD5">
        <w:rPr>
          <w:rFonts w:ascii="Arial" w:hAnsi="Arial" w:cs="Arial"/>
          <w:color w:val="000000" w:themeColor="text1"/>
          <w:sz w:val="24"/>
          <w:szCs w:val="24"/>
        </w:rPr>
        <w:t>is_funded</w:t>
      </w:r>
      <w:proofErr w:type="spellEnd"/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as “Yes = deposited within 7 days, </w:t>
      </w:r>
      <w:proofErr w:type="gramStart"/>
      <w:r w:rsidRPr="004D5BD5">
        <w:rPr>
          <w:rFonts w:ascii="Arial" w:hAnsi="Arial" w:cs="Arial"/>
          <w:color w:val="000000" w:themeColor="text1"/>
          <w:sz w:val="24"/>
          <w:szCs w:val="24"/>
        </w:rPr>
        <w:t>No</w:t>
      </w:r>
      <w:proofErr w:type="gramEnd"/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= never deposited”. Users who deposit on day 8 or later fall into neither class. The problem statement </w:t>
      </w:r>
      <w:r w:rsidR="004D5BD5">
        <w:rPr>
          <w:rFonts w:ascii="Arial" w:hAnsi="Arial" w:cs="Arial"/>
          <w:color w:val="000000" w:themeColor="text1"/>
          <w:sz w:val="24"/>
          <w:szCs w:val="24"/>
        </w:rPr>
        <w:t>must explicitly define the prediction horizon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and s</w:t>
      </w:r>
      <w:r w:rsidR="004D5BD5">
        <w:rPr>
          <w:rFonts w:ascii="Arial" w:hAnsi="Arial" w:cs="Arial"/>
          <w:color w:val="000000" w:themeColor="text1"/>
          <w:sz w:val="24"/>
          <w:szCs w:val="24"/>
        </w:rPr>
        <w:t>tate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how late depositors are handled.</w:t>
      </w:r>
    </w:p>
    <w:p w14:paraId="57259D8B" w14:textId="675BBD36" w:rsidR="00F62DA2" w:rsidRPr="004D5BD5" w:rsidRDefault="00000000" w:rsidP="004D5BD5">
      <w:p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D5BD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Prediction versus explanation. 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>The stated goal is to find the “multivariate drivers” and “</w:t>
      </w:r>
      <w:proofErr w:type="spellStart"/>
      <w:r w:rsidRPr="004D5BD5">
        <w:rPr>
          <w:rFonts w:ascii="Arial" w:hAnsi="Arial" w:cs="Arial"/>
          <w:color w:val="000000" w:themeColor="text1"/>
          <w:sz w:val="24"/>
          <w:szCs w:val="24"/>
        </w:rPr>
        <w:t>behavioural</w:t>
      </w:r>
      <w:proofErr w:type="spellEnd"/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sequences” behind abandonment, which is an explanatory question. The planned methods (and the SS2 work) only measure predictive accuracy. Either the statement should be reframed around </w:t>
      </w:r>
      <w:proofErr w:type="gramStart"/>
      <w:r w:rsidRPr="004D5BD5">
        <w:rPr>
          <w:rFonts w:ascii="Arial" w:hAnsi="Arial" w:cs="Arial"/>
          <w:color w:val="000000" w:themeColor="text1"/>
          <w:sz w:val="24"/>
          <w:szCs w:val="24"/>
        </w:rPr>
        <w:t>prediction</w:t>
      </w:r>
      <w:proofErr w:type="gramEnd"/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or an interpretability step should be added.</w:t>
      </w:r>
    </w:p>
    <w:p w14:paraId="5919C2B9" w14:textId="7371BA0B" w:rsidR="00F62DA2" w:rsidRPr="004D5BD5" w:rsidRDefault="00000000" w:rsidP="004D5BD5">
      <w:p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D5BD5">
        <w:rPr>
          <w:rFonts w:ascii="Arial" w:hAnsi="Arial" w:cs="Arial"/>
          <w:b/>
          <w:bCs/>
          <w:color w:val="000000" w:themeColor="text1"/>
          <w:sz w:val="24"/>
          <w:szCs w:val="24"/>
        </w:rPr>
        <w:t>Sequences are not in the data</w:t>
      </w:r>
      <w:r w:rsidR="004D5BD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-</w:t>
      </w:r>
      <w:r w:rsidRPr="004D5BD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The data dictionary contains a single </w:t>
      </w:r>
      <w:proofErr w:type="spellStart"/>
      <w:r w:rsidRPr="004D5BD5">
        <w:rPr>
          <w:rFonts w:ascii="Arial" w:hAnsi="Arial" w:cs="Arial"/>
          <w:color w:val="000000" w:themeColor="text1"/>
          <w:sz w:val="24"/>
          <w:szCs w:val="24"/>
        </w:rPr>
        <w:t>session_duration</w:t>
      </w:r>
      <w:proofErr w:type="spellEnd"/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4D5BD5">
        <w:rPr>
          <w:rFonts w:ascii="Arial" w:hAnsi="Arial" w:cs="Arial"/>
          <w:color w:val="000000" w:themeColor="text1"/>
          <w:sz w:val="24"/>
          <w:szCs w:val="24"/>
        </w:rPr>
        <w:t>kyc_abandon_step</w:t>
      </w:r>
      <w:proofErr w:type="spellEnd"/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and total </w:t>
      </w:r>
      <w:proofErr w:type="spellStart"/>
      <w:r w:rsidRPr="004D5BD5">
        <w:rPr>
          <w:rFonts w:ascii="Arial" w:hAnsi="Arial" w:cs="Arial"/>
          <w:color w:val="000000" w:themeColor="text1"/>
          <w:sz w:val="24"/>
          <w:szCs w:val="24"/>
        </w:rPr>
        <w:t>kyc_time_spent</w:t>
      </w:r>
      <w:proofErr w:type="spellEnd"/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per user. These are 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lastRenderedPageBreak/>
        <w:t>snapshot features, so “</w:t>
      </w:r>
      <w:proofErr w:type="spellStart"/>
      <w:r w:rsidRPr="004D5BD5">
        <w:rPr>
          <w:rFonts w:ascii="Arial" w:hAnsi="Arial" w:cs="Arial"/>
          <w:color w:val="000000" w:themeColor="text1"/>
          <w:sz w:val="24"/>
          <w:szCs w:val="24"/>
        </w:rPr>
        <w:t>behavioural</w:t>
      </w:r>
      <w:proofErr w:type="spellEnd"/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sequences” cannot be modelled as described without event</w:t>
      </w:r>
      <w:r w:rsidR="004D5BD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>level data.</w:t>
      </w:r>
    </w:p>
    <w:p w14:paraId="3092E356" w14:textId="77777777" w:rsidR="004D5BD5" w:rsidRDefault="00000000" w:rsidP="004D5BD5">
      <w:p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D5BD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“Class imbalance” is overstated for the real problem. 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A 59/41 split is only mildly </w:t>
      </w:r>
      <w:proofErr w:type="gramStart"/>
      <w:r w:rsidRPr="004D5BD5">
        <w:rPr>
          <w:rFonts w:ascii="Arial" w:hAnsi="Arial" w:cs="Arial"/>
          <w:color w:val="000000" w:themeColor="text1"/>
          <w:sz w:val="24"/>
          <w:szCs w:val="24"/>
        </w:rPr>
        <w:t>imbalanced</w:t>
      </w:r>
      <w:r w:rsidR="004D5BD5" w:rsidRPr="004D5BD5">
        <w:rPr>
          <w:rFonts w:ascii="Arial" w:hAnsi="Arial" w:cs="Arial"/>
          <w:color w:val="000000" w:themeColor="text1"/>
          <w:sz w:val="24"/>
          <w:szCs w:val="24"/>
        </w:rPr>
        <w:t>,</w:t>
      </w:r>
      <w:proofErr w:type="gramEnd"/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 the proxy dataset is far more skewed (about 11% positives). This matters for transferring conclusions.</w:t>
      </w:r>
    </w:p>
    <w:p w14:paraId="441A9F1A" w14:textId="33612345" w:rsidR="00F62DA2" w:rsidRPr="00E97C2E" w:rsidRDefault="00000000" w:rsidP="004D5BD5">
      <w:p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Overall assessment: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The problem statement is sensible and appropriately scoped, but needs a precise target definition, a measurable success criterion and better alignment between the “why” it asks and the “what” the models deliver.</w:t>
      </w:r>
    </w:p>
    <w:p w14:paraId="33ACCB1D" w14:textId="77777777" w:rsidR="004D5BD5" w:rsidRDefault="00000000" w:rsidP="004D5BD5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Model choices</w:t>
      </w:r>
    </w:p>
    <w:p w14:paraId="2BF99167" w14:textId="52CD93D2" w:rsidR="00F62DA2" w:rsidRPr="00E97C2E" w:rsidRDefault="00000000" w:rsidP="004D5BD5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Strengths</w:t>
      </w:r>
    </w:p>
    <w:p w14:paraId="204BE720" w14:textId="345D11EB" w:rsidR="00F62DA2" w:rsidRPr="00E97C2E" w:rsidRDefault="00000000" w:rsidP="00E97C2E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E97C2E">
        <w:rPr>
          <w:rFonts w:ascii="Arial" w:hAnsi="Arial" w:cs="Arial"/>
          <w:color w:val="000000" w:themeColor="text1"/>
          <w:sz w:val="24"/>
          <w:szCs w:val="24"/>
        </w:rPr>
        <w:t>XGBoost</w:t>
      </w:r>
      <w:proofErr w:type="spellEnd"/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 and Random Forest are well-established, appropriate choices for tabular binary classification with mixed categorical and numerical </w:t>
      </w:r>
      <w:proofErr w:type="gramStart"/>
      <w:r w:rsidRPr="00E97C2E">
        <w:rPr>
          <w:rFonts w:ascii="Arial" w:hAnsi="Arial" w:cs="Arial"/>
          <w:color w:val="000000" w:themeColor="text1"/>
          <w:sz w:val="24"/>
          <w:szCs w:val="24"/>
        </w:rPr>
        <w:t>data</w:t>
      </w:r>
      <w:proofErr w:type="gramEnd"/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 and both are supported by the SS1/SS2 </w:t>
      </w:r>
      <w:r w:rsidR="004D5BD5">
        <w:rPr>
          <w:rFonts w:ascii="Arial" w:hAnsi="Arial" w:cs="Arial"/>
          <w:color w:val="000000" w:themeColor="text1"/>
          <w:sz w:val="24"/>
          <w:szCs w:val="24"/>
        </w:rPr>
        <w:t>citations.</w:t>
      </w:r>
    </w:p>
    <w:p w14:paraId="1AEE6DC6" w14:textId="7185415B" w:rsidR="00F62DA2" w:rsidRPr="00E97C2E" w:rsidRDefault="00000000" w:rsidP="00E97C2E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Using the UCI Bank Marketing data as a public proxy is a reasonable way to build and test a pipeline before client data is available. The author correctly dropped the duration column, which the UCI documentation flags as leakage and applied SMOTE only to the training set.</w:t>
      </w:r>
    </w:p>
    <w:p w14:paraId="47F612C8" w14:textId="77777777" w:rsidR="00F62DA2" w:rsidRPr="00E97C2E" w:rsidRDefault="00000000" w:rsidP="00E97C2E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Weaknesses and suggestions</w:t>
      </w:r>
    </w:p>
    <w:p w14:paraId="36D732FA" w14:textId="77777777" w:rsidR="004D5BD5" w:rsidRDefault="00000000" w:rsidP="004D5BD5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 simple baseline.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There is no logistic regression or majority-class baseline, even though Moro et al. (2014) compared against logistic regression. Without one, it is impossible to tell how much the ensembles </w:t>
      </w:r>
      <w:r w:rsidR="004D5BD5" w:rsidRPr="00E97C2E">
        <w:rPr>
          <w:rFonts w:ascii="Arial" w:hAnsi="Arial" w:cs="Arial"/>
          <w:color w:val="000000" w:themeColor="text1"/>
          <w:sz w:val="24"/>
          <w:szCs w:val="24"/>
        </w:rPr>
        <w:t>add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53E157D" w14:textId="17D7EA2D" w:rsidR="00F62DA2" w:rsidRPr="004D5BD5" w:rsidRDefault="00000000" w:rsidP="004D5BD5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D5BD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 tuning or validation. 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 xml:space="preserve">Both models use fixed hyperparameters (100 trees; depth 5 versus depth 10) with no cross-validation. The depth difference alone could explain the performance gap, so the comparison is between two </w:t>
      </w:r>
      <w:r w:rsidR="00846271" w:rsidRPr="004D5BD5">
        <w:rPr>
          <w:rFonts w:ascii="Arial" w:hAnsi="Arial" w:cs="Arial"/>
          <w:color w:val="000000" w:themeColor="text1"/>
          <w:sz w:val="24"/>
          <w:szCs w:val="24"/>
        </w:rPr>
        <w:t>configurations</w:t>
      </w:r>
      <w:r w:rsidRPr="004D5BD5">
        <w:rPr>
          <w:rFonts w:ascii="Arial" w:hAnsi="Arial" w:cs="Arial"/>
          <w:color w:val="000000" w:themeColor="text1"/>
          <w:sz w:val="24"/>
          <w:szCs w:val="24"/>
        </w:rPr>
        <w:t>, not between the two algorithms.</w:t>
      </w:r>
    </w:p>
    <w:p w14:paraId="5FA8144B" w14:textId="77777777" w:rsidR="00846271" w:rsidRDefault="00000000" w:rsidP="00846271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Preprocessing choices.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(</w:t>
      </w:r>
      <w:r w:rsidR="00846271">
        <w:rPr>
          <w:rFonts w:ascii="Arial" w:hAnsi="Arial" w:cs="Arial"/>
          <w:color w:val="000000" w:themeColor="text1"/>
          <w:sz w:val="24"/>
          <w:szCs w:val="24"/>
        </w:rPr>
        <w:t>1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) The </w:t>
      </w:r>
      <w:proofErr w:type="spellStart"/>
      <w:r w:rsidRPr="00E97C2E">
        <w:rPr>
          <w:rFonts w:ascii="Arial" w:hAnsi="Arial" w:cs="Arial"/>
          <w:color w:val="000000" w:themeColor="text1"/>
          <w:sz w:val="24"/>
          <w:szCs w:val="24"/>
        </w:rPr>
        <w:t>StandardScaler</w:t>
      </w:r>
      <w:proofErr w:type="spellEnd"/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 is fitted on the full dataset before the train/test split, which is leakage in principle (harmless for trees but incorrect practice). Scaling is also unnecessary for tree models. (</w:t>
      </w:r>
      <w:r w:rsidR="00846271">
        <w:rPr>
          <w:rFonts w:ascii="Arial" w:hAnsi="Arial" w:cs="Arial"/>
          <w:color w:val="000000" w:themeColor="text1"/>
          <w:sz w:val="24"/>
          <w:szCs w:val="24"/>
        </w:rPr>
        <w:t>2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) </w:t>
      </w:r>
      <w:proofErr w:type="spellStart"/>
      <w:r w:rsidRPr="00E97C2E">
        <w:rPr>
          <w:rFonts w:ascii="Arial" w:hAnsi="Arial" w:cs="Arial"/>
          <w:color w:val="000000" w:themeColor="text1"/>
          <w:sz w:val="24"/>
          <w:szCs w:val="24"/>
        </w:rPr>
        <w:t>pdays</w:t>
      </w:r>
      <w:proofErr w:type="spellEnd"/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 = 999 (“never contacted”) is treated as a numeric value. (</w:t>
      </w:r>
      <w:r w:rsidR="00846271">
        <w:rPr>
          <w:rFonts w:ascii="Arial" w:hAnsi="Arial" w:cs="Arial"/>
          <w:color w:val="000000" w:themeColor="text1"/>
          <w:sz w:val="24"/>
          <w:szCs w:val="24"/>
        </w:rPr>
        <w:t>3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) A random split is used, although the data is time-ordered and contains macroeconomic features</w:t>
      </w:r>
      <w:r w:rsidR="00846271">
        <w:rPr>
          <w:rFonts w:ascii="Arial" w:hAnsi="Arial" w:cs="Arial"/>
          <w:color w:val="000000" w:themeColor="text1"/>
          <w:sz w:val="24"/>
          <w:szCs w:val="24"/>
        </w:rPr>
        <w:t>,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 used a time-ordered split and concept drift is listed as a risk in SS1 but never tested.</w:t>
      </w:r>
    </w:p>
    <w:p w14:paraId="3A536ADF" w14:textId="3C1DD603" w:rsidR="00F62DA2" w:rsidRPr="00846271" w:rsidRDefault="00000000" w:rsidP="00846271">
      <w:pPr>
        <w:spacing w:after="80" w:line="360" w:lineRule="auto"/>
        <w:ind w:left="270"/>
        <w:rPr>
          <w:rFonts w:ascii="Arial" w:hAnsi="Arial" w:cs="Arial"/>
          <w:color w:val="000000" w:themeColor="text1"/>
          <w:sz w:val="24"/>
          <w:szCs w:val="24"/>
        </w:rPr>
      </w:pPr>
      <w:r w:rsidRPr="00846271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Overall assessment: </w:t>
      </w:r>
      <w:r w:rsidRPr="00846271">
        <w:rPr>
          <w:rFonts w:ascii="Arial" w:hAnsi="Arial" w:cs="Arial"/>
          <w:color w:val="000000" w:themeColor="text1"/>
          <w:sz w:val="24"/>
          <w:szCs w:val="24"/>
        </w:rPr>
        <w:t>The model families are valid and well justified for the task, but the experimental design does not allow a fair comparison between them. Adding a baseline, matching the imbalance handling, and tuning both models with cross-validation would make the choice defensible.</w:t>
      </w:r>
    </w:p>
    <w:p w14:paraId="2D37B6AB" w14:textId="77777777" w:rsidR="00F62DA2" w:rsidRPr="00E97C2E" w:rsidRDefault="00000000" w:rsidP="00E97C2E">
      <w:pPr>
        <w:pStyle w:val="Heading1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Statistical analysis</w:t>
      </w:r>
    </w:p>
    <w:p w14:paraId="4D6786CD" w14:textId="77777777" w:rsidR="00F62DA2" w:rsidRPr="00E97C2E" w:rsidRDefault="00000000" w:rsidP="00E97C2E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Strengths</w:t>
      </w:r>
    </w:p>
    <w:p w14:paraId="17AB47A8" w14:textId="77777777" w:rsidR="00F62DA2" w:rsidRPr="00E97C2E" w:rsidRDefault="00000000" w:rsidP="00E97C2E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The author correctly argues that accuracy is misleading on imbalanced data and focuses on precision, recall, ROC-AUC and the confusion matrix. All reported figures match the notebook output (</w:t>
      </w:r>
      <w:proofErr w:type="spellStart"/>
      <w:r w:rsidRPr="00E97C2E">
        <w:rPr>
          <w:rFonts w:ascii="Arial" w:hAnsi="Arial" w:cs="Arial"/>
          <w:color w:val="000000" w:themeColor="text1"/>
          <w:sz w:val="24"/>
          <w:szCs w:val="24"/>
        </w:rPr>
        <w:t>XGBoost</w:t>
      </w:r>
      <w:proofErr w:type="spellEnd"/>
      <w:r w:rsidRPr="00E97C2E">
        <w:rPr>
          <w:rFonts w:ascii="Arial" w:hAnsi="Arial" w:cs="Arial"/>
          <w:color w:val="000000" w:themeColor="text1"/>
          <w:sz w:val="24"/>
          <w:szCs w:val="24"/>
        </w:rPr>
        <w:t>: accuracy 0.8852, recall 0.51, ROC-AUC 0.7994; Random Forest: accuracy 0.8674, recall 0.62, ROC-AUC 0.8077).</w:t>
      </w:r>
    </w:p>
    <w:p w14:paraId="20E8C210" w14:textId="2CA0AD4D" w:rsidR="00F62DA2" w:rsidRPr="00E97C2E" w:rsidRDefault="00000000" w:rsidP="00E97C2E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The trade-off between false negatives and false positives is clearly discussed and the SS2 sensibly proposes threshold tuning and SMOTE-ENN as next steps.</w:t>
      </w:r>
    </w:p>
    <w:p w14:paraId="1C69A4F9" w14:textId="77777777" w:rsidR="00F62DA2" w:rsidRPr="00E97C2E" w:rsidRDefault="00000000" w:rsidP="00E97C2E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color w:val="000000" w:themeColor="text1"/>
          <w:sz w:val="24"/>
          <w:szCs w:val="24"/>
        </w:rPr>
        <w:t>Weaknesses and suggestions</w:t>
      </w:r>
    </w:p>
    <w:p w14:paraId="1BEAB109" w14:textId="6C3252E6" w:rsidR="00F62DA2" w:rsidRPr="00E97C2E" w:rsidRDefault="00000000" w:rsidP="00E97C2E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>Both models are below the naive baseline on accuracy</w:t>
      </w:r>
      <w:r w:rsidR="00A9289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-</w:t>
      </w: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Predicting “no” for every test client gives 10,965 / 12,357 = 88.7% accuracy, higher than both models. This strengthens the author’s point about accuracy.</w:t>
      </w:r>
    </w:p>
    <w:p w14:paraId="1596722D" w14:textId="4DA03259" w:rsidR="00F62DA2" w:rsidRPr="00E97C2E" w:rsidRDefault="00000000" w:rsidP="00E97C2E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“Statistically superior” is not tested.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The conclusion rests on a single 70/30 split and an AUC difference of 0.008. No confidence intervals, cross-validation scores, bootstrap or DeLong test are reported, so we cannot tell whether the difference is real or due to the </w:t>
      </w:r>
      <w:r w:rsidR="00A9289B" w:rsidRPr="00E97C2E">
        <w:rPr>
          <w:rFonts w:ascii="Arial" w:hAnsi="Arial" w:cs="Arial"/>
          <w:color w:val="000000" w:themeColor="text1"/>
          <w:sz w:val="24"/>
          <w:szCs w:val="24"/>
        </w:rPr>
        <w:t>split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>. Repeated stratified k-fold CV with a paired test (or a DeLong test on AUC) is needed before claiming superiority.</w:t>
      </w:r>
    </w:p>
    <w:p w14:paraId="57D5566E" w14:textId="7D290BE3" w:rsidR="00F62DA2" w:rsidRPr="00A9289B" w:rsidRDefault="00000000" w:rsidP="00A9289B">
      <w:pPr>
        <w:pStyle w:val="ListParagraph"/>
        <w:numPr>
          <w:ilvl w:val="0"/>
          <w:numId w:val="2"/>
        </w:num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97C2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 cost-based evaluation. 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The memo argues that false negatives cost more than false </w:t>
      </w:r>
      <w:r w:rsidR="00846271" w:rsidRPr="00E97C2E">
        <w:rPr>
          <w:rFonts w:ascii="Arial" w:hAnsi="Arial" w:cs="Arial"/>
          <w:color w:val="000000" w:themeColor="text1"/>
          <w:sz w:val="24"/>
          <w:szCs w:val="24"/>
        </w:rPr>
        <w:t>positives but</w:t>
      </w:r>
      <w:r w:rsidRPr="00E97C2E">
        <w:rPr>
          <w:rFonts w:ascii="Arial" w:hAnsi="Arial" w:cs="Arial"/>
          <w:color w:val="000000" w:themeColor="text1"/>
          <w:sz w:val="24"/>
          <w:szCs w:val="24"/>
        </w:rPr>
        <w:t xml:space="preserve"> never quantifies this. Since the brief gives R180 per acquisition, an expected-cost or profit curve would directly answer the business question.</w:t>
      </w:r>
    </w:p>
    <w:p w14:paraId="0114AE41" w14:textId="2AB9EE3D" w:rsidR="00F62DA2" w:rsidRPr="00846271" w:rsidRDefault="00000000" w:rsidP="00846271">
      <w:pPr>
        <w:spacing w:after="8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4627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Overall assessment: </w:t>
      </w:r>
      <w:r w:rsidRPr="00846271">
        <w:rPr>
          <w:rFonts w:ascii="Arial" w:hAnsi="Arial" w:cs="Arial"/>
          <w:color w:val="000000" w:themeColor="text1"/>
          <w:sz w:val="24"/>
          <w:szCs w:val="24"/>
        </w:rPr>
        <w:t>The choice of metrics is appropriate and the reporting is accurate, but the analysis is not yet methodologically sound enough to support the conclusion that Random Forest is “statistically superior</w:t>
      </w:r>
      <w:proofErr w:type="gramStart"/>
      <w:r w:rsidRPr="00846271">
        <w:rPr>
          <w:rFonts w:ascii="Arial" w:hAnsi="Arial" w:cs="Arial"/>
          <w:color w:val="000000" w:themeColor="text1"/>
          <w:sz w:val="24"/>
          <w:szCs w:val="24"/>
        </w:rPr>
        <w:t>”</w:t>
      </w:r>
      <w:proofErr w:type="gramEnd"/>
      <w:r w:rsidRPr="00846271">
        <w:rPr>
          <w:rFonts w:ascii="Arial" w:hAnsi="Arial" w:cs="Arial"/>
          <w:color w:val="000000" w:themeColor="text1"/>
          <w:sz w:val="24"/>
          <w:szCs w:val="24"/>
        </w:rPr>
        <w:t xml:space="preserve"> and it does not address the explanatory question in the problem statement. Cross-validated comparison with </w:t>
      </w:r>
      <w:r w:rsidRPr="00846271">
        <w:rPr>
          <w:rFonts w:ascii="Arial" w:hAnsi="Arial" w:cs="Arial"/>
          <w:color w:val="000000" w:themeColor="text1"/>
          <w:sz w:val="24"/>
          <w:szCs w:val="24"/>
        </w:rPr>
        <w:lastRenderedPageBreak/>
        <w:t>significance testing, PR-AUC/cost-based evaluation and a feature-importance analysis would close these gaps.</w:t>
      </w:r>
    </w:p>
    <w:p w14:paraId="4A12DBE8" w14:textId="2E5C9500" w:rsidR="00F62DA2" w:rsidRPr="00E97C2E" w:rsidRDefault="00F62DA2" w:rsidP="00E97C2E">
      <w:pPr>
        <w:spacing w:after="12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sectPr w:rsidR="00F62DA2" w:rsidRPr="00E97C2E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C8645D"/>
    <w:multiLevelType w:val="hybridMultilevel"/>
    <w:tmpl w:val="154C8A0C"/>
    <w:lvl w:ilvl="0" w:tplc="762272E2">
      <w:start w:val="1"/>
      <w:numFmt w:val="bullet"/>
      <w:lvlText w:val="•"/>
      <w:lvlJc w:val="left"/>
      <w:pPr>
        <w:ind w:left="540" w:hanging="270"/>
      </w:pPr>
    </w:lvl>
    <w:lvl w:ilvl="1" w:tplc="DC0E8A1C">
      <w:numFmt w:val="decimal"/>
      <w:lvlText w:val=""/>
      <w:lvlJc w:val="left"/>
    </w:lvl>
    <w:lvl w:ilvl="2" w:tplc="D396AABE">
      <w:numFmt w:val="decimal"/>
      <w:lvlText w:val=""/>
      <w:lvlJc w:val="left"/>
    </w:lvl>
    <w:lvl w:ilvl="3" w:tplc="D130CC1C">
      <w:numFmt w:val="decimal"/>
      <w:lvlText w:val=""/>
      <w:lvlJc w:val="left"/>
    </w:lvl>
    <w:lvl w:ilvl="4" w:tplc="D77AE6BA">
      <w:numFmt w:val="decimal"/>
      <w:lvlText w:val=""/>
      <w:lvlJc w:val="left"/>
    </w:lvl>
    <w:lvl w:ilvl="5" w:tplc="2BBE5DB6">
      <w:numFmt w:val="decimal"/>
      <w:lvlText w:val=""/>
      <w:lvlJc w:val="left"/>
    </w:lvl>
    <w:lvl w:ilvl="6" w:tplc="99C2452C">
      <w:numFmt w:val="decimal"/>
      <w:lvlText w:val=""/>
      <w:lvlJc w:val="left"/>
    </w:lvl>
    <w:lvl w:ilvl="7" w:tplc="250E13E2">
      <w:numFmt w:val="decimal"/>
      <w:lvlText w:val=""/>
      <w:lvlJc w:val="left"/>
    </w:lvl>
    <w:lvl w:ilvl="8" w:tplc="02303DC2">
      <w:numFmt w:val="decimal"/>
      <w:lvlText w:val=""/>
      <w:lvlJc w:val="left"/>
    </w:lvl>
  </w:abstractNum>
  <w:abstractNum w:abstractNumId="1" w15:restartNumberingAfterBreak="0">
    <w:nsid w:val="708912C2"/>
    <w:multiLevelType w:val="hybridMultilevel"/>
    <w:tmpl w:val="58E81CC2"/>
    <w:lvl w:ilvl="0" w:tplc="C6AE94B2" w:tentative="1">
      <w:start w:val="1"/>
      <w:numFmt w:val="bullet"/>
      <w:lvlText w:val="●"/>
      <w:lvlJc w:val="left"/>
      <w:pPr>
        <w:ind w:left="720" w:hanging="360"/>
      </w:pPr>
    </w:lvl>
    <w:lvl w:ilvl="1" w:tplc="EBFCB74A" w:tentative="1">
      <w:start w:val="1"/>
      <w:numFmt w:val="bullet"/>
      <w:lvlText w:val="○"/>
      <w:lvlJc w:val="left"/>
      <w:pPr>
        <w:ind w:left="1440" w:hanging="360"/>
      </w:pPr>
    </w:lvl>
    <w:lvl w:ilvl="2" w:tplc="049E6DE4" w:tentative="1">
      <w:start w:val="1"/>
      <w:numFmt w:val="bullet"/>
      <w:lvlText w:val="■"/>
      <w:lvlJc w:val="left"/>
      <w:pPr>
        <w:ind w:left="2160" w:hanging="360"/>
      </w:pPr>
    </w:lvl>
    <w:lvl w:ilvl="3" w:tplc="3FB2230A" w:tentative="1">
      <w:start w:val="1"/>
      <w:numFmt w:val="bullet"/>
      <w:lvlText w:val="●"/>
      <w:lvlJc w:val="left"/>
      <w:pPr>
        <w:ind w:left="2880" w:hanging="360"/>
      </w:pPr>
    </w:lvl>
    <w:lvl w:ilvl="4" w:tplc="90802004" w:tentative="1">
      <w:start w:val="1"/>
      <w:numFmt w:val="bullet"/>
      <w:lvlText w:val="○"/>
      <w:lvlJc w:val="left"/>
      <w:pPr>
        <w:ind w:left="3600" w:hanging="360"/>
      </w:pPr>
    </w:lvl>
    <w:lvl w:ilvl="5" w:tplc="933855E6" w:tentative="1">
      <w:start w:val="1"/>
      <w:numFmt w:val="bullet"/>
      <w:lvlText w:val="■"/>
      <w:lvlJc w:val="left"/>
      <w:pPr>
        <w:ind w:left="4320" w:hanging="360"/>
      </w:pPr>
    </w:lvl>
    <w:lvl w:ilvl="6" w:tplc="E85CADFA" w:tentative="1">
      <w:start w:val="1"/>
      <w:numFmt w:val="bullet"/>
      <w:lvlText w:val="●"/>
      <w:lvlJc w:val="left"/>
      <w:pPr>
        <w:ind w:left="5040" w:hanging="360"/>
      </w:pPr>
    </w:lvl>
    <w:lvl w:ilvl="7" w:tplc="C3AAD53A" w:tentative="1">
      <w:start w:val="1"/>
      <w:numFmt w:val="bullet"/>
      <w:lvlText w:val="●"/>
      <w:lvlJc w:val="left"/>
      <w:pPr>
        <w:ind w:left="5760" w:hanging="360"/>
      </w:pPr>
    </w:lvl>
    <w:lvl w:ilvl="8" w:tplc="AC94547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54430135">
    <w:abstractNumId w:val="1"/>
    <w:lvlOverride w:ilvl="0">
      <w:startOverride w:val="1"/>
    </w:lvlOverride>
  </w:num>
  <w:num w:numId="2" w16cid:durableId="96751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DA2"/>
    <w:rsid w:val="00182B41"/>
    <w:rsid w:val="002307AF"/>
    <w:rsid w:val="004D5BD5"/>
    <w:rsid w:val="00846271"/>
    <w:rsid w:val="00A9289B"/>
    <w:rsid w:val="00C808C0"/>
    <w:rsid w:val="00E97C2E"/>
    <w:rsid w:val="00EF5AB0"/>
    <w:rsid w:val="00F6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FE14F"/>
  <w15:docId w15:val="{31BE8764-57EA-7C45-896F-F43D7DF9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2" w:color="2E5C8A"/>
      </w:pBdr>
      <w:spacing w:before="280" w:after="120"/>
      <w:outlineLvl w:val="0"/>
    </w:pPr>
    <w:rPr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80"/>
      <w:outlineLvl w:val="1"/>
    </w:pPr>
    <w:rPr>
      <w:b/>
      <w:bCs/>
      <w:color w:val="2E5C8A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andu16/capstone-predictive-eng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APHELELE VALENTINE TWELE</cp:lastModifiedBy>
  <cp:revision>2</cp:revision>
  <dcterms:created xsi:type="dcterms:W3CDTF">2026-10-26T18:39:00Z</dcterms:created>
  <dcterms:modified xsi:type="dcterms:W3CDTF">2026-10-26T18:39:00Z</dcterms:modified>
</cp:coreProperties>
</file>