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1.Shopping for a hand pump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-What is the size of the fitting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Shop for liquid nitrogen - Where do we get it? How much do we need? How much does it cost?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 We need a pressure relief valve (research connections for PRV and fill ports) , check liquid engine test stand github repo for part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METLBOND properties (LOX compatibility)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Email Tae Kyu and set up a date for tensile test: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Shop for PTFE seal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 Get prices for aluminum and machining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 We need a mandrel (mating ring/endcap dimensions)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tl w:val="0"/>
      </w:rPr>
      <w:t xml:space="preserve">To 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