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Oregon Space Grant Paper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http://spacegrant.oregonstate.edu/student-research-projects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-We need to start writing (due Jan. 13)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-We need to come up budget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-materials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-AIAA registration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-Faculty support options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-Gerry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-Weislogel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-Raul Cal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-Andrew (if necessary)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-Wern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We should write the faculty support letter.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Material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Find pricing for liner test materials: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-PTFE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-ETFE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-PET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-cryogel as an insulation layer/barrier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-We can create test strips to test adhesion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Design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We have to figure out an endcap design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-does it depend on the material we select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Schedules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-Enter winter term weekly schedule into google sheet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