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7EE8A" w14:textId="7481B390" w:rsidR="00CA76CB" w:rsidRDefault="008B7EB2" w:rsidP="008B6524">
      <w:pPr>
        <w:pStyle w:val="Author"/>
        <w:spacing w:before="100" w:beforeAutospacing="1" w:after="100" w:afterAutospacing="1"/>
        <w:rPr>
          <w:rFonts w:eastAsia="MS Mincho"/>
          <w:kern w:val="48"/>
          <w:sz w:val="48"/>
          <w:szCs w:val="48"/>
        </w:rPr>
      </w:pPr>
      <w:bookmarkStart w:id="0" w:name="_Hlk195741899"/>
      <w:r w:rsidRPr="008B7EB2">
        <w:rPr>
          <w:rFonts w:eastAsia="MS Mincho"/>
          <w:kern w:val="48"/>
          <w:sz w:val="48"/>
          <w:szCs w:val="48"/>
        </w:rPr>
        <w:t>Cost‑Sensitive Genetic‑Algorithm Optimi</w:t>
      </w:r>
      <w:r w:rsidR="0023639F">
        <w:rPr>
          <w:rFonts w:eastAsia="MS Mincho"/>
          <w:kern w:val="48"/>
          <w:sz w:val="48"/>
          <w:szCs w:val="48"/>
        </w:rPr>
        <w:t>z</w:t>
      </w:r>
      <w:r w:rsidRPr="008B7EB2">
        <w:rPr>
          <w:rFonts w:eastAsia="MS Mincho"/>
          <w:kern w:val="48"/>
          <w:sz w:val="48"/>
          <w:szCs w:val="48"/>
        </w:rPr>
        <w:t>ation of Statistical Process Control Limits: An Industrial Case Study</w:t>
      </w:r>
      <w:r w:rsidR="00CA76CB" w:rsidRPr="00CA76CB">
        <w:rPr>
          <w:rFonts w:eastAsia="MS Mincho"/>
          <w:kern w:val="48"/>
          <w:sz w:val="48"/>
          <w:szCs w:val="48"/>
        </w:rPr>
        <w:t xml:space="preserve"> </w:t>
      </w:r>
    </w:p>
    <w:p w14:paraId="1F960E65" w14:textId="77777777" w:rsidR="00D7522C" w:rsidRPr="00977E70" w:rsidRDefault="00D7522C" w:rsidP="00CA4392">
      <w:pPr>
        <w:pStyle w:val="Author"/>
        <w:spacing w:before="100" w:beforeAutospacing="1" w:after="100" w:afterAutospacing="1" w:line="120" w:lineRule="auto"/>
        <w:rPr>
          <w:color w:val="FFFFFF" w:themeColor="background1"/>
          <w:sz w:val="16"/>
          <w:szCs w:val="16"/>
        </w:rPr>
        <w:sectPr w:rsidR="00D7522C" w:rsidRPr="00977E70" w:rsidSect="003B4E04">
          <w:footerReference w:type="first" r:id="rId8"/>
          <w:pgSz w:w="11906" w:h="16838" w:code="9"/>
          <w:pgMar w:top="540" w:right="893" w:bottom="1440" w:left="893" w:header="720" w:footer="720" w:gutter="0"/>
          <w:cols w:space="720"/>
          <w:titlePg/>
          <w:docGrid w:linePitch="360"/>
        </w:sectPr>
      </w:pPr>
    </w:p>
    <w:p w14:paraId="1A64AFA5" w14:textId="77777777" w:rsidR="00D31E18" w:rsidRDefault="00D31E18" w:rsidP="00096E75">
      <w:pPr>
        <w:pStyle w:val="Author"/>
        <w:spacing w:before="100" w:beforeAutospacing="1"/>
        <w:rPr>
          <w:b/>
          <w:bCs/>
          <w:sz w:val="20"/>
          <w:szCs w:val="20"/>
        </w:rPr>
      </w:pPr>
    </w:p>
    <w:p w14:paraId="1501B42E" w14:textId="0B05A4CD" w:rsidR="00D31E18" w:rsidRDefault="008818FF" w:rsidP="00096E75">
      <w:pPr>
        <w:pStyle w:val="Author"/>
        <w:spacing w:before="100" w:beforeAutospacing="1"/>
        <w:rPr>
          <w:sz w:val="18"/>
          <w:szCs w:val="18"/>
        </w:rPr>
      </w:pPr>
      <w:r w:rsidRPr="008818FF">
        <w:rPr>
          <w:b/>
          <w:bCs/>
          <w:sz w:val="20"/>
          <w:szCs w:val="20"/>
        </w:rPr>
        <w:t>Sakao Phoochaijaroen</w:t>
      </w:r>
      <w:r w:rsidR="00D31E18" w:rsidRPr="00F847A6">
        <w:rPr>
          <w:sz w:val="18"/>
          <w:szCs w:val="18"/>
        </w:rPr>
        <w:br/>
      </w:r>
      <w:r w:rsidR="00D31E18" w:rsidRPr="00096E75">
        <w:rPr>
          <w:sz w:val="18"/>
          <w:szCs w:val="18"/>
        </w:rPr>
        <w:t xml:space="preserve">School of </w:t>
      </w:r>
      <w:r w:rsidR="00D31E18" w:rsidRPr="00CA76CB">
        <w:rPr>
          <w:sz w:val="18"/>
          <w:szCs w:val="18"/>
        </w:rPr>
        <w:t>Electrical and Computer</w:t>
      </w:r>
      <w:r w:rsidR="00D31E18" w:rsidRPr="00096E75">
        <w:rPr>
          <w:sz w:val="18"/>
          <w:szCs w:val="18"/>
        </w:rPr>
        <w:t xml:space="preserve"> Engineering </w:t>
      </w:r>
      <w:r w:rsidR="00D31E18" w:rsidRPr="00F847A6">
        <w:rPr>
          <w:sz w:val="18"/>
          <w:szCs w:val="18"/>
        </w:rPr>
        <w:br/>
      </w:r>
      <w:r w:rsidR="00D31E18" w:rsidRPr="00096E75">
        <w:rPr>
          <w:sz w:val="18"/>
          <w:szCs w:val="18"/>
        </w:rPr>
        <w:t>Suranaree University of Technology</w:t>
      </w:r>
      <w:r w:rsidR="00D31E18">
        <w:rPr>
          <w:i/>
          <w:sz w:val="18"/>
          <w:szCs w:val="18"/>
        </w:rPr>
        <w:br/>
      </w:r>
      <w:r w:rsidR="00590D36" w:rsidRPr="00590D36">
        <w:rPr>
          <w:sz w:val="18"/>
          <w:szCs w:val="18"/>
        </w:rPr>
        <w:t>Nakhon Ratchasima</w:t>
      </w:r>
      <w:r w:rsidR="00D31E18" w:rsidRPr="00F847A6">
        <w:rPr>
          <w:sz w:val="18"/>
          <w:szCs w:val="18"/>
        </w:rPr>
        <w:t xml:space="preserve">, </w:t>
      </w:r>
      <w:r w:rsidR="00D31E18">
        <w:rPr>
          <w:sz w:val="18"/>
          <w:szCs w:val="18"/>
        </w:rPr>
        <w:t>Thailand</w:t>
      </w:r>
      <w:r w:rsidR="00D31E18" w:rsidRPr="00F847A6">
        <w:rPr>
          <w:sz w:val="18"/>
          <w:szCs w:val="18"/>
        </w:rPr>
        <w:br/>
      </w:r>
      <w:r w:rsidR="00F131FA">
        <w:rPr>
          <w:sz w:val="18"/>
          <w:szCs w:val="18"/>
        </w:rPr>
        <w:t>D</w:t>
      </w:r>
      <w:r w:rsidR="00582818" w:rsidRPr="00582818">
        <w:rPr>
          <w:sz w:val="18"/>
          <w:szCs w:val="18"/>
        </w:rPr>
        <w:t>6700973@office365.sut.ac.th</w:t>
      </w:r>
      <w:r w:rsidR="007B6DDA">
        <w:rPr>
          <w:i/>
          <w:sz w:val="18"/>
          <w:szCs w:val="18"/>
        </w:rPr>
        <w:br/>
      </w:r>
      <w:r w:rsidR="00447BB9" w:rsidRPr="00F847A6">
        <w:rPr>
          <w:i/>
          <w:sz w:val="18"/>
          <w:szCs w:val="18"/>
        </w:rPr>
        <w:br/>
      </w:r>
      <w:r w:rsidR="00BD670B">
        <w:rPr>
          <w:sz w:val="18"/>
          <w:szCs w:val="18"/>
        </w:rPr>
        <w:br w:type="column"/>
      </w:r>
    </w:p>
    <w:p w14:paraId="1FCCE042" w14:textId="4CF9EBBA" w:rsidR="001A3B3D" w:rsidRPr="00F847A6" w:rsidRDefault="00096E75" w:rsidP="00096E75">
      <w:pPr>
        <w:pStyle w:val="Author"/>
        <w:spacing w:before="100" w:beforeAutospacing="1"/>
        <w:rPr>
          <w:sz w:val="18"/>
          <w:szCs w:val="18"/>
        </w:rPr>
      </w:pPr>
      <w:r w:rsidRPr="00CA76CB">
        <w:rPr>
          <w:b/>
          <w:bCs/>
          <w:sz w:val="20"/>
          <w:szCs w:val="20"/>
        </w:rPr>
        <w:t>Aphiwat Deelom</w:t>
      </w:r>
      <w:r w:rsidR="001A3B3D" w:rsidRPr="00F847A6">
        <w:rPr>
          <w:sz w:val="18"/>
          <w:szCs w:val="18"/>
        </w:rPr>
        <w:br/>
      </w:r>
      <w:r w:rsidRPr="00096E75">
        <w:rPr>
          <w:sz w:val="18"/>
          <w:szCs w:val="18"/>
        </w:rPr>
        <w:t xml:space="preserve">School of </w:t>
      </w:r>
      <w:r w:rsidR="00CA76CB" w:rsidRPr="00CA76CB">
        <w:rPr>
          <w:sz w:val="18"/>
          <w:szCs w:val="18"/>
        </w:rPr>
        <w:t>Electrical and Computer</w:t>
      </w:r>
      <w:r w:rsidRPr="00096E75">
        <w:rPr>
          <w:sz w:val="18"/>
          <w:szCs w:val="18"/>
        </w:rPr>
        <w:t xml:space="preserve"> Engineering </w:t>
      </w:r>
      <w:r w:rsidR="001A3B3D" w:rsidRPr="00F847A6">
        <w:rPr>
          <w:sz w:val="18"/>
          <w:szCs w:val="18"/>
        </w:rPr>
        <w:br/>
      </w:r>
      <w:r w:rsidRPr="00096E75">
        <w:rPr>
          <w:sz w:val="18"/>
          <w:szCs w:val="18"/>
        </w:rPr>
        <w:t>Suranaree University of Technology</w:t>
      </w:r>
      <w:r w:rsidR="007B6DDA">
        <w:rPr>
          <w:i/>
          <w:sz w:val="18"/>
          <w:szCs w:val="18"/>
        </w:rPr>
        <w:br/>
      </w:r>
      <w:r w:rsidR="00590D36" w:rsidRPr="00590D36">
        <w:rPr>
          <w:sz w:val="18"/>
          <w:szCs w:val="18"/>
        </w:rPr>
        <w:t>Nakhon Ratchasima</w:t>
      </w:r>
      <w:r w:rsidR="001A3B3D" w:rsidRPr="00F847A6">
        <w:rPr>
          <w:sz w:val="18"/>
          <w:szCs w:val="18"/>
        </w:rPr>
        <w:t xml:space="preserve">, </w:t>
      </w:r>
      <w:r>
        <w:rPr>
          <w:sz w:val="18"/>
          <w:szCs w:val="18"/>
        </w:rPr>
        <w:t>Thailand</w:t>
      </w:r>
      <w:r w:rsidR="001A3B3D" w:rsidRPr="00F847A6">
        <w:rPr>
          <w:sz w:val="18"/>
          <w:szCs w:val="18"/>
        </w:rPr>
        <w:br/>
      </w:r>
      <w:r w:rsidR="00F131FA" w:rsidRPr="00F131FA">
        <w:rPr>
          <w:sz w:val="18"/>
          <w:szCs w:val="18"/>
        </w:rPr>
        <w:t>M6702137</w:t>
      </w:r>
      <w:r w:rsidR="00F84727" w:rsidRPr="00F84727">
        <w:rPr>
          <w:sz w:val="18"/>
          <w:szCs w:val="18"/>
        </w:rPr>
        <w:t>@office365.sut.ac.th</w:t>
      </w:r>
    </w:p>
    <w:p w14:paraId="11C3FF66" w14:textId="120EF1BB" w:rsidR="00096E75" w:rsidRDefault="00BD670B" w:rsidP="00096E75">
      <w:pPr>
        <w:pStyle w:val="Author"/>
        <w:spacing w:before="100" w:beforeAutospacing="1"/>
        <w:rPr>
          <w:i/>
          <w:sz w:val="18"/>
          <w:szCs w:val="18"/>
        </w:rPr>
      </w:pPr>
      <w:r>
        <w:rPr>
          <w:sz w:val="18"/>
          <w:szCs w:val="18"/>
        </w:rPr>
        <w:br w:type="column"/>
      </w:r>
      <w:r w:rsidR="00D31E18" w:rsidRPr="00F847A6">
        <w:rPr>
          <w:sz w:val="18"/>
          <w:szCs w:val="18"/>
        </w:rPr>
        <w:t xml:space="preserve"> </w:t>
      </w:r>
      <w:r w:rsidR="00D31E18" w:rsidRPr="00F847A6">
        <w:rPr>
          <w:sz w:val="18"/>
          <w:szCs w:val="18"/>
        </w:rPr>
        <w:br/>
      </w:r>
      <w:r w:rsidR="00F84727" w:rsidRPr="00F84727">
        <w:rPr>
          <w:b/>
          <w:bCs/>
          <w:sz w:val="20"/>
          <w:szCs w:val="20"/>
        </w:rPr>
        <w:t>Peerapat Phattaramethathorn</w:t>
      </w:r>
      <w:r w:rsidR="00D31E18" w:rsidRPr="00096E75">
        <w:rPr>
          <w:sz w:val="18"/>
          <w:szCs w:val="18"/>
        </w:rPr>
        <w:t xml:space="preserve"> </w:t>
      </w:r>
      <w:r w:rsidR="00D31E18">
        <w:rPr>
          <w:sz w:val="18"/>
          <w:szCs w:val="18"/>
        </w:rPr>
        <w:t xml:space="preserve">                     </w:t>
      </w:r>
      <w:r w:rsidR="00D31E18" w:rsidRPr="00096E75">
        <w:rPr>
          <w:sz w:val="18"/>
          <w:szCs w:val="18"/>
        </w:rPr>
        <w:t xml:space="preserve">School of </w:t>
      </w:r>
      <w:r w:rsidR="00D31E18" w:rsidRPr="00CA76CB">
        <w:rPr>
          <w:sz w:val="18"/>
          <w:szCs w:val="18"/>
        </w:rPr>
        <w:t>Electrical and Computer</w:t>
      </w:r>
      <w:r w:rsidR="00D31E18" w:rsidRPr="00096E75">
        <w:rPr>
          <w:sz w:val="18"/>
          <w:szCs w:val="18"/>
        </w:rPr>
        <w:t xml:space="preserve"> Engineering </w:t>
      </w:r>
      <w:r w:rsidR="00D31E18" w:rsidRPr="00F847A6">
        <w:rPr>
          <w:sz w:val="18"/>
          <w:szCs w:val="18"/>
        </w:rPr>
        <w:br/>
      </w:r>
      <w:r w:rsidR="00D31E18" w:rsidRPr="00096E75">
        <w:rPr>
          <w:sz w:val="18"/>
          <w:szCs w:val="18"/>
        </w:rPr>
        <w:t>Suranaree University of Technology</w:t>
      </w:r>
      <w:r w:rsidR="00D31E18">
        <w:rPr>
          <w:i/>
          <w:sz w:val="18"/>
          <w:szCs w:val="18"/>
        </w:rPr>
        <w:br/>
      </w:r>
      <w:r w:rsidR="00590D36" w:rsidRPr="00590D36">
        <w:rPr>
          <w:sz w:val="18"/>
          <w:szCs w:val="18"/>
        </w:rPr>
        <w:t>Nakhon Ratchasima</w:t>
      </w:r>
      <w:r w:rsidR="00D31E18" w:rsidRPr="00F847A6">
        <w:rPr>
          <w:sz w:val="18"/>
          <w:szCs w:val="18"/>
        </w:rPr>
        <w:t xml:space="preserve">, </w:t>
      </w:r>
      <w:r w:rsidR="00D31E18">
        <w:rPr>
          <w:sz w:val="18"/>
          <w:szCs w:val="18"/>
        </w:rPr>
        <w:t>Thailand</w:t>
      </w:r>
      <w:r w:rsidR="00D31E18" w:rsidRPr="00F847A6">
        <w:rPr>
          <w:sz w:val="18"/>
          <w:szCs w:val="18"/>
        </w:rPr>
        <w:br/>
      </w:r>
      <w:r w:rsidR="00F131FA">
        <w:rPr>
          <w:sz w:val="18"/>
          <w:szCs w:val="18"/>
        </w:rPr>
        <w:t>M</w:t>
      </w:r>
      <w:r w:rsidR="00F84727" w:rsidRPr="00F84727">
        <w:rPr>
          <w:sz w:val="18"/>
          <w:szCs w:val="18"/>
        </w:rPr>
        <w:t>6702212@office365.sut.ac.th</w:t>
      </w:r>
    </w:p>
    <w:p w14:paraId="0316535E" w14:textId="71E16012" w:rsidR="009F1D79" w:rsidRDefault="009F1D79" w:rsidP="00977E70">
      <w:pPr>
        <w:pStyle w:val="Author"/>
        <w:spacing w:before="100" w:beforeAutospacing="1"/>
        <w:sectPr w:rsidR="009F1D79" w:rsidSect="003B4E04">
          <w:type w:val="continuous"/>
          <w:pgSz w:w="11906" w:h="16838" w:code="9"/>
          <w:pgMar w:top="450" w:right="893" w:bottom="1440" w:left="893" w:header="720" w:footer="720" w:gutter="0"/>
          <w:cols w:num="3" w:space="720"/>
          <w:docGrid w:linePitch="360"/>
        </w:sectPr>
      </w:pPr>
    </w:p>
    <w:p w14:paraId="0A88E65D" w14:textId="77777777" w:rsidR="009303D9" w:rsidRPr="0023639F" w:rsidRDefault="00BD670B" w:rsidP="00B51F04">
      <w:pPr>
        <w:rPr>
          <w:rFonts w:cstheme="minorBidi"/>
          <w:szCs w:val="25"/>
          <w:cs/>
          <w:lang w:bidi="th-TH"/>
        </w:rPr>
        <w:sectPr w:rsidR="009303D9" w:rsidRPr="0023639F" w:rsidSect="003B4E04">
          <w:type w:val="continuous"/>
          <w:pgSz w:w="11906" w:h="16838" w:code="9"/>
          <w:pgMar w:top="450" w:right="893" w:bottom="1440" w:left="893" w:header="720" w:footer="720" w:gutter="0"/>
          <w:cols w:num="3" w:space="720"/>
          <w:docGrid w:linePitch="360"/>
        </w:sectPr>
      </w:pPr>
      <w:r>
        <w:br w:type="column"/>
      </w:r>
    </w:p>
    <w:p w14:paraId="3CFADE08" w14:textId="795E7855" w:rsidR="00955103" w:rsidRDefault="009303D9" w:rsidP="00B51F04">
      <w:pPr>
        <w:pStyle w:val="Abstract"/>
        <w:jc w:val="thaiDistribute"/>
        <w:rPr>
          <w:rFonts w:cstheme="minorBidi"/>
          <w:szCs w:val="22"/>
          <w:lang w:bidi="th-TH"/>
        </w:rPr>
      </w:pPr>
      <w:r>
        <w:rPr>
          <w:i/>
          <w:iCs/>
        </w:rPr>
        <w:t>Abstract</w:t>
      </w:r>
      <w:r>
        <w:t>—</w:t>
      </w:r>
      <w:r w:rsidR="00334189" w:rsidRPr="00334189">
        <w:t xml:space="preserve"> </w:t>
      </w:r>
      <w:r w:rsidR="005463B0" w:rsidRPr="005463B0">
        <w:t>The traditional Three-Sigma</w:t>
      </w:r>
      <w:r w:rsidR="005463B0">
        <w:t xml:space="preserve"> </w:t>
      </w:r>
      <w:r w:rsidR="00955103" w:rsidRPr="00955103">
        <w:t>(</w:t>
      </w:r>
      <w:bookmarkStart w:id="1" w:name="_Hlk195745284"/>
      <w:r w:rsidR="00955103" w:rsidRPr="00955103">
        <w:t>±3σ</w:t>
      </w:r>
      <w:bookmarkEnd w:id="1"/>
      <w:r w:rsidR="00955103" w:rsidRPr="00955103">
        <w:t>)</w:t>
      </w:r>
      <w:r w:rsidR="00955103">
        <w:t xml:space="preserve"> </w:t>
      </w:r>
      <w:r w:rsidR="00FD6F2C" w:rsidRPr="00FD6F2C">
        <w:t>heuristic employed in Statistical Process Control (SPC) does not explicitly account for the asymmetric economic consequences associated with false positives (FPs) and false negatives (FNs). This study reformulates control-limit placement for Shewhart X-bar charts as a single-parameter cost-minimization problem and solves it by means of a real-coded genetic algorithm (GA). The GA determines the coefficient</w:t>
      </w:r>
      <w:r w:rsidR="00762E38">
        <w:rPr>
          <w:rFonts w:cstheme="minorBidi" w:hint="cs"/>
          <w:szCs w:val="22"/>
          <w:cs/>
          <w:lang w:bidi="th-TH"/>
        </w:rPr>
        <w:t xml:space="preserve"> </w:t>
      </w:r>
      <m:oMath>
        <m:r>
          <m:rPr>
            <m:sty m:val="bi"/>
          </m:rPr>
          <w:rPr>
            <w:rFonts w:ascii="Cambria Math" w:hAnsi="Cambria Math" w:cstheme="minorBidi"/>
            <w:szCs w:val="22"/>
            <w:lang w:bidi="th-TH"/>
          </w:rPr>
          <m:t>k</m:t>
        </m:r>
      </m:oMath>
      <w:r w:rsidR="00762E38">
        <w:rPr>
          <w:rFonts w:cstheme="minorBidi"/>
          <w:szCs w:val="22"/>
          <w:lang w:bidi="th-TH"/>
        </w:rPr>
        <w:t xml:space="preserve"> </w:t>
      </w:r>
      <w:r w:rsidR="00715CAC">
        <w:rPr>
          <w:rFonts w:cstheme="minorBidi"/>
          <w:szCs w:val="22"/>
          <w:lang w:bidi="th-TH"/>
        </w:rPr>
        <w:t xml:space="preserve">in </w:t>
      </w:r>
      <m:oMath>
        <m:r>
          <m:rPr>
            <m:sty m:val="bi"/>
          </m:rPr>
          <w:rPr>
            <w:rFonts w:ascii="Cambria Math" w:hAnsi="Cambria Math" w:cstheme="minorBidi"/>
            <w:szCs w:val="22"/>
            <w:lang w:bidi="th-TH"/>
          </w:rPr>
          <m:t>μ±kσ</m:t>
        </m:r>
      </m:oMath>
      <w:r w:rsidR="00715CAC">
        <w:rPr>
          <w:rFonts w:cstheme="minorBidi"/>
          <w:szCs w:val="22"/>
          <w:lang w:bidi="th-TH"/>
        </w:rPr>
        <w:t xml:space="preserve"> </w:t>
      </w:r>
      <w:r w:rsidR="00EE037E" w:rsidRPr="00F932E0">
        <w:rPr>
          <w:rFonts w:cstheme="minorBidi"/>
          <w:szCs w:val="22"/>
          <w:lang w:bidi="th-TH"/>
        </w:rPr>
        <w:t>to</w:t>
      </w:r>
      <w:r w:rsidR="00F932E0" w:rsidRPr="00F932E0">
        <w:rPr>
          <w:rFonts w:cstheme="minorBidi"/>
          <w:szCs w:val="22"/>
          <w:lang w:bidi="th-TH"/>
        </w:rPr>
        <w:t xml:space="preserve"> minimize a composite cost comprising labor expended on alarm handling, FP overhead, and customer-escape penalties, while respecting user-defined constraints on alarm rate and recall. Empirical evaluation on 1 000 industrial subgroups (containing 29 verified anomalies) demonstrates that the GA-derived limit</w:t>
      </w:r>
      <w:r w:rsidR="00B51F04" w:rsidRPr="00B51F04">
        <w:rPr>
          <w:rFonts w:cstheme="minorBidi"/>
          <w:szCs w:val="22"/>
          <w:lang w:bidi="th-TH"/>
        </w:rPr>
        <w:t xml:space="preserve"> (k = 2.3</w:t>
      </w:r>
      <w:r w:rsidR="00C741F7">
        <w:rPr>
          <w:rFonts w:cstheme="minorBidi"/>
          <w:szCs w:val="22"/>
          <w:lang w:bidi="th-TH"/>
        </w:rPr>
        <w:t>4</w:t>
      </w:r>
      <w:r w:rsidR="00B51F04" w:rsidRPr="00B51F04">
        <w:rPr>
          <w:rFonts w:cstheme="minorBidi"/>
          <w:szCs w:val="22"/>
          <w:lang w:bidi="th-TH"/>
        </w:rPr>
        <w:t xml:space="preserve">) </w:t>
      </w:r>
      <w:r w:rsidR="00EE037E" w:rsidRPr="00EE037E">
        <w:rPr>
          <w:rFonts w:cstheme="minorBidi"/>
          <w:szCs w:val="22"/>
          <w:lang w:bidi="th-TH"/>
        </w:rPr>
        <w:t xml:space="preserve">decreases total operating cost from 109.5 USD (conventional k = 3) to 27 USD—representing a 75 % reduction—and elevates recall from 65.5 % to 96.5 %. These findings highlight the potential of cost-sensitive </w:t>
      </w:r>
      <w:r w:rsidR="00F131FA" w:rsidRPr="00EE037E">
        <w:rPr>
          <w:rFonts w:cstheme="minorBidi"/>
          <w:szCs w:val="22"/>
          <w:lang w:bidi="th-TH"/>
        </w:rPr>
        <w:t>optimi</w:t>
      </w:r>
      <w:r w:rsidR="00F131FA">
        <w:rPr>
          <w:rFonts w:cstheme="minorBidi"/>
          <w:szCs w:val="22"/>
          <w:lang w:bidi="th-TH"/>
        </w:rPr>
        <w:t>z</w:t>
      </w:r>
      <w:r w:rsidR="00F131FA" w:rsidRPr="00EE037E">
        <w:rPr>
          <w:rFonts w:cstheme="minorBidi"/>
          <w:szCs w:val="22"/>
          <w:lang w:bidi="th-TH"/>
        </w:rPr>
        <w:t>ation</w:t>
      </w:r>
      <w:r w:rsidR="00EE037E" w:rsidRPr="00EE037E">
        <w:rPr>
          <w:rFonts w:cstheme="minorBidi"/>
          <w:szCs w:val="22"/>
          <w:lang w:bidi="th-TH"/>
        </w:rPr>
        <w:t xml:space="preserve"> to enhance quality assurance and economic efficiency concurrently.</w:t>
      </w:r>
    </w:p>
    <w:p w14:paraId="0563B55C" w14:textId="191AB0BF" w:rsidR="00D97772" w:rsidRPr="00762E38" w:rsidRDefault="00D97772" w:rsidP="0060551A">
      <w:pPr>
        <w:pStyle w:val="Keywords"/>
        <w:rPr>
          <w:rFonts w:cstheme="minorBidi"/>
          <w:szCs w:val="22"/>
          <w:lang w:bidi="th-TH"/>
        </w:rPr>
      </w:pPr>
      <w:r w:rsidRPr="004D72B5">
        <w:t>Keywords—</w:t>
      </w:r>
      <w:r w:rsidR="0060551A" w:rsidRPr="0060551A">
        <w:t xml:space="preserve"> Statistical Process Control, economic–statistical design, genetic algorithm, X‑bar chart, semiconductor manufacturing, cost optimization.</w:t>
      </w:r>
    </w:p>
    <w:p w14:paraId="1A521F3C" w14:textId="3A51BCAF" w:rsidR="009303D9" w:rsidRPr="00D632BE" w:rsidRDefault="009303D9" w:rsidP="006B6B66">
      <w:pPr>
        <w:pStyle w:val="Heading1"/>
      </w:pPr>
      <w:r w:rsidRPr="00D632BE">
        <w:t>Introduction</w:t>
      </w:r>
    </w:p>
    <w:p w14:paraId="6012D9A6" w14:textId="3C065C8F" w:rsidR="00D54CEF" w:rsidRDefault="008A098E" w:rsidP="00220C4B">
      <w:pPr>
        <w:pStyle w:val="BodyText"/>
        <w:ind w:firstLine="0"/>
      </w:pPr>
      <w:r>
        <w:tab/>
      </w:r>
      <w:r w:rsidR="00AD2AEA" w:rsidRPr="00AD2AEA">
        <w:t>Dimensional tolerances in leading-edge semiconductor fabrication have reached the single-nanometer regime; the 2022 International Roadmap for Devices and Systems projects critical dimensions below 7 nm for high-performance CMOS logic by 2025 [4]. Undetected tool drifts or wafer anomalies can therefore propagate through successive process stages and manifest as costly field returns, eroding both yield and reputation. Classical SPC addresses this risk by signaling out-of-control (OOC) conditions whenever a measurement breaches fixed three-sigma limits—an approach first advocated by Shewhart in 1931 [5]. The heuristic tacitly assigns equal importance to Type-I (FP) and Type-II (FN) errors. In high-mix, high-value production environments that parity rarely holds: an unnecessary line stoppage may cost only a few dollars in labor, whereas a defective wafer escaping to the customer can incur scrappage, warranty, and goodwill losses several orders of magnitude higher [6].</w:t>
      </w:r>
    </w:p>
    <w:p w14:paraId="6C814BAC" w14:textId="5D8A64A5" w:rsidR="00D54CEF" w:rsidRDefault="009A7C59" w:rsidP="00D54CEF">
      <w:pPr>
        <w:pStyle w:val="BodyText"/>
      </w:pPr>
      <w:r w:rsidRPr="009A7C59">
        <w:t xml:space="preserve">Economic–statistical chart design seeks to reconcile this asymmetry by selecting chart parameters that </w:t>
      </w:r>
      <w:r w:rsidR="00833622" w:rsidRPr="009A7C59">
        <w:t>minimize</w:t>
      </w:r>
      <w:r w:rsidRPr="009A7C59">
        <w:t xml:space="preserve"> an explicit cost function. Early analytical work by Duncan introduced the economic design of X-bar charts [7], while Montgomery </w:t>
      </w:r>
      <w:r w:rsidR="00833622" w:rsidRPr="009A7C59">
        <w:t>systematized</w:t>
      </w:r>
      <w:r w:rsidRPr="009A7C59">
        <w:t xml:space="preserve"> Average Run Length (ARL) analysis [1]. Recent studies have adopted meta-heuristics—e.g., particle-swarm </w:t>
      </w:r>
      <w:r w:rsidR="00833622" w:rsidRPr="009A7C59">
        <w:t>optimization</w:t>
      </w:r>
      <w:r w:rsidRPr="009A7C59">
        <w:t xml:space="preserve">, simulated annealing and </w:t>
      </w:r>
      <w:r w:rsidRPr="009A7C59">
        <w:t xml:space="preserve">genetic algorithms—to tune multivariate or adaptive charts [2], [3]. However, the extant literature either abandons the single-parameter simplicity of the Shewhart chart or neglects to model </w:t>
      </w:r>
      <w:r w:rsidR="00833622" w:rsidRPr="009A7C59">
        <w:t>labor</w:t>
      </w:r>
      <w:r w:rsidRPr="009A7C59">
        <w:t xml:space="preserve"> and customer-escape costs jointly. The present work fills this gap by (</w:t>
      </w:r>
      <w:proofErr w:type="spellStart"/>
      <w:r w:rsidRPr="009A7C59">
        <w:t>i</w:t>
      </w:r>
      <w:proofErr w:type="spellEnd"/>
      <w:r w:rsidRPr="009A7C59">
        <w:t xml:space="preserve">) retaining the canonical Shewhart structure, (ii) modelling </w:t>
      </w:r>
      <w:r w:rsidR="00833622" w:rsidRPr="009A7C59">
        <w:t>labor</w:t>
      </w:r>
      <w:r w:rsidRPr="009A7C59">
        <w:t xml:space="preserve"> and escape costs explicitly, and (iii) </w:t>
      </w:r>
      <w:r w:rsidR="00833622" w:rsidRPr="009A7C59">
        <w:t>optimizing</w:t>
      </w:r>
      <w:r w:rsidRPr="009A7C59">
        <w:t xml:space="preserve"> the sole design parameter</w:t>
      </w:r>
      <w:r w:rsidR="00F96A16">
        <w:rPr>
          <w:rFonts w:cstheme="minorBidi" w:hint="cs"/>
          <w:szCs w:val="22"/>
          <w:cs/>
          <w:lang w:bidi="th-TH"/>
        </w:rPr>
        <w:t xml:space="preserve"> </w:t>
      </w:r>
      <m:oMath>
        <m:r>
          <w:rPr>
            <w:rFonts w:ascii="Cambria Math" w:hAnsi="Cambria Math" w:cstheme="minorBidi"/>
            <w:szCs w:val="22"/>
            <w:lang w:bidi="th-TH"/>
          </w:rPr>
          <m:t>k</m:t>
        </m:r>
      </m:oMath>
      <w:r w:rsidR="00F96A16">
        <w:rPr>
          <w:rFonts w:cstheme="minorBidi"/>
          <w:szCs w:val="22"/>
          <w:lang w:bidi="th-TH"/>
        </w:rPr>
        <w:t xml:space="preserve"> </w:t>
      </w:r>
      <w:r w:rsidR="00F96A16" w:rsidRPr="00F96A16">
        <w:t>via a GA.</w:t>
      </w:r>
    </w:p>
    <w:p w14:paraId="62CF91D6" w14:textId="65940682" w:rsidR="005355A4" w:rsidRDefault="00833622" w:rsidP="00D54CEF">
      <w:pPr>
        <w:pStyle w:val="BodyText"/>
      </w:pPr>
      <w:r w:rsidRPr="00833622">
        <w:t>Section</w:t>
      </w:r>
      <w:r>
        <w:t xml:space="preserve"> </w:t>
      </w:r>
      <w:r w:rsidRPr="00833622">
        <w:t xml:space="preserve">II surveys prior </w:t>
      </w:r>
      <w:r w:rsidRPr="00F131FA">
        <w:rPr>
          <w:color w:val="000000" w:themeColor="text1"/>
        </w:rPr>
        <w:t xml:space="preserve">economic–statistical </w:t>
      </w:r>
      <w:r w:rsidRPr="00833622">
        <w:t>SPC research. Section III details the proposed cost model and GA search procedure. Section IV describes the industrial data set and experimental protocol. Section V presents the empirical results—including newly obtained cost and FP-rate curves</w:t>
      </w:r>
      <w:r>
        <w:t xml:space="preserve"> </w:t>
      </w:r>
      <w:r w:rsidRPr="00833622">
        <w:t>—and Section VI concludes with avenues for future research.</w:t>
      </w:r>
    </w:p>
    <w:p w14:paraId="179EA777" w14:textId="6FCE8B2F" w:rsidR="009303D9" w:rsidRPr="006B6B66" w:rsidRDefault="00190E6E" w:rsidP="006B6B66">
      <w:pPr>
        <w:pStyle w:val="Heading1"/>
      </w:pPr>
      <w:r w:rsidRPr="00190E6E">
        <w:t>Related Work</w:t>
      </w:r>
    </w:p>
    <w:p w14:paraId="216BA874" w14:textId="26C1C7F9" w:rsidR="008C20A0" w:rsidRDefault="000F5B79" w:rsidP="0097782C">
      <w:pPr>
        <w:pStyle w:val="BodyText"/>
      </w:pPr>
      <w:r w:rsidRPr="000F5B79">
        <w:t>Shewhart was the first to link statistical quality charts to economic considerations, and Duncan later formalized the economic design of X-bar charts. Montgomery [1] systematized Average Run Length (ARL) analysis, which subsequently guided the design of Western Electric rules and related run-based criteria. More recently, Celano and Fichera introduced multi-objective evolutionary tuning, whereas Reyes et al. demonstrated cost advantages of GA-optimized attribute charts in a semiconductor context [2]. Haque and Islam verified GA-based economic design under laboratory conditions [3], and Bayesian adaptive EWMA charts have been proposed for wafer processing applications. However, these approaches frequently require multiple chart parameters or abandon the canonical Shewhart form. The extant literature therefore lacks a comprehensive investigation of single-parameter economic optimization that simultaneously addresses labor and customer-escape costs—an omission the present study seeks to remedy.</w:t>
      </w:r>
    </w:p>
    <w:p w14:paraId="4848C22F" w14:textId="49F3049E" w:rsidR="0097782C" w:rsidRDefault="0097782C" w:rsidP="0097782C">
      <w:pPr>
        <w:pStyle w:val="Heading1"/>
      </w:pPr>
      <w:r w:rsidRPr="0097782C">
        <w:t>Methodology</w:t>
      </w:r>
    </w:p>
    <w:p w14:paraId="5E24BED9" w14:textId="2D63AE0E" w:rsidR="00977E70" w:rsidRDefault="000869F2" w:rsidP="00977E70">
      <w:pPr>
        <w:pStyle w:val="Heading2"/>
      </w:pPr>
      <w:r>
        <w:t>Cost Model</w:t>
      </w:r>
    </w:p>
    <w:p w14:paraId="1FBC9C4E" w14:textId="47FB1A67" w:rsidR="00D7522C" w:rsidRDefault="000869F2" w:rsidP="00737A5F">
      <w:pPr>
        <w:pStyle w:val="BodyText"/>
        <w:ind w:left="288" w:firstLine="0"/>
      </w:pPr>
      <w:r w:rsidRPr="000869F2">
        <w:t>Let</w:t>
      </w:r>
      <w:r w:rsidR="00737A5F">
        <w:t xml:space="preserve"> </w:t>
      </w:r>
      <m:oMath>
        <m:r>
          <w:rPr>
            <w:rFonts w:ascii="Cambria Math" w:hAnsi="Cambria Math"/>
          </w:rPr>
          <m:t>k</m:t>
        </m:r>
      </m:oMath>
      <w:r w:rsidRPr="000869F2">
        <w:t xml:space="preserve"> denote the control-limit multiplier such that</w:t>
      </w:r>
      <w:r>
        <w:t xml:space="preserve"> </w:t>
      </w:r>
      <w:r w:rsidR="00977E70" w:rsidRPr="00977E70">
        <w:t xml:space="preserve"> </w:t>
      </w:r>
    </w:p>
    <w:p w14:paraId="6B7446C0" w14:textId="074275A8" w:rsidR="00737A5F" w:rsidRPr="00FD2A4D" w:rsidRDefault="00737A5F" w:rsidP="00977E70">
      <w:pPr>
        <w:pStyle w:val="BodyText"/>
      </w:pPr>
      <m:oMathPara>
        <m:oMath>
          <m:r>
            <w:rPr>
              <w:rFonts w:ascii="Cambria Math" w:hAnsi="Cambria Math"/>
            </w:rPr>
            <m:t xml:space="preserve">LCL= μ-kσ, UCL=μ+kσ  </m:t>
          </m:r>
        </m:oMath>
      </m:oMathPara>
    </w:p>
    <w:p w14:paraId="595D0D6A" w14:textId="6A5B3A35" w:rsidR="00FD2A4D" w:rsidRPr="00FD2A4D" w:rsidRDefault="00FD2A4D" w:rsidP="00FD2A4D">
      <w:pPr>
        <w:pStyle w:val="BodyText"/>
        <w:rPr>
          <w:lang w:val="en-US"/>
        </w:rPr>
      </w:pPr>
      <w:r w:rsidRPr="00FD2A4D">
        <w:rPr>
          <w:lang w:val="en-US"/>
        </w:rPr>
        <w:t>For N subgroups, the following statistics are collected:</w:t>
      </w:r>
    </w:p>
    <w:p w14:paraId="48A1C2ED" w14:textId="2E811DD9" w:rsidR="00FD2A4D" w:rsidRPr="00FD2A4D" w:rsidRDefault="00FD2A4D" w:rsidP="00FD2A4D">
      <w:pPr>
        <w:pStyle w:val="BodyText"/>
        <w:numPr>
          <w:ilvl w:val="0"/>
          <w:numId w:val="26"/>
        </w:numPr>
        <w:rPr>
          <w:lang w:val="en-US"/>
        </w:rPr>
      </w:pPr>
      <w:r w:rsidRPr="00FD2A4D">
        <w:rPr>
          <w:lang w:val="en-US"/>
        </w:rPr>
        <w:t>FP – false positives (out-of-control signals without a true anomaly),</w:t>
      </w:r>
    </w:p>
    <w:p w14:paraId="5A72C7DE" w14:textId="716DCF7F" w:rsidR="00FD2A4D" w:rsidRPr="00FD2A4D" w:rsidRDefault="00FD2A4D" w:rsidP="00FD2A4D">
      <w:pPr>
        <w:pStyle w:val="BodyText"/>
        <w:numPr>
          <w:ilvl w:val="0"/>
          <w:numId w:val="26"/>
        </w:numPr>
        <w:rPr>
          <w:lang w:val="en-US"/>
        </w:rPr>
      </w:pPr>
      <w:r w:rsidRPr="00FD2A4D">
        <w:rPr>
          <w:lang w:val="en-US"/>
        </w:rPr>
        <w:t>FN – false negatives (missed anomalies),</w:t>
      </w:r>
    </w:p>
    <w:p w14:paraId="006A75B5" w14:textId="77777777" w:rsidR="00FD2A4D" w:rsidRPr="00FD2A4D" w:rsidRDefault="00FD2A4D" w:rsidP="00FD2A4D">
      <w:pPr>
        <w:pStyle w:val="BodyText"/>
        <w:numPr>
          <w:ilvl w:val="0"/>
          <w:numId w:val="26"/>
        </w:numPr>
        <w:rPr>
          <w:lang w:val="en-US"/>
        </w:rPr>
      </w:pPr>
      <w:r w:rsidRPr="00FD2A4D">
        <w:rPr>
          <w:lang w:val="en-US"/>
        </w:rPr>
        <w:t>OOC – total out-of-control alarms (FP + TP).</w:t>
      </w:r>
    </w:p>
    <w:p w14:paraId="54C908EF" w14:textId="1712E16A" w:rsidR="00FD2A4D" w:rsidRDefault="00FD2A4D" w:rsidP="00FD2A4D">
      <w:pPr>
        <w:pStyle w:val="BodyText"/>
        <w:rPr>
          <w:lang w:val="en-US"/>
        </w:rPr>
      </w:pPr>
      <w:r w:rsidRPr="00FD2A4D">
        <w:rPr>
          <w:lang w:val="en-US"/>
        </w:rPr>
        <w:lastRenderedPageBreak/>
        <w:t>The total cost is defined as</w:t>
      </w:r>
    </w:p>
    <w:p w14:paraId="6B3239E9" w14:textId="2BF8916D" w:rsidR="00962488" w:rsidRDefault="00F03A46" w:rsidP="00FD2A4D">
      <w:pPr>
        <w:pStyle w:val="BodyText"/>
        <w:rPr>
          <w:lang w:val="en-US"/>
        </w:rPr>
      </w:pPr>
      <m:oMath>
        <m:r>
          <w:rPr>
            <w:rFonts w:ascii="Cambria Math" w:hAnsi="Cambria Math"/>
            <w:lang w:val="en-US"/>
          </w:rPr>
          <m:t>C</m:t>
        </m:r>
        <m:d>
          <m:dPr>
            <m:ctrlPr>
              <w:rPr>
                <w:rFonts w:ascii="Cambria Math" w:hAnsi="Cambria Math"/>
                <w:i/>
                <w:lang w:val="en-US"/>
              </w:rPr>
            </m:ctrlPr>
          </m:dPr>
          <m:e>
            <m:r>
              <w:rPr>
                <w:rFonts w:ascii="Cambria Math" w:hAnsi="Cambria Math"/>
                <w:lang w:val="en-US"/>
              </w:rPr>
              <m:t>k</m:t>
            </m:r>
          </m:e>
        </m:d>
        <m:r>
          <w:rPr>
            <w:rFonts w:ascii="Cambria Math" w:hAnsi="Cambria Math"/>
            <w:lang w:val="en-US"/>
          </w:rPr>
          <m:t>=</m:t>
        </m:r>
        <m:sSub>
          <m:sSubPr>
            <m:ctrlPr>
              <w:rPr>
                <w:rFonts w:ascii="Cambria Math" w:hAnsi="Cambria Math"/>
                <w:i/>
                <w:lang w:val="en-US"/>
              </w:rPr>
            </m:ctrlPr>
          </m:sSubPr>
          <m:e>
            <m:r>
              <w:rPr>
                <w:rFonts w:ascii="Cambria Math" w:hAnsi="Cambria Math"/>
              </w:rPr>
              <m:t>C</m:t>
            </m:r>
          </m:e>
          <m:sub>
            <m:r>
              <w:rPr>
                <w:rFonts w:ascii="Cambria Math" w:hAnsi="Cambria Math"/>
                <w:lang w:val="en-US"/>
              </w:rPr>
              <m:t>fp​</m:t>
            </m:r>
          </m:sub>
        </m:sSub>
        <m:r>
          <w:rPr>
            <w:rFonts w:ascii="Cambria Math" w:hAnsi="Cambria Math"/>
            <w:lang w:val="en-US"/>
          </w:rPr>
          <m:t>⋅FP+</m:t>
        </m:r>
        <m:sSub>
          <m:sSubPr>
            <m:ctrlPr>
              <w:rPr>
                <w:rFonts w:ascii="Cambria Math" w:hAnsi="Cambria Math"/>
                <w:i/>
                <w:lang w:val="en-US"/>
              </w:rPr>
            </m:ctrlPr>
          </m:sSubPr>
          <m:e>
            <m:r>
              <w:rPr>
                <w:rFonts w:ascii="Cambria Math" w:hAnsi="Cambria Math"/>
              </w:rPr>
              <m:t>C</m:t>
            </m:r>
          </m:e>
          <m:sub>
            <m:r>
              <w:rPr>
                <w:rFonts w:ascii="Cambria Math" w:hAnsi="Cambria Math"/>
                <w:lang w:val="en-US"/>
              </w:rPr>
              <m:t>fn</m:t>
            </m:r>
          </m:sub>
        </m:sSub>
        <m:r>
          <w:rPr>
            <w:rFonts w:ascii="Cambria Math" w:hAnsi="Cambria Math"/>
            <w:lang w:val="en-US"/>
          </w:rPr>
          <m:t>⋅FN+</m:t>
        </m:r>
        <m:sSub>
          <m:sSubPr>
            <m:ctrlPr>
              <w:rPr>
                <w:rFonts w:ascii="Cambria Math" w:hAnsi="Cambria Math"/>
                <w:i/>
                <w:lang w:val="en-US"/>
              </w:rPr>
            </m:ctrlPr>
          </m:sSubPr>
          <m:e>
            <m:r>
              <w:rPr>
                <w:rFonts w:ascii="Cambria Math" w:hAnsi="Cambria Math"/>
              </w:rPr>
              <m:t>C</m:t>
            </m:r>
          </m:e>
          <m:sub>
            <m:r>
              <w:rPr>
                <w:rFonts w:ascii="Cambria Math" w:hAnsi="Cambria Math"/>
                <w:lang w:val="en-US"/>
              </w:rPr>
              <m:t>ooc</m:t>
            </m:r>
          </m:sub>
        </m:sSub>
        <m:r>
          <w:rPr>
            <w:rFonts w:ascii="Cambria Math" w:hAnsi="Cambria Math"/>
            <w:lang w:val="en-US"/>
          </w:rPr>
          <m:t>⋅OOC</m:t>
        </m:r>
      </m:oMath>
      <w:r>
        <w:rPr>
          <w:lang w:val="en-US"/>
        </w:rPr>
        <w:tab/>
        <w:t>(1)</w:t>
      </w:r>
    </w:p>
    <w:p w14:paraId="0768AF96" w14:textId="3B456332" w:rsidR="000E3E7A" w:rsidRPr="00D7522C" w:rsidRDefault="00A633E8" w:rsidP="00A633E8">
      <w:pPr>
        <w:pStyle w:val="BodyText"/>
        <w:ind w:firstLine="0"/>
        <w:rPr>
          <w:lang w:val="en-US"/>
        </w:rPr>
      </w:pPr>
      <w:r>
        <w:rPr>
          <w:lang w:val="en-US"/>
        </w:rPr>
        <w:t>w</w:t>
      </w:r>
      <w:r w:rsidR="006E66FD" w:rsidRPr="006E66FD">
        <w:rPr>
          <w:lang w:val="en-US"/>
        </w:rPr>
        <w:t>here</w:t>
      </w:r>
      <m:oMath>
        <m:sSub>
          <m:sSubPr>
            <m:ctrlPr>
              <w:rPr>
                <w:rFonts w:ascii="Cambria Math" w:hAnsi="Cambria Math"/>
                <w:i/>
                <w:lang w:val="en-US"/>
              </w:rPr>
            </m:ctrlPr>
          </m:sSubPr>
          <m:e>
            <m:r>
              <w:rPr>
                <w:rFonts w:ascii="Cambria Math" w:hAnsi="Cambria Math"/>
              </w:rPr>
              <m:t>C</m:t>
            </m:r>
          </m:e>
          <m:sub>
            <m:r>
              <w:rPr>
                <w:rFonts w:ascii="Cambria Math" w:hAnsi="Cambria Math"/>
                <w:lang w:val="en-US"/>
              </w:rPr>
              <m:t>fp​</m:t>
            </m:r>
          </m:sub>
        </m:sSub>
      </m:oMath>
      <w:r>
        <w:rPr>
          <w:lang w:val="en-US"/>
        </w:rPr>
        <w:t xml:space="preserve"> </w:t>
      </w:r>
      <m:oMath>
        <m:sSub>
          <m:sSubPr>
            <m:ctrlPr>
              <w:rPr>
                <w:rFonts w:ascii="Cambria Math" w:hAnsi="Cambria Math"/>
                <w:i/>
                <w:lang w:val="en-US"/>
              </w:rPr>
            </m:ctrlPr>
          </m:sSubPr>
          <m:e>
            <m:r>
              <w:rPr>
                <w:rFonts w:ascii="Cambria Math" w:hAnsi="Cambria Math"/>
              </w:rPr>
              <m:t>C</m:t>
            </m:r>
          </m:e>
          <m:sub>
            <m:r>
              <w:rPr>
                <w:rFonts w:ascii="Cambria Math" w:hAnsi="Cambria Math"/>
                <w:lang w:val="en-US"/>
              </w:rPr>
              <m:t>fn</m:t>
            </m:r>
          </m:sub>
        </m:sSub>
      </m:oMath>
      <w:r w:rsidR="00F03A46">
        <w:rPr>
          <w:lang w:val="en-US"/>
        </w:rPr>
        <w:t xml:space="preserve">and </w:t>
      </w:r>
      <m:oMath>
        <m:sSub>
          <m:sSubPr>
            <m:ctrlPr>
              <w:rPr>
                <w:rFonts w:ascii="Cambria Math" w:hAnsi="Cambria Math"/>
                <w:i/>
                <w:lang w:val="en-US"/>
              </w:rPr>
            </m:ctrlPr>
          </m:sSubPr>
          <m:e>
            <m:r>
              <w:rPr>
                <w:rFonts w:ascii="Cambria Math" w:hAnsi="Cambria Math"/>
              </w:rPr>
              <m:t>C</m:t>
            </m:r>
          </m:e>
          <m:sub>
            <m:r>
              <w:rPr>
                <w:rFonts w:ascii="Cambria Math" w:hAnsi="Cambria Math"/>
                <w:lang w:val="en-US"/>
              </w:rPr>
              <m:t>ooc</m:t>
            </m:r>
          </m:sub>
        </m:sSub>
      </m:oMath>
      <w:r w:rsidR="00F03A46">
        <w:rPr>
          <w:lang w:val="en-US"/>
        </w:rPr>
        <w:t xml:space="preserve">  </w:t>
      </w:r>
      <w:r w:rsidRPr="00A633E8">
        <w:rPr>
          <w:lang w:val="en-US"/>
        </w:rPr>
        <w:t>are unit costs assessed by production engineering (Table I). During optimization, optional upper bounds on alarm rate</w:t>
      </w:r>
      <w:r w:rsidR="009A6089">
        <w:rPr>
          <w:lang w:val="en-US"/>
        </w:rPr>
        <w:t xml:space="preserve"> (</w:t>
      </w:r>
      <w:r w:rsidR="00007306">
        <w:rPr>
          <w:lang w:val="en-US"/>
        </w:rPr>
        <w:t xml:space="preserve"> </w:t>
      </w: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max</m:t>
            </m:r>
          </m:sub>
        </m:sSub>
      </m:oMath>
      <w:r w:rsidR="009A6089">
        <w:rPr>
          <w:lang w:val="en-US"/>
        </w:rPr>
        <w:t xml:space="preserve">) and lower </w:t>
      </w:r>
      <w:r w:rsidR="009A6089" w:rsidRPr="009A6089">
        <w:rPr>
          <w:lang w:val="en-US"/>
        </w:rPr>
        <w:t>bounds on recall</w:t>
      </w:r>
      <w:r w:rsidR="001857C3">
        <w:rPr>
          <w:lang w:val="en-US"/>
        </w:rPr>
        <w:t xml:space="preserve"> (</w:t>
      </w: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max</m:t>
            </m:r>
          </m:sub>
        </m:sSub>
        <m:r>
          <w:rPr>
            <w:rFonts w:ascii="Cambria Math" w:hAnsi="Cambria Math"/>
            <w:lang w:val="en-US"/>
          </w:rPr>
          <m:t>)</m:t>
        </m:r>
      </m:oMath>
      <w:r w:rsidR="007D4C1D">
        <w:rPr>
          <w:lang w:val="en-US"/>
        </w:rPr>
        <w:t xml:space="preserve"> </w:t>
      </w:r>
      <w:r w:rsidR="007D4C1D" w:rsidRPr="007D4C1D">
        <w:rPr>
          <w:lang w:val="en-US"/>
        </w:rPr>
        <w:t>can be enforced.</w:t>
      </w:r>
    </w:p>
    <w:bookmarkEnd w:id="0"/>
    <w:p w14:paraId="22217789" w14:textId="3734A157" w:rsidR="009303D9" w:rsidRDefault="009542ED" w:rsidP="00ED0149">
      <w:pPr>
        <w:pStyle w:val="Heading2"/>
      </w:pPr>
      <w:r w:rsidRPr="009542ED">
        <w:t>Genetic-Algorithm Search</w:t>
      </w:r>
    </w:p>
    <w:p w14:paraId="11069E63" w14:textId="77777777" w:rsidR="00BB0E9C" w:rsidRDefault="00BC3A1C" w:rsidP="00E7596C">
      <w:pPr>
        <w:pStyle w:val="BodyText"/>
      </w:pPr>
      <w:r w:rsidRPr="00BC3A1C">
        <w:rPr>
          <w:spacing w:val="0"/>
          <w:lang w:val="en-US" w:eastAsia="en-US"/>
        </w:rPr>
        <w:t>Because the objective function (1) is non-convex and may be discontinuous owing to discrete count variables, a real-coded GA is employed.</w:t>
      </w:r>
    </w:p>
    <w:p w14:paraId="62A7B533" w14:textId="2A3F8C79" w:rsidR="00F2327E" w:rsidRPr="007878CB" w:rsidRDefault="00BB0E9C" w:rsidP="00BB0E9C">
      <w:pPr>
        <w:pStyle w:val="BodyText"/>
        <w:numPr>
          <w:ilvl w:val="0"/>
          <w:numId w:val="27"/>
        </w:numPr>
      </w:pPr>
      <w:r w:rsidRPr="00BB0E9C">
        <w:t>Chromosome structure: a single real-valued gene</w:t>
      </w:r>
      <w:r w:rsidR="005F2424">
        <w:t xml:space="preserve"> </w:t>
      </w:r>
      <m:oMath>
        <m:r>
          <w:rPr>
            <w:rFonts w:ascii="Cambria Math" w:hAnsi="Cambria Math"/>
            <w:lang w:val="en-US"/>
          </w:rPr>
          <m:t>k∈[</m:t>
        </m:r>
        <m:sSub>
          <m:sSubPr>
            <m:ctrlPr>
              <w:rPr>
                <w:rFonts w:ascii="Cambria Math" w:hAnsi="Cambria Math"/>
                <w:i/>
                <w:lang w:val="en-US"/>
              </w:rPr>
            </m:ctrlPr>
          </m:sSubPr>
          <m:e>
            <m:r>
              <w:rPr>
                <w:rFonts w:ascii="Cambria Math" w:hAnsi="Cambria Math"/>
              </w:rPr>
              <m:t>k</m:t>
            </m:r>
          </m:e>
          <m:sub>
            <m:r>
              <w:rPr>
                <w:rFonts w:ascii="Cambria Math" w:hAnsi="Cambria Math"/>
                <w:lang w:val="en-US"/>
              </w:rPr>
              <m:t>min​</m:t>
            </m:r>
          </m:sub>
        </m:sSub>
        <m:r>
          <w:rPr>
            <w:rFonts w:ascii="Cambria Math" w:hAnsi="Cambria Math"/>
            <w:lang w:val="en-US"/>
          </w:rPr>
          <m:t>,</m:t>
        </m:r>
        <m:sSub>
          <m:sSubPr>
            <m:ctrlPr>
              <w:rPr>
                <w:rFonts w:ascii="Cambria Math" w:hAnsi="Cambria Math"/>
                <w:i/>
                <w:lang w:val="en-US"/>
              </w:rPr>
            </m:ctrlPr>
          </m:sSubPr>
          <m:e>
            <m:r>
              <w:rPr>
                <w:rFonts w:ascii="Cambria Math" w:hAnsi="Cambria Math"/>
              </w:rPr>
              <m:t>k</m:t>
            </m:r>
          </m:e>
          <m:sub>
            <m:r>
              <w:rPr>
                <w:rFonts w:ascii="Cambria Math" w:hAnsi="Cambria Math"/>
                <w:lang w:val="en-US"/>
              </w:rPr>
              <m:t>max​</m:t>
            </m:r>
          </m:sub>
        </m:sSub>
        <m:r>
          <w:rPr>
            <w:rFonts w:ascii="Cambria Math" w:hAnsi="Cambria Math"/>
            <w:lang w:val="en-US"/>
          </w:rPr>
          <m:t>]</m:t>
        </m:r>
      </m:oMath>
    </w:p>
    <w:p w14:paraId="2361C97F" w14:textId="35B41D88" w:rsidR="007878CB" w:rsidRDefault="007878CB" w:rsidP="00BB0E9C">
      <w:pPr>
        <w:pStyle w:val="BodyText"/>
        <w:numPr>
          <w:ilvl w:val="0"/>
          <w:numId w:val="27"/>
        </w:numPr>
      </w:pPr>
      <w:r w:rsidRPr="007878CB">
        <w:t>Population size: 40.</w:t>
      </w:r>
    </w:p>
    <w:p w14:paraId="29AAAE7C" w14:textId="568C0409" w:rsidR="007878CB" w:rsidRDefault="007878CB" w:rsidP="00BB0E9C">
      <w:pPr>
        <w:pStyle w:val="BodyText"/>
        <w:numPr>
          <w:ilvl w:val="0"/>
          <w:numId w:val="27"/>
        </w:numPr>
      </w:pPr>
      <w:r w:rsidRPr="007878CB">
        <w:t>Selection: tournament with cardinality three.</w:t>
      </w:r>
    </w:p>
    <w:p w14:paraId="5C4F5094" w14:textId="7D7622A3" w:rsidR="007878CB" w:rsidRDefault="007878CB" w:rsidP="00BB0E9C">
      <w:pPr>
        <w:pStyle w:val="BodyText"/>
        <w:numPr>
          <w:ilvl w:val="0"/>
          <w:numId w:val="27"/>
        </w:numPr>
      </w:pPr>
      <w:r w:rsidRPr="007878CB">
        <w:t>Crossover: blend operator (α = 0.25).</w:t>
      </w:r>
    </w:p>
    <w:p w14:paraId="35C16CD0" w14:textId="493A109D" w:rsidR="007A1B2A" w:rsidRDefault="007A1B2A" w:rsidP="00BB0E9C">
      <w:pPr>
        <w:pStyle w:val="BodyText"/>
        <w:numPr>
          <w:ilvl w:val="0"/>
          <w:numId w:val="27"/>
        </w:numPr>
      </w:pPr>
      <w:r w:rsidRPr="007A1B2A">
        <w:t>Mutation: Gaussian (σ = 0.1) applied with probability 1.0.</w:t>
      </w:r>
    </w:p>
    <w:p w14:paraId="2CD4B2FA" w14:textId="171A0A91" w:rsidR="007A1B2A" w:rsidRDefault="007A1B2A" w:rsidP="00BB0E9C">
      <w:pPr>
        <w:pStyle w:val="BodyText"/>
        <w:numPr>
          <w:ilvl w:val="0"/>
          <w:numId w:val="27"/>
        </w:numPr>
      </w:pPr>
      <w:r w:rsidRPr="007A1B2A">
        <w:t>Termination: 200 generations or 30 consecutive generations without improvement.</w:t>
      </w:r>
    </w:p>
    <w:p w14:paraId="48F89E04" w14:textId="36227A91" w:rsidR="007A1B2A" w:rsidRDefault="007A1B2A" w:rsidP="007A1B2A">
      <w:pPr>
        <w:pStyle w:val="BodyText"/>
        <w:numPr>
          <w:ilvl w:val="0"/>
          <w:numId w:val="27"/>
        </w:numPr>
      </w:pPr>
      <w:r>
        <w:t xml:space="preserve">Constraint handling: death-penalty—any individual violating active constraints is assigned </w:t>
      </w:r>
      <m:oMath>
        <m:r>
          <w:rPr>
            <w:rFonts w:ascii="Cambria Math" w:hAnsi="Cambria Math"/>
          </w:rPr>
          <m:t xml:space="preserve">C </m:t>
        </m:r>
        <m:r>
          <w:rPr>
            <w:rFonts w:ascii="Cambria Math" w:hAnsi="Cambria Math"/>
            <w:lang w:val="en-US"/>
          </w:rPr>
          <m:t>=∞</m:t>
        </m:r>
      </m:oMath>
    </w:p>
    <w:p w14:paraId="5D2DD83B" w14:textId="61ECC162" w:rsidR="009303D9" w:rsidRDefault="00307BDA" w:rsidP="006B6B66">
      <w:pPr>
        <w:pStyle w:val="Heading1"/>
      </w:pPr>
      <w:r w:rsidRPr="00307BDA">
        <w:t>Industrial Case Study</w:t>
      </w:r>
      <w:r w:rsidR="009303D9">
        <w:t xml:space="preserve">ing </w:t>
      </w:r>
    </w:p>
    <w:p w14:paraId="550E2495" w14:textId="059E5F02" w:rsidR="009303D9" w:rsidRDefault="00516B8A" w:rsidP="00ED0149">
      <w:pPr>
        <w:pStyle w:val="Heading2"/>
      </w:pPr>
      <w:r w:rsidRPr="00516B8A">
        <w:t>Data Set and Annotation</w:t>
      </w:r>
    </w:p>
    <w:p w14:paraId="1A9E45B8" w14:textId="3B305CB2" w:rsidR="009303D9" w:rsidRPr="005B520E" w:rsidRDefault="00387706" w:rsidP="00E7596C">
      <w:pPr>
        <w:pStyle w:val="BodyText"/>
      </w:pPr>
      <w:r w:rsidRPr="00387706">
        <w:t>The investigation utilizes 1 000 consecutive subgroups sourced from an 8-inch wafer-test line manufacturing analogue integrated circuits. Expert process engineers used failure-analysis reports and tool-state logs to label 29 subgroups (2.9 %) as anomalous.</w:t>
      </w:r>
    </w:p>
    <w:p w14:paraId="3C56E4E8" w14:textId="497B4817" w:rsidR="009303D9" w:rsidRDefault="00CE5221" w:rsidP="00ED0149">
      <w:pPr>
        <w:pStyle w:val="Heading2"/>
      </w:pPr>
      <w:r w:rsidRPr="00CE5221">
        <w:t>Cost Parameters</w:t>
      </w:r>
    </w:p>
    <w:p w14:paraId="11B73BF0" w14:textId="77777777" w:rsidR="009156D2" w:rsidRPr="009156D2" w:rsidRDefault="009156D2" w:rsidP="009156D2"/>
    <w:tbl>
      <w:tblPr>
        <w:tblStyle w:val="TableGrid"/>
        <w:tblW w:w="4874" w:type="dxa"/>
        <w:tblLook w:val="04A0" w:firstRow="1" w:lastRow="0" w:firstColumn="1" w:lastColumn="0" w:noHBand="0" w:noVBand="1"/>
      </w:tblPr>
      <w:tblGrid>
        <w:gridCol w:w="1624"/>
        <w:gridCol w:w="1625"/>
        <w:gridCol w:w="1625"/>
      </w:tblGrid>
      <w:tr w:rsidR="00964663" w14:paraId="2558A5EC" w14:textId="77777777" w:rsidTr="00A06156">
        <w:trPr>
          <w:trHeight w:val="379"/>
        </w:trPr>
        <w:tc>
          <w:tcPr>
            <w:tcW w:w="1624" w:type="dxa"/>
          </w:tcPr>
          <w:p w14:paraId="1CF49AA2" w14:textId="22A53788" w:rsidR="00964663" w:rsidRPr="007F0083" w:rsidRDefault="00964663" w:rsidP="00861686">
            <w:pPr>
              <w:pStyle w:val="BodyText"/>
              <w:spacing w:before="240"/>
              <w:ind w:firstLine="0"/>
              <w:jc w:val="center"/>
              <w:rPr>
                <w:i/>
                <w:iCs/>
                <w:sz w:val="14"/>
                <w:szCs w:val="14"/>
              </w:rPr>
            </w:pPr>
            <w:r w:rsidRPr="007F0083">
              <w:rPr>
                <w:i/>
                <w:iCs/>
                <w:sz w:val="14"/>
                <w:szCs w:val="14"/>
              </w:rPr>
              <w:t>Metric</w:t>
            </w:r>
          </w:p>
        </w:tc>
        <w:tc>
          <w:tcPr>
            <w:tcW w:w="1625" w:type="dxa"/>
          </w:tcPr>
          <w:p w14:paraId="6EDCF803" w14:textId="539916EC" w:rsidR="00964663" w:rsidRPr="007F0083" w:rsidRDefault="00964663" w:rsidP="00861686">
            <w:pPr>
              <w:pStyle w:val="BodyText"/>
              <w:spacing w:before="240"/>
              <w:ind w:firstLine="0"/>
              <w:jc w:val="center"/>
              <w:rPr>
                <w:i/>
                <w:iCs/>
                <w:sz w:val="14"/>
                <w:szCs w:val="14"/>
              </w:rPr>
            </w:pPr>
            <w:r w:rsidRPr="007F0083">
              <w:rPr>
                <w:i/>
                <w:iCs/>
                <w:sz w:val="14"/>
                <w:szCs w:val="14"/>
              </w:rPr>
              <w:t>Symbol</w:t>
            </w:r>
          </w:p>
        </w:tc>
        <w:tc>
          <w:tcPr>
            <w:tcW w:w="1625" w:type="dxa"/>
          </w:tcPr>
          <w:p w14:paraId="2E239004" w14:textId="51A2D2B6" w:rsidR="00964663" w:rsidRPr="007F0083" w:rsidRDefault="00964663" w:rsidP="00861686">
            <w:pPr>
              <w:pStyle w:val="BodyText"/>
              <w:spacing w:before="240"/>
              <w:ind w:firstLine="0"/>
              <w:jc w:val="center"/>
              <w:rPr>
                <w:i/>
                <w:iCs/>
                <w:sz w:val="14"/>
                <w:szCs w:val="14"/>
              </w:rPr>
            </w:pPr>
            <w:r w:rsidRPr="007F0083">
              <w:rPr>
                <w:i/>
                <w:iCs/>
                <w:sz w:val="14"/>
                <w:szCs w:val="14"/>
              </w:rPr>
              <w:t>Unit Cost (USD)</w:t>
            </w:r>
          </w:p>
        </w:tc>
      </w:tr>
      <w:tr w:rsidR="00964663" w14:paraId="44F52348" w14:textId="77777777" w:rsidTr="00A06156">
        <w:trPr>
          <w:trHeight w:val="401"/>
        </w:trPr>
        <w:tc>
          <w:tcPr>
            <w:tcW w:w="1624" w:type="dxa"/>
          </w:tcPr>
          <w:p w14:paraId="54E2189D" w14:textId="3EFF4635" w:rsidR="00964663" w:rsidRPr="007F0083" w:rsidRDefault="006A1EBD" w:rsidP="00861686">
            <w:pPr>
              <w:pStyle w:val="BodyText"/>
              <w:spacing w:before="240"/>
              <w:ind w:firstLine="0"/>
              <w:jc w:val="center"/>
              <w:rPr>
                <w:sz w:val="14"/>
                <w:szCs w:val="14"/>
              </w:rPr>
            </w:pPr>
            <w:r w:rsidRPr="007F0083">
              <w:rPr>
                <w:sz w:val="14"/>
                <w:szCs w:val="14"/>
              </w:rPr>
              <w:t>False positive</w:t>
            </w:r>
          </w:p>
        </w:tc>
        <w:tc>
          <w:tcPr>
            <w:tcW w:w="1625" w:type="dxa"/>
          </w:tcPr>
          <w:p w14:paraId="00D71CA0" w14:textId="07FA0816" w:rsidR="00964663" w:rsidRPr="007F0083" w:rsidRDefault="00000000" w:rsidP="00861686">
            <w:pPr>
              <w:pStyle w:val="BodyText"/>
              <w:spacing w:before="240"/>
              <w:ind w:firstLine="0"/>
              <w:jc w:val="center"/>
              <w:rPr>
                <w:sz w:val="14"/>
                <w:szCs w:val="14"/>
              </w:rPr>
            </w:pPr>
            <m:oMathPara>
              <m:oMath>
                <m:sSub>
                  <m:sSubPr>
                    <m:ctrlPr>
                      <w:rPr>
                        <w:rFonts w:ascii="Cambria Math" w:hAnsi="Cambria Math"/>
                        <w:i/>
                        <w:sz w:val="14"/>
                        <w:szCs w:val="14"/>
                        <w:lang w:val="en-US"/>
                      </w:rPr>
                    </m:ctrlPr>
                  </m:sSubPr>
                  <m:e>
                    <m:r>
                      <w:rPr>
                        <w:rFonts w:ascii="Cambria Math" w:hAnsi="Cambria Math"/>
                        <w:sz w:val="14"/>
                        <w:szCs w:val="14"/>
                      </w:rPr>
                      <m:t>C</m:t>
                    </m:r>
                  </m:e>
                  <m:sub>
                    <m:r>
                      <w:rPr>
                        <w:rFonts w:ascii="Cambria Math" w:hAnsi="Cambria Math"/>
                        <w:sz w:val="14"/>
                        <w:szCs w:val="14"/>
                        <w:lang w:val="en-US"/>
                      </w:rPr>
                      <m:t>fp​</m:t>
                    </m:r>
                  </m:sub>
                </m:sSub>
              </m:oMath>
            </m:oMathPara>
          </w:p>
        </w:tc>
        <w:tc>
          <w:tcPr>
            <w:tcW w:w="1625" w:type="dxa"/>
          </w:tcPr>
          <w:p w14:paraId="5771D494" w14:textId="36EA7863" w:rsidR="00964663" w:rsidRPr="007F0083" w:rsidRDefault="00861686" w:rsidP="00861686">
            <w:pPr>
              <w:pStyle w:val="BodyText"/>
              <w:spacing w:before="240"/>
              <w:ind w:firstLine="0"/>
              <w:jc w:val="center"/>
              <w:rPr>
                <w:sz w:val="14"/>
                <w:szCs w:val="14"/>
              </w:rPr>
            </w:pPr>
            <w:r w:rsidRPr="007F0083">
              <w:rPr>
                <w:sz w:val="14"/>
                <w:szCs w:val="14"/>
              </w:rPr>
              <w:t>1.0</w:t>
            </w:r>
          </w:p>
        </w:tc>
      </w:tr>
      <w:tr w:rsidR="00964663" w14:paraId="7413ECDD" w14:textId="77777777" w:rsidTr="00A06156">
        <w:trPr>
          <w:trHeight w:val="394"/>
        </w:trPr>
        <w:tc>
          <w:tcPr>
            <w:tcW w:w="1624" w:type="dxa"/>
          </w:tcPr>
          <w:p w14:paraId="0B576D95" w14:textId="20941C03" w:rsidR="00964663" w:rsidRPr="007F0083" w:rsidRDefault="006A1EBD" w:rsidP="00861686">
            <w:pPr>
              <w:pStyle w:val="BodyText"/>
              <w:spacing w:before="240"/>
              <w:ind w:firstLine="0"/>
              <w:jc w:val="center"/>
              <w:rPr>
                <w:sz w:val="14"/>
                <w:szCs w:val="14"/>
              </w:rPr>
            </w:pPr>
            <w:r w:rsidRPr="007F0083">
              <w:rPr>
                <w:sz w:val="14"/>
                <w:szCs w:val="14"/>
                <w:lang w:val="en-US"/>
              </w:rPr>
              <w:t>False negative</w:t>
            </w:r>
          </w:p>
        </w:tc>
        <w:tc>
          <w:tcPr>
            <w:tcW w:w="1625" w:type="dxa"/>
          </w:tcPr>
          <w:p w14:paraId="34139A3D" w14:textId="304A5AEA" w:rsidR="00964663" w:rsidRPr="007F0083" w:rsidRDefault="00000000" w:rsidP="00861686">
            <w:pPr>
              <w:pStyle w:val="BodyText"/>
              <w:spacing w:before="240"/>
              <w:ind w:firstLine="0"/>
              <w:jc w:val="center"/>
              <w:rPr>
                <w:sz w:val="14"/>
                <w:szCs w:val="14"/>
              </w:rPr>
            </w:pPr>
            <m:oMathPara>
              <m:oMath>
                <m:sSub>
                  <m:sSubPr>
                    <m:ctrlPr>
                      <w:rPr>
                        <w:rFonts w:ascii="Cambria Math" w:hAnsi="Cambria Math"/>
                        <w:i/>
                        <w:sz w:val="14"/>
                        <w:szCs w:val="14"/>
                        <w:lang w:val="en-US"/>
                      </w:rPr>
                    </m:ctrlPr>
                  </m:sSubPr>
                  <m:e>
                    <m:r>
                      <w:rPr>
                        <w:rFonts w:ascii="Cambria Math" w:hAnsi="Cambria Math"/>
                        <w:sz w:val="14"/>
                        <w:szCs w:val="14"/>
                      </w:rPr>
                      <m:t>C</m:t>
                    </m:r>
                  </m:e>
                  <m:sub>
                    <m:r>
                      <w:rPr>
                        <w:rFonts w:ascii="Cambria Math" w:hAnsi="Cambria Math"/>
                        <w:sz w:val="14"/>
                        <w:szCs w:val="14"/>
                        <w:lang w:val="en-US"/>
                      </w:rPr>
                      <m:t>fn</m:t>
                    </m:r>
                  </m:sub>
                </m:sSub>
              </m:oMath>
            </m:oMathPara>
          </w:p>
        </w:tc>
        <w:tc>
          <w:tcPr>
            <w:tcW w:w="1625" w:type="dxa"/>
          </w:tcPr>
          <w:p w14:paraId="6F10D6F8" w14:textId="2664E951" w:rsidR="00964663" w:rsidRPr="007F0083" w:rsidRDefault="00861686" w:rsidP="00861686">
            <w:pPr>
              <w:pStyle w:val="BodyText"/>
              <w:spacing w:before="240"/>
              <w:ind w:firstLine="0"/>
              <w:jc w:val="center"/>
              <w:rPr>
                <w:sz w:val="14"/>
                <w:szCs w:val="14"/>
              </w:rPr>
            </w:pPr>
            <w:r w:rsidRPr="007F0083">
              <w:rPr>
                <w:sz w:val="14"/>
                <w:szCs w:val="14"/>
              </w:rPr>
              <w:t>10.0</w:t>
            </w:r>
          </w:p>
        </w:tc>
      </w:tr>
      <w:tr w:rsidR="00964663" w14:paraId="39254425" w14:textId="77777777" w:rsidTr="00A06156">
        <w:trPr>
          <w:trHeight w:val="491"/>
        </w:trPr>
        <w:tc>
          <w:tcPr>
            <w:tcW w:w="1624" w:type="dxa"/>
          </w:tcPr>
          <w:p w14:paraId="3B72D565" w14:textId="090DC46C" w:rsidR="00964663" w:rsidRPr="007F0083" w:rsidRDefault="006A1EBD" w:rsidP="00861686">
            <w:pPr>
              <w:pStyle w:val="BodyText"/>
              <w:spacing w:before="240"/>
              <w:ind w:firstLine="0"/>
              <w:jc w:val="center"/>
              <w:rPr>
                <w:sz w:val="14"/>
                <w:szCs w:val="14"/>
              </w:rPr>
            </w:pPr>
            <w:r w:rsidRPr="007F0083">
              <w:rPr>
                <w:sz w:val="14"/>
                <w:szCs w:val="14"/>
                <w:lang w:val="en-US"/>
              </w:rPr>
              <w:t>Per-alarm handling (labor)</w:t>
            </w:r>
          </w:p>
        </w:tc>
        <w:tc>
          <w:tcPr>
            <w:tcW w:w="1625" w:type="dxa"/>
          </w:tcPr>
          <w:p w14:paraId="3F7147F4" w14:textId="3BAEF467" w:rsidR="00964663" w:rsidRPr="007F0083" w:rsidRDefault="00000000" w:rsidP="00861686">
            <w:pPr>
              <w:pStyle w:val="BodyText"/>
              <w:spacing w:before="240"/>
              <w:ind w:firstLine="0"/>
              <w:jc w:val="center"/>
              <w:rPr>
                <w:sz w:val="14"/>
                <w:szCs w:val="14"/>
              </w:rPr>
            </w:pPr>
            <m:oMathPara>
              <m:oMath>
                <m:sSub>
                  <m:sSubPr>
                    <m:ctrlPr>
                      <w:rPr>
                        <w:rFonts w:ascii="Cambria Math" w:hAnsi="Cambria Math"/>
                        <w:i/>
                        <w:sz w:val="14"/>
                        <w:szCs w:val="14"/>
                        <w:lang w:val="en-US"/>
                      </w:rPr>
                    </m:ctrlPr>
                  </m:sSubPr>
                  <m:e>
                    <m:r>
                      <w:rPr>
                        <w:rFonts w:ascii="Cambria Math" w:hAnsi="Cambria Math"/>
                        <w:sz w:val="14"/>
                        <w:szCs w:val="14"/>
                      </w:rPr>
                      <m:t>C</m:t>
                    </m:r>
                  </m:e>
                  <m:sub>
                    <m:r>
                      <w:rPr>
                        <w:rFonts w:ascii="Cambria Math" w:hAnsi="Cambria Math"/>
                        <w:sz w:val="14"/>
                        <w:szCs w:val="14"/>
                        <w:lang w:val="en-US"/>
                      </w:rPr>
                      <m:t>ooc</m:t>
                    </m:r>
                  </m:sub>
                </m:sSub>
              </m:oMath>
            </m:oMathPara>
          </w:p>
        </w:tc>
        <w:tc>
          <w:tcPr>
            <w:tcW w:w="1625" w:type="dxa"/>
          </w:tcPr>
          <w:p w14:paraId="77E22152" w14:textId="08553077" w:rsidR="00964663" w:rsidRPr="007F0083" w:rsidRDefault="00861686" w:rsidP="00861686">
            <w:pPr>
              <w:pStyle w:val="BodyText"/>
              <w:spacing w:before="240"/>
              <w:ind w:firstLine="0"/>
              <w:jc w:val="center"/>
              <w:rPr>
                <w:sz w:val="14"/>
                <w:szCs w:val="14"/>
              </w:rPr>
            </w:pPr>
            <w:r w:rsidRPr="007F0083">
              <w:rPr>
                <w:sz w:val="14"/>
                <w:szCs w:val="14"/>
              </w:rPr>
              <w:t>0.5</w:t>
            </w:r>
          </w:p>
        </w:tc>
      </w:tr>
    </w:tbl>
    <w:p w14:paraId="7774EA82" w14:textId="77777777" w:rsidR="00CE5221" w:rsidRDefault="00CE5221" w:rsidP="00E7596C">
      <w:pPr>
        <w:pStyle w:val="BodyText"/>
      </w:pPr>
    </w:p>
    <w:p w14:paraId="04D6A610" w14:textId="11EFC5F2" w:rsidR="009303D9" w:rsidRDefault="003C6DAA" w:rsidP="00ED0149">
      <w:pPr>
        <w:pStyle w:val="Heading2"/>
      </w:pPr>
      <w:r w:rsidRPr="003C6DAA">
        <w:t>Experimental Protocol</w:t>
      </w:r>
    </w:p>
    <w:p w14:paraId="19AEB960" w14:textId="3705D6F5" w:rsidR="00996050" w:rsidRDefault="001203F2" w:rsidP="00996050">
      <w:pPr>
        <w:ind w:firstLine="504"/>
        <w:jc w:val="left"/>
      </w:pPr>
      <w:r w:rsidRPr="001203F2">
        <w:t>The search interval was fixed at</w:t>
      </w:r>
      <w:r>
        <w:t xml:space="preserve"> </w:t>
      </w:r>
      <m:oMath>
        <m:sSub>
          <m:sSubPr>
            <m:ctrlPr>
              <w:rPr>
                <w:rFonts w:ascii="Cambria Math" w:hAnsi="Cambria Math"/>
                <w:i/>
                <w:spacing w:val="-1"/>
                <w:lang w:eastAsia="x-none"/>
              </w:rPr>
            </m:ctrlPr>
          </m:sSubPr>
          <m:e>
            <m:r>
              <w:rPr>
                <w:rFonts w:ascii="Cambria Math" w:hAnsi="Cambria Math"/>
              </w:rPr>
              <m:t>k</m:t>
            </m:r>
          </m:e>
          <m:sub>
            <m:r>
              <w:rPr>
                <w:rFonts w:ascii="Cambria Math" w:hAnsi="Cambria Math"/>
              </w:rPr>
              <m:t>min ​</m:t>
            </m:r>
          </m:sub>
        </m:sSub>
        <m:r>
          <w:rPr>
            <w:rFonts w:ascii="Cambria Math" w:hAnsi="Cambria Math"/>
            <w:spacing w:val="-1"/>
            <w:lang w:eastAsia="x-none"/>
          </w:rPr>
          <m:t xml:space="preserve">=1.5 and </m:t>
        </m:r>
        <m:sSub>
          <m:sSubPr>
            <m:ctrlPr>
              <w:rPr>
                <w:rFonts w:ascii="Cambria Math" w:hAnsi="Cambria Math"/>
                <w:i/>
                <w:spacing w:val="-1"/>
                <w:lang w:eastAsia="x-none"/>
              </w:rPr>
            </m:ctrlPr>
          </m:sSubPr>
          <m:e>
            <m:r>
              <w:rPr>
                <w:rFonts w:ascii="Cambria Math" w:hAnsi="Cambria Math"/>
              </w:rPr>
              <m:t>k</m:t>
            </m:r>
          </m:e>
          <m:sub>
            <m:r>
              <w:rPr>
                <w:rFonts w:ascii="Cambria Math" w:hAnsi="Cambria Math"/>
              </w:rPr>
              <m:t>max​</m:t>
            </m:r>
          </m:sub>
        </m:sSub>
        <m:r>
          <w:rPr>
            <w:rFonts w:ascii="Cambria Math" w:hAnsi="Cambria Math"/>
          </w:rPr>
          <m:t>=4.0</m:t>
        </m:r>
      </m:oMath>
      <w:r w:rsidR="00996050">
        <w:t xml:space="preserve"> </w:t>
      </w:r>
      <w:r w:rsidR="00996050" w:rsidRPr="00996050">
        <w:rPr>
          <w:rFonts w:hint="eastAsia"/>
        </w:rPr>
        <w:t xml:space="preserve">The </w:t>
      </w:r>
      <w:r w:rsidR="00996050" w:rsidRPr="00996050">
        <w:t>optimization</w:t>
      </w:r>
      <w:r w:rsidR="00996050" w:rsidRPr="00996050">
        <w:rPr>
          <w:rFonts w:hint="eastAsia"/>
        </w:rPr>
        <w:t xml:space="preserve"> enforced alarm-rate </w:t>
      </w:r>
      <w:r w:rsidR="00996050" w:rsidRPr="00996050">
        <w:rPr>
          <w:rFonts w:hint="eastAsia"/>
        </w:rPr>
        <w:t>≤</w:t>
      </w:r>
      <w:r w:rsidR="00996050" w:rsidRPr="00996050">
        <w:rPr>
          <w:rFonts w:hint="eastAsia"/>
        </w:rPr>
        <w:t xml:space="preserve"> </w:t>
      </w:r>
      <w:r w:rsidR="00996050" w:rsidRPr="00996050">
        <w:t>5%</w:t>
      </w:r>
      <w:r w:rsidR="00996050" w:rsidRPr="00996050">
        <w:rPr>
          <w:rFonts w:hint="eastAsia"/>
        </w:rPr>
        <w:t xml:space="preserve"> and recall </w:t>
      </w:r>
      <w:r w:rsidR="00996050" w:rsidRPr="00996050">
        <w:rPr>
          <w:rFonts w:hint="eastAsia"/>
        </w:rPr>
        <w:t>≥</w:t>
      </w:r>
      <w:r w:rsidR="00996050" w:rsidRPr="00996050">
        <w:rPr>
          <w:rFonts w:hint="eastAsia"/>
        </w:rPr>
        <w:t xml:space="preserve"> 95 %.</w:t>
      </w:r>
    </w:p>
    <w:p w14:paraId="44003BA5" w14:textId="058A1388" w:rsidR="00996050" w:rsidRDefault="007A3083" w:rsidP="00996050">
      <w:pPr>
        <w:pStyle w:val="Heading1"/>
      </w:pPr>
      <w:r w:rsidRPr="007A3083">
        <w:t>Results and Discussion</w:t>
      </w:r>
    </w:p>
    <w:p w14:paraId="57FCFBBC" w14:textId="6D9968C9" w:rsidR="00996050" w:rsidRDefault="009F3E9F" w:rsidP="00996050">
      <w:pPr>
        <w:pStyle w:val="Heading2"/>
      </w:pPr>
      <w:r w:rsidRPr="009F3E9F">
        <w:t>Trade-off Curves</w:t>
      </w:r>
    </w:p>
    <w:p w14:paraId="1F52507D" w14:textId="05307368" w:rsidR="00996050" w:rsidRDefault="00D12192" w:rsidP="00996050">
      <w:pPr>
        <w:pStyle w:val="BodyText"/>
        <w:ind w:left="288" w:firstLine="0"/>
      </w:pPr>
      <w:r w:rsidRPr="00D12192">
        <w:rPr>
          <w:rFonts w:hint="eastAsia"/>
        </w:rPr>
        <w:t xml:space="preserve">Fig. 1(a) depicts the empirical FP-rate as a function of k. The curve is monotonically decreasing, approaching zero for k </w:t>
      </w:r>
      <w:r w:rsidRPr="00D12192">
        <w:rPr>
          <w:rFonts w:hint="eastAsia"/>
        </w:rPr>
        <w:t>≥</w:t>
      </w:r>
      <w:r w:rsidRPr="00D12192">
        <w:rPr>
          <w:rFonts w:hint="eastAsia"/>
        </w:rPr>
        <w:t xml:space="preserve"> 2.4. Fig. 1(b) shows the corresponding total-cost surface obtained from a dense grid search (step = 0.05). The surface is U-shaped, with a pronounced minimum at </w:t>
      </w:r>
      <w:r w:rsidRPr="00D12192">
        <w:rPr>
          <w:rFonts w:hint="eastAsia"/>
        </w:rPr>
        <w:t xml:space="preserve">k </w:t>
      </w:r>
      <w:r w:rsidRPr="00D12192">
        <w:rPr>
          <w:rFonts w:hint="eastAsia"/>
        </w:rPr>
        <w:t>≈</w:t>
      </w:r>
      <w:r w:rsidRPr="00D12192">
        <w:rPr>
          <w:rFonts w:hint="eastAsia"/>
        </w:rPr>
        <w:t xml:space="preserve"> 2.34. For small k values the cost is dominated by FP and OOC handling; for large k values FN (customer-escape) cost predominates. The optimum therefore lies at the knee of the trade-off surface where marginal FP savings equ</w:t>
      </w:r>
      <w:r w:rsidRPr="00D12192">
        <w:t>al marginal FN penalties.</w:t>
      </w:r>
    </w:p>
    <w:p w14:paraId="66828290" w14:textId="0F79439A" w:rsidR="005F75C1" w:rsidRDefault="005C240F" w:rsidP="00996050">
      <w:pPr>
        <w:pStyle w:val="BodyText"/>
        <w:ind w:left="288" w:firstLine="0"/>
      </w:pPr>
      <w:r w:rsidRPr="005C240F">
        <w:drawing>
          <wp:inline distT="0" distB="0" distL="0" distR="0" wp14:anchorId="3A2327DD" wp14:editId="45DE0E59">
            <wp:extent cx="3089910" cy="1901190"/>
            <wp:effectExtent l="0" t="0" r="0" b="3810"/>
            <wp:docPr id="1070255397" name="Picture 1" descr="A graph with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255397" name="Picture 1" descr="A graph with a line graph&#10;&#10;AI-generated content may be incorrect."/>
                    <pic:cNvPicPr/>
                  </pic:nvPicPr>
                  <pic:blipFill>
                    <a:blip r:embed="rId9"/>
                    <a:stretch>
                      <a:fillRect/>
                    </a:stretch>
                  </pic:blipFill>
                  <pic:spPr>
                    <a:xfrm>
                      <a:off x="0" y="0"/>
                      <a:ext cx="3089910" cy="1901190"/>
                    </a:xfrm>
                    <a:prstGeom prst="rect">
                      <a:avLst/>
                    </a:prstGeom>
                  </pic:spPr>
                </pic:pic>
              </a:graphicData>
            </a:graphic>
          </wp:inline>
        </w:drawing>
      </w:r>
    </w:p>
    <w:p w14:paraId="6020B7ED" w14:textId="56BF59CD" w:rsidR="001B1FD3" w:rsidRPr="00C31E90" w:rsidRDefault="001B1FD3" w:rsidP="001B1FD3">
      <w:pPr>
        <w:pStyle w:val="BodyText"/>
        <w:ind w:left="288" w:firstLine="0"/>
        <w:rPr>
          <w:sz w:val="18"/>
          <w:szCs w:val="18"/>
        </w:rPr>
      </w:pPr>
      <w:r w:rsidRPr="00C31E90">
        <w:rPr>
          <w:sz w:val="18"/>
          <w:szCs w:val="18"/>
        </w:rPr>
        <w:t>Fig.1. (a) False-positive rate versus control-limit multiplier k</w:t>
      </w:r>
    </w:p>
    <w:p w14:paraId="5CE66810" w14:textId="77777777" w:rsidR="005F75C1" w:rsidRDefault="005F75C1" w:rsidP="00996050">
      <w:pPr>
        <w:pStyle w:val="BodyText"/>
        <w:ind w:left="288" w:firstLine="0"/>
      </w:pPr>
    </w:p>
    <w:p w14:paraId="0E10DE88" w14:textId="065710D8" w:rsidR="003B7EE3" w:rsidRDefault="006621A9" w:rsidP="0048263A">
      <w:pPr>
        <w:pStyle w:val="BodyText"/>
        <w:ind w:left="288" w:firstLine="0"/>
      </w:pPr>
      <w:r w:rsidRPr="006621A9">
        <w:drawing>
          <wp:inline distT="0" distB="0" distL="0" distR="0" wp14:anchorId="552DE16B" wp14:editId="607864DB">
            <wp:extent cx="3089910" cy="1901190"/>
            <wp:effectExtent l="0" t="0" r="0" b="3810"/>
            <wp:docPr id="1936869584" name="Picture 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869584" name="Picture 1" descr="A graph with blue dots&#10;&#10;AI-generated content may be incorrect."/>
                    <pic:cNvPicPr/>
                  </pic:nvPicPr>
                  <pic:blipFill>
                    <a:blip r:embed="rId10"/>
                    <a:stretch>
                      <a:fillRect/>
                    </a:stretch>
                  </pic:blipFill>
                  <pic:spPr>
                    <a:xfrm>
                      <a:off x="0" y="0"/>
                      <a:ext cx="3089910" cy="1901190"/>
                    </a:xfrm>
                    <a:prstGeom prst="rect">
                      <a:avLst/>
                    </a:prstGeom>
                  </pic:spPr>
                </pic:pic>
              </a:graphicData>
            </a:graphic>
          </wp:inline>
        </w:drawing>
      </w:r>
    </w:p>
    <w:p w14:paraId="6F76F489" w14:textId="05E4FC4C" w:rsidR="001B1FD3" w:rsidRDefault="001B1FD3" w:rsidP="001B1FD3">
      <w:pPr>
        <w:pStyle w:val="BodyText"/>
        <w:ind w:left="288" w:firstLine="0"/>
        <w:rPr>
          <w:sz w:val="18"/>
          <w:szCs w:val="18"/>
          <w:lang w:val="en-US"/>
        </w:rPr>
      </w:pPr>
      <w:r w:rsidRPr="00C31E90">
        <w:rPr>
          <w:sz w:val="18"/>
          <w:szCs w:val="18"/>
        </w:rPr>
        <w:t xml:space="preserve">Fig.1. </w:t>
      </w:r>
      <w:r w:rsidRPr="00C31E90">
        <w:rPr>
          <w:sz w:val="18"/>
          <w:szCs w:val="18"/>
          <w:lang w:val="en-US"/>
        </w:rPr>
        <w:t xml:space="preserve">(b) Total cost versus </w:t>
      </w:r>
      <w:r w:rsidRPr="00C31E90">
        <w:rPr>
          <w:i/>
          <w:iCs/>
          <w:sz w:val="18"/>
          <w:szCs w:val="18"/>
          <w:lang w:val="en-US"/>
        </w:rPr>
        <w:t>k</w:t>
      </w:r>
      <w:r w:rsidRPr="00C31E90">
        <w:rPr>
          <w:sz w:val="18"/>
          <w:szCs w:val="18"/>
          <w:lang w:val="en-US"/>
        </w:rPr>
        <w:t xml:space="preserve"> under the cost model of Section III-A.</w:t>
      </w:r>
    </w:p>
    <w:p w14:paraId="32EB23F9" w14:textId="0901CC69" w:rsidR="00C96E17" w:rsidRPr="00C31E90" w:rsidRDefault="005C240F" w:rsidP="001B1FD3">
      <w:pPr>
        <w:pStyle w:val="BodyText"/>
        <w:ind w:left="288" w:firstLine="0"/>
        <w:rPr>
          <w:sz w:val="18"/>
          <w:szCs w:val="18"/>
        </w:rPr>
      </w:pPr>
      <w:r w:rsidRPr="005C240F">
        <w:rPr>
          <w:sz w:val="18"/>
          <w:szCs w:val="18"/>
        </w:rPr>
        <w:drawing>
          <wp:inline distT="0" distB="0" distL="0" distR="0" wp14:anchorId="250B84BB" wp14:editId="2D8DAC6F">
            <wp:extent cx="3089910" cy="1901190"/>
            <wp:effectExtent l="0" t="0" r="0" b="3810"/>
            <wp:docPr id="2015444497" name="Picture 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444497" name="Picture 1" descr="A graph with blue dots&#10;&#10;AI-generated content may be incorrect."/>
                    <pic:cNvPicPr/>
                  </pic:nvPicPr>
                  <pic:blipFill>
                    <a:blip r:embed="rId11"/>
                    <a:stretch>
                      <a:fillRect/>
                    </a:stretch>
                  </pic:blipFill>
                  <pic:spPr>
                    <a:xfrm>
                      <a:off x="0" y="0"/>
                      <a:ext cx="3089910" cy="1901190"/>
                    </a:xfrm>
                    <a:prstGeom prst="rect">
                      <a:avLst/>
                    </a:prstGeom>
                  </pic:spPr>
                </pic:pic>
              </a:graphicData>
            </a:graphic>
          </wp:inline>
        </w:drawing>
      </w:r>
    </w:p>
    <w:p w14:paraId="60899CAA" w14:textId="3FC2CB1A" w:rsidR="00853AE4" w:rsidRDefault="00C96E17" w:rsidP="00C96E17">
      <w:pPr>
        <w:pStyle w:val="BodyText"/>
        <w:ind w:left="288" w:firstLine="0"/>
        <w:rPr>
          <w:sz w:val="18"/>
          <w:szCs w:val="18"/>
          <w:lang w:val="en-US"/>
        </w:rPr>
      </w:pPr>
      <w:r w:rsidRPr="00C31E90">
        <w:rPr>
          <w:sz w:val="18"/>
          <w:szCs w:val="18"/>
        </w:rPr>
        <w:t xml:space="preserve">Fig.1. </w:t>
      </w:r>
      <w:r w:rsidRPr="00C31E90">
        <w:rPr>
          <w:sz w:val="18"/>
          <w:szCs w:val="18"/>
          <w:lang w:val="en-US"/>
        </w:rPr>
        <w:t>(</w:t>
      </w:r>
      <w:r>
        <w:rPr>
          <w:sz w:val="18"/>
          <w:szCs w:val="18"/>
          <w:lang w:val="en-US"/>
        </w:rPr>
        <w:t>c</w:t>
      </w:r>
      <w:r w:rsidRPr="00C31E90">
        <w:rPr>
          <w:sz w:val="18"/>
          <w:szCs w:val="18"/>
          <w:lang w:val="en-US"/>
        </w:rPr>
        <w:t xml:space="preserve">) Total cost versus </w:t>
      </w:r>
      <w:r>
        <w:rPr>
          <w:sz w:val="18"/>
          <w:szCs w:val="18"/>
          <w:lang w:val="en-US"/>
        </w:rPr>
        <w:t>alarm rate</w:t>
      </w:r>
    </w:p>
    <w:p w14:paraId="715CD975" w14:textId="77777777" w:rsidR="00853AE4" w:rsidRDefault="00853AE4" w:rsidP="00C96E17">
      <w:pPr>
        <w:pStyle w:val="BodyText"/>
        <w:ind w:left="288" w:firstLine="0"/>
        <w:rPr>
          <w:sz w:val="18"/>
          <w:szCs w:val="18"/>
          <w:lang w:val="en-US"/>
        </w:rPr>
      </w:pPr>
    </w:p>
    <w:p w14:paraId="67252EAD" w14:textId="32911624" w:rsidR="0048263A" w:rsidRDefault="005E63F2" w:rsidP="0048263A">
      <w:pPr>
        <w:pStyle w:val="Heading2"/>
      </w:pPr>
      <w:r w:rsidRPr="005E63F2">
        <w:t>Optimal Versus Conventional Limits</w:t>
      </w:r>
    </w:p>
    <w:p w14:paraId="4A962A83" w14:textId="77777777" w:rsidR="005E63F2" w:rsidRDefault="005E63F2" w:rsidP="005E63F2"/>
    <w:tbl>
      <w:tblPr>
        <w:tblStyle w:val="TableGrid"/>
        <w:tblW w:w="0" w:type="auto"/>
        <w:tblLook w:val="04A0" w:firstRow="1" w:lastRow="0" w:firstColumn="1" w:lastColumn="0" w:noHBand="0" w:noVBand="1"/>
      </w:tblPr>
      <w:tblGrid>
        <w:gridCol w:w="864"/>
        <w:gridCol w:w="798"/>
        <w:gridCol w:w="796"/>
        <w:gridCol w:w="796"/>
        <w:gridCol w:w="800"/>
        <w:gridCol w:w="802"/>
      </w:tblGrid>
      <w:tr w:rsidR="00CF71FF" w14:paraId="09B96753" w14:textId="77777777" w:rsidTr="00853AE4">
        <w:tc>
          <w:tcPr>
            <w:tcW w:w="864" w:type="dxa"/>
          </w:tcPr>
          <w:p w14:paraId="2EF9E7C0" w14:textId="0128923F" w:rsidR="00DF0272" w:rsidRPr="007F0083" w:rsidRDefault="00DF0272" w:rsidP="005E63F2">
            <w:pPr>
              <w:rPr>
                <w:i/>
                <w:iCs/>
                <w:sz w:val="12"/>
                <w:szCs w:val="12"/>
              </w:rPr>
            </w:pPr>
            <w:r w:rsidRPr="007F0083">
              <w:rPr>
                <w:i/>
                <w:iCs/>
                <w:sz w:val="12"/>
                <w:szCs w:val="12"/>
              </w:rPr>
              <w:t>Scheme</w:t>
            </w:r>
          </w:p>
        </w:tc>
        <w:tc>
          <w:tcPr>
            <w:tcW w:w="798" w:type="dxa"/>
          </w:tcPr>
          <w:p w14:paraId="443C7BC1" w14:textId="0C4367CC" w:rsidR="00DF0272" w:rsidRPr="007F0083" w:rsidRDefault="00DF0272" w:rsidP="005E63F2">
            <w:pPr>
              <w:rPr>
                <w:i/>
                <w:iCs/>
                <w:sz w:val="12"/>
                <w:szCs w:val="12"/>
              </w:rPr>
            </w:pPr>
            <w:r w:rsidRPr="007F0083">
              <w:rPr>
                <w:i/>
                <w:iCs/>
                <w:sz w:val="12"/>
                <w:szCs w:val="12"/>
              </w:rPr>
              <w:t>k</w:t>
            </w:r>
          </w:p>
        </w:tc>
        <w:tc>
          <w:tcPr>
            <w:tcW w:w="796" w:type="dxa"/>
          </w:tcPr>
          <w:p w14:paraId="5F646E22" w14:textId="217DCE46" w:rsidR="00DF0272" w:rsidRPr="007F0083" w:rsidRDefault="00DF0272" w:rsidP="005E63F2">
            <w:pPr>
              <w:rPr>
                <w:i/>
                <w:iCs/>
                <w:sz w:val="12"/>
                <w:szCs w:val="12"/>
              </w:rPr>
            </w:pPr>
            <w:r w:rsidRPr="007F0083">
              <w:rPr>
                <w:i/>
                <w:iCs/>
                <w:sz w:val="12"/>
                <w:szCs w:val="12"/>
              </w:rPr>
              <w:t>FP</w:t>
            </w:r>
          </w:p>
        </w:tc>
        <w:tc>
          <w:tcPr>
            <w:tcW w:w="796" w:type="dxa"/>
          </w:tcPr>
          <w:p w14:paraId="2AE1F215" w14:textId="6160FBD9" w:rsidR="00DF0272" w:rsidRPr="007F0083" w:rsidRDefault="00C01768" w:rsidP="005E63F2">
            <w:pPr>
              <w:rPr>
                <w:i/>
                <w:iCs/>
                <w:sz w:val="12"/>
                <w:szCs w:val="12"/>
              </w:rPr>
            </w:pPr>
            <w:r w:rsidRPr="007F0083">
              <w:rPr>
                <w:i/>
                <w:iCs/>
                <w:sz w:val="12"/>
                <w:szCs w:val="12"/>
              </w:rPr>
              <w:t>FN</w:t>
            </w:r>
          </w:p>
        </w:tc>
        <w:tc>
          <w:tcPr>
            <w:tcW w:w="800" w:type="dxa"/>
          </w:tcPr>
          <w:p w14:paraId="3910E067" w14:textId="0631AECA" w:rsidR="00DF0272" w:rsidRPr="007F0083" w:rsidRDefault="00C01768" w:rsidP="005E63F2">
            <w:pPr>
              <w:rPr>
                <w:i/>
                <w:iCs/>
                <w:sz w:val="12"/>
                <w:szCs w:val="12"/>
              </w:rPr>
            </w:pPr>
            <w:r w:rsidRPr="007F0083">
              <w:rPr>
                <w:i/>
                <w:iCs/>
                <w:sz w:val="12"/>
                <w:szCs w:val="12"/>
              </w:rPr>
              <w:t>OOC</w:t>
            </w:r>
          </w:p>
        </w:tc>
        <w:tc>
          <w:tcPr>
            <w:tcW w:w="802" w:type="dxa"/>
          </w:tcPr>
          <w:p w14:paraId="577DA1EA" w14:textId="44AD7509" w:rsidR="00DF0272" w:rsidRPr="007F0083" w:rsidRDefault="00C01768" w:rsidP="005E63F2">
            <w:pPr>
              <w:rPr>
                <w:sz w:val="12"/>
                <w:szCs w:val="12"/>
              </w:rPr>
            </w:pPr>
            <w:r w:rsidRPr="007F0083">
              <w:rPr>
                <w:sz w:val="12"/>
                <w:szCs w:val="12"/>
              </w:rPr>
              <w:t>Total cost</w:t>
            </w:r>
            <w:r w:rsidR="007F0083" w:rsidRPr="007F0083">
              <w:rPr>
                <w:sz w:val="12"/>
                <w:szCs w:val="12"/>
              </w:rPr>
              <w:t xml:space="preserve"> </w:t>
            </w:r>
            <w:r w:rsidRPr="007F0083">
              <w:rPr>
                <w:sz w:val="12"/>
                <w:szCs w:val="12"/>
              </w:rPr>
              <w:t>(USD)</w:t>
            </w:r>
          </w:p>
        </w:tc>
      </w:tr>
      <w:tr w:rsidR="00CF71FF" w14:paraId="7D43EEBE" w14:textId="77777777" w:rsidTr="00853AE4">
        <w:tc>
          <w:tcPr>
            <w:tcW w:w="864" w:type="dxa"/>
          </w:tcPr>
          <w:p w14:paraId="28BDA269" w14:textId="2AE986D8" w:rsidR="00DF0272" w:rsidRPr="007F0083" w:rsidRDefault="00EE288F" w:rsidP="005E63F2">
            <w:pPr>
              <w:rPr>
                <w:sz w:val="12"/>
                <w:szCs w:val="12"/>
              </w:rPr>
            </w:pPr>
            <w:r w:rsidRPr="007F0083">
              <w:rPr>
                <w:sz w:val="12"/>
                <w:szCs w:val="12"/>
              </w:rPr>
              <w:t>Conventional Three-Sigma</w:t>
            </w:r>
          </w:p>
        </w:tc>
        <w:tc>
          <w:tcPr>
            <w:tcW w:w="798" w:type="dxa"/>
          </w:tcPr>
          <w:p w14:paraId="0E0C6605" w14:textId="1F89A70B" w:rsidR="00DF0272" w:rsidRPr="007F0083" w:rsidRDefault="00CF71FF" w:rsidP="005E63F2">
            <w:pPr>
              <w:rPr>
                <w:sz w:val="12"/>
                <w:szCs w:val="12"/>
              </w:rPr>
            </w:pPr>
            <w:r w:rsidRPr="007F0083">
              <w:rPr>
                <w:sz w:val="12"/>
                <w:szCs w:val="12"/>
              </w:rPr>
              <w:t>3</w:t>
            </w:r>
          </w:p>
        </w:tc>
        <w:tc>
          <w:tcPr>
            <w:tcW w:w="796" w:type="dxa"/>
          </w:tcPr>
          <w:p w14:paraId="0CB2996C" w14:textId="7EDA1D0B" w:rsidR="00DF0272" w:rsidRPr="007F0083" w:rsidRDefault="00CF71FF" w:rsidP="005E63F2">
            <w:pPr>
              <w:rPr>
                <w:sz w:val="12"/>
                <w:szCs w:val="12"/>
              </w:rPr>
            </w:pPr>
            <w:r w:rsidRPr="007F0083">
              <w:rPr>
                <w:sz w:val="12"/>
                <w:szCs w:val="12"/>
              </w:rPr>
              <w:t>0</w:t>
            </w:r>
          </w:p>
        </w:tc>
        <w:tc>
          <w:tcPr>
            <w:tcW w:w="796" w:type="dxa"/>
          </w:tcPr>
          <w:p w14:paraId="3AB48247" w14:textId="61CE112A" w:rsidR="00DF0272" w:rsidRPr="007F0083" w:rsidRDefault="00CF71FF" w:rsidP="005E63F2">
            <w:pPr>
              <w:rPr>
                <w:sz w:val="12"/>
                <w:szCs w:val="12"/>
              </w:rPr>
            </w:pPr>
            <w:r w:rsidRPr="007F0083">
              <w:rPr>
                <w:sz w:val="12"/>
                <w:szCs w:val="12"/>
              </w:rPr>
              <w:t>10</w:t>
            </w:r>
          </w:p>
        </w:tc>
        <w:tc>
          <w:tcPr>
            <w:tcW w:w="800" w:type="dxa"/>
          </w:tcPr>
          <w:p w14:paraId="39F6A08E" w14:textId="665F694B" w:rsidR="00DF0272" w:rsidRPr="007F0083" w:rsidRDefault="00CF71FF" w:rsidP="005E63F2">
            <w:pPr>
              <w:rPr>
                <w:sz w:val="12"/>
                <w:szCs w:val="12"/>
              </w:rPr>
            </w:pPr>
            <w:r w:rsidRPr="007F0083">
              <w:rPr>
                <w:sz w:val="12"/>
                <w:szCs w:val="12"/>
              </w:rPr>
              <w:t>19</w:t>
            </w:r>
          </w:p>
        </w:tc>
        <w:tc>
          <w:tcPr>
            <w:tcW w:w="802" w:type="dxa"/>
          </w:tcPr>
          <w:p w14:paraId="457A3B5B" w14:textId="328C644B" w:rsidR="00DF0272" w:rsidRPr="007F0083" w:rsidRDefault="008A2FFF" w:rsidP="005E63F2">
            <w:pPr>
              <w:rPr>
                <w:sz w:val="12"/>
                <w:szCs w:val="12"/>
              </w:rPr>
            </w:pPr>
            <w:r>
              <w:rPr>
                <w:sz w:val="12"/>
                <w:szCs w:val="12"/>
              </w:rPr>
              <w:t>109.5</w:t>
            </w:r>
          </w:p>
        </w:tc>
      </w:tr>
      <w:tr w:rsidR="00CF71FF" w14:paraId="03A22C5B" w14:textId="77777777" w:rsidTr="00853AE4">
        <w:tc>
          <w:tcPr>
            <w:tcW w:w="864" w:type="dxa"/>
          </w:tcPr>
          <w:p w14:paraId="322AE350" w14:textId="3FC0AA8C" w:rsidR="00DF0272" w:rsidRPr="007F0083" w:rsidRDefault="000A4596" w:rsidP="005E63F2">
            <w:pPr>
              <w:rPr>
                <w:sz w:val="12"/>
                <w:szCs w:val="12"/>
              </w:rPr>
            </w:pPr>
            <w:r w:rsidRPr="007F0083">
              <w:rPr>
                <w:sz w:val="12"/>
                <w:szCs w:val="12"/>
              </w:rPr>
              <w:t>GA-optimized</w:t>
            </w:r>
          </w:p>
        </w:tc>
        <w:tc>
          <w:tcPr>
            <w:tcW w:w="798" w:type="dxa"/>
          </w:tcPr>
          <w:p w14:paraId="325F4A4E" w14:textId="43DCEB34" w:rsidR="00DF0272" w:rsidRPr="007F0083" w:rsidRDefault="000A4596" w:rsidP="005E63F2">
            <w:pPr>
              <w:rPr>
                <w:sz w:val="12"/>
                <w:szCs w:val="12"/>
              </w:rPr>
            </w:pPr>
            <w:r w:rsidRPr="007F0083">
              <w:rPr>
                <w:sz w:val="12"/>
                <w:szCs w:val="12"/>
              </w:rPr>
              <w:t>2.34</w:t>
            </w:r>
          </w:p>
        </w:tc>
        <w:tc>
          <w:tcPr>
            <w:tcW w:w="796" w:type="dxa"/>
          </w:tcPr>
          <w:p w14:paraId="0CB26ECD" w14:textId="0FB34206" w:rsidR="00DF0272" w:rsidRPr="007F0083" w:rsidRDefault="00CF71FF" w:rsidP="005E63F2">
            <w:pPr>
              <w:rPr>
                <w:sz w:val="12"/>
                <w:szCs w:val="12"/>
              </w:rPr>
            </w:pPr>
            <w:r w:rsidRPr="007F0083">
              <w:rPr>
                <w:sz w:val="12"/>
                <w:szCs w:val="12"/>
              </w:rPr>
              <w:t>2</w:t>
            </w:r>
          </w:p>
        </w:tc>
        <w:tc>
          <w:tcPr>
            <w:tcW w:w="796" w:type="dxa"/>
          </w:tcPr>
          <w:p w14:paraId="3451677E" w14:textId="41485A0B" w:rsidR="00DF0272" w:rsidRPr="007F0083" w:rsidRDefault="00CF71FF" w:rsidP="005E63F2">
            <w:pPr>
              <w:rPr>
                <w:sz w:val="12"/>
                <w:szCs w:val="12"/>
              </w:rPr>
            </w:pPr>
            <w:r w:rsidRPr="007F0083">
              <w:rPr>
                <w:sz w:val="12"/>
                <w:szCs w:val="12"/>
              </w:rPr>
              <w:t>1</w:t>
            </w:r>
          </w:p>
        </w:tc>
        <w:tc>
          <w:tcPr>
            <w:tcW w:w="800" w:type="dxa"/>
          </w:tcPr>
          <w:p w14:paraId="31FC2F61" w14:textId="7F678438" w:rsidR="00DF0272" w:rsidRPr="007F0083" w:rsidRDefault="00CF71FF" w:rsidP="005E63F2">
            <w:pPr>
              <w:rPr>
                <w:sz w:val="12"/>
                <w:szCs w:val="12"/>
              </w:rPr>
            </w:pPr>
            <w:r w:rsidRPr="007F0083">
              <w:rPr>
                <w:sz w:val="12"/>
                <w:szCs w:val="12"/>
              </w:rPr>
              <w:t>30</w:t>
            </w:r>
          </w:p>
        </w:tc>
        <w:tc>
          <w:tcPr>
            <w:tcW w:w="802" w:type="dxa"/>
          </w:tcPr>
          <w:p w14:paraId="32B27794" w14:textId="1DE494C9" w:rsidR="00DF0272" w:rsidRPr="007F0083" w:rsidRDefault="008A2FFF" w:rsidP="005E63F2">
            <w:pPr>
              <w:rPr>
                <w:sz w:val="12"/>
                <w:szCs w:val="12"/>
              </w:rPr>
            </w:pPr>
            <w:r>
              <w:rPr>
                <w:sz w:val="12"/>
                <w:szCs w:val="12"/>
              </w:rPr>
              <w:t>27</w:t>
            </w:r>
          </w:p>
        </w:tc>
      </w:tr>
    </w:tbl>
    <w:p w14:paraId="2B9ADD74" w14:textId="77777777" w:rsidR="00853AE4" w:rsidRDefault="00853AE4" w:rsidP="005E63F2"/>
    <w:p w14:paraId="633DEA8F" w14:textId="77777777" w:rsidR="00853AE4" w:rsidRDefault="00853AE4" w:rsidP="005E63F2"/>
    <w:p w14:paraId="093D8BD9" w14:textId="6F2E6DF9" w:rsidR="005E63F2" w:rsidRDefault="00853AE4" w:rsidP="005E63F2">
      <w:r w:rsidRPr="00853AE4">
        <w:lastRenderedPageBreak/>
        <w:drawing>
          <wp:inline distT="0" distB="0" distL="0" distR="0" wp14:anchorId="1FF8ACEF" wp14:editId="7132237E">
            <wp:extent cx="3016250" cy="964505"/>
            <wp:effectExtent l="0" t="0" r="0" b="7620"/>
            <wp:docPr id="1136027161"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027161" name="Picture 1" descr="A graph of a graph&#10;&#10;AI-generated content may be incorrect."/>
                    <pic:cNvPicPr/>
                  </pic:nvPicPr>
                  <pic:blipFill>
                    <a:blip r:embed="rId12"/>
                    <a:stretch>
                      <a:fillRect/>
                    </a:stretch>
                  </pic:blipFill>
                  <pic:spPr>
                    <a:xfrm>
                      <a:off x="0" y="0"/>
                      <a:ext cx="3113434" cy="995582"/>
                    </a:xfrm>
                    <a:prstGeom prst="rect">
                      <a:avLst/>
                    </a:prstGeom>
                  </pic:spPr>
                </pic:pic>
              </a:graphicData>
            </a:graphic>
          </wp:inline>
        </w:drawing>
      </w:r>
    </w:p>
    <w:p w14:paraId="7E705A7F" w14:textId="7B2E1344" w:rsidR="00853AE4" w:rsidRDefault="00853AE4" w:rsidP="00853AE4">
      <w:pPr>
        <w:pStyle w:val="BodyText"/>
        <w:ind w:left="288" w:firstLine="0"/>
        <w:rPr>
          <w:sz w:val="18"/>
          <w:szCs w:val="18"/>
          <w:lang w:val="en-US"/>
        </w:rPr>
      </w:pPr>
      <w:r w:rsidRPr="00C31E90">
        <w:rPr>
          <w:sz w:val="18"/>
          <w:szCs w:val="18"/>
        </w:rPr>
        <w:t>Fig.</w:t>
      </w:r>
      <w:r>
        <w:rPr>
          <w:sz w:val="18"/>
          <w:szCs w:val="18"/>
        </w:rPr>
        <w:t>2</w:t>
      </w:r>
      <w:r w:rsidRPr="00C31E90">
        <w:rPr>
          <w:sz w:val="18"/>
          <w:szCs w:val="18"/>
        </w:rPr>
        <w:t xml:space="preserve">. </w:t>
      </w:r>
      <w:r w:rsidR="00B40D55" w:rsidRPr="00B40D55">
        <w:rPr>
          <w:sz w:val="18"/>
          <w:szCs w:val="18"/>
          <w:lang w:val="en-US"/>
        </w:rPr>
        <w:t>Traditional X-Bar Chart</w:t>
      </w:r>
    </w:p>
    <w:p w14:paraId="1A5FA0D0" w14:textId="0A782BCA" w:rsidR="00B40D55" w:rsidRDefault="00B410E9" w:rsidP="00B410E9">
      <w:pPr>
        <w:pStyle w:val="BodyText"/>
        <w:ind w:firstLine="0"/>
        <w:rPr>
          <w:sz w:val="18"/>
          <w:szCs w:val="18"/>
          <w:lang w:val="en-US"/>
        </w:rPr>
      </w:pPr>
      <w:r w:rsidRPr="00B410E9">
        <w:rPr>
          <w:sz w:val="18"/>
          <w:szCs w:val="18"/>
          <w:lang w:val="en-US"/>
        </w:rPr>
        <w:drawing>
          <wp:inline distT="0" distB="0" distL="0" distR="0" wp14:anchorId="3F349B61" wp14:editId="22BE7C5A">
            <wp:extent cx="3105150" cy="971874"/>
            <wp:effectExtent l="0" t="0" r="0" b="0"/>
            <wp:docPr id="1222896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896677" name=""/>
                    <pic:cNvPicPr/>
                  </pic:nvPicPr>
                  <pic:blipFill>
                    <a:blip r:embed="rId13"/>
                    <a:stretch>
                      <a:fillRect/>
                    </a:stretch>
                  </pic:blipFill>
                  <pic:spPr>
                    <a:xfrm>
                      <a:off x="0" y="0"/>
                      <a:ext cx="3150713" cy="986135"/>
                    </a:xfrm>
                    <a:prstGeom prst="rect">
                      <a:avLst/>
                    </a:prstGeom>
                  </pic:spPr>
                </pic:pic>
              </a:graphicData>
            </a:graphic>
          </wp:inline>
        </w:drawing>
      </w:r>
    </w:p>
    <w:p w14:paraId="44599E20" w14:textId="2E167EFB" w:rsidR="00853AE4" w:rsidRDefault="00B410E9" w:rsidP="00B410E9">
      <w:pPr>
        <w:pStyle w:val="BodyText"/>
        <w:ind w:left="288" w:firstLine="0"/>
      </w:pPr>
      <w:r w:rsidRPr="00C31E90">
        <w:rPr>
          <w:sz w:val="18"/>
          <w:szCs w:val="18"/>
        </w:rPr>
        <w:t>Fig.</w:t>
      </w:r>
      <w:r>
        <w:rPr>
          <w:sz w:val="18"/>
          <w:szCs w:val="18"/>
        </w:rPr>
        <w:t>3</w:t>
      </w:r>
      <w:r w:rsidRPr="00C31E90">
        <w:rPr>
          <w:sz w:val="18"/>
          <w:szCs w:val="18"/>
        </w:rPr>
        <w:t xml:space="preserve">. </w:t>
      </w:r>
      <w:r>
        <w:rPr>
          <w:sz w:val="18"/>
          <w:szCs w:val="18"/>
          <w:lang w:val="en-US"/>
        </w:rPr>
        <w:t xml:space="preserve">GA </w:t>
      </w:r>
      <w:r w:rsidRPr="00B40D55">
        <w:rPr>
          <w:sz w:val="18"/>
          <w:szCs w:val="18"/>
          <w:lang w:val="en-US"/>
        </w:rPr>
        <w:t>X-Bar Chart</w:t>
      </w:r>
    </w:p>
    <w:p w14:paraId="2963E895" w14:textId="7B49C677" w:rsidR="00996050" w:rsidRDefault="000A4596" w:rsidP="00082A1C">
      <w:pPr>
        <w:jc w:val="left"/>
      </w:pPr>
      <w:r w:rsidRPr="000A4596">
        <w:t>The GA-</w:t>
      </w:r>
      <w:r w:rsidR="00145F94" w:rsidRPr="000A4596">
        <w:t>optimized</w:t>
      </w:r>
      <w:r w:rsidRPr="000A4596">
        <w:t xml:space="preserve"> coefficient achieves a </w:t>
      </w:r>
      <w:r w:rsidR="00853AE4">
        <w:t>75</w:t>
      </w:r>
      <w:r w:rsidRPr="000A4596">
        <w:t xml:space="preserve"> % reduction in total cost relative to the conventional heuristic. Although OOC alarms increase from 19 to 30, the associated handling expense (30 × 0.5 USD = 15 USD) is negligible compared with the drastic decline</w:t>
      </w:r>
      <w:r w:rsidRPr="000A4596">
        <w:rPr>
          <w:rFonts w:hint="eastAsia"/>
        </w:rPr>
        <w:t xml:space="preserve"> in customer-escape cost (100 USD </w:t>
      </w:r>
      <w:r w:rsidRPr="000A4596">
        <w:rPr>
          <w:rFonts w:hint="eastAsia"/>
        </w:rPr>
        <w:t>→</w:t>
      </w:r>
      <w:r w:rsidRPr="000A4596">
        <w:rPr>
          <w:rFonts w:hint="eastAsia"/>
        </w:rPr>
        <w:t xml:space="preserve"> 10 USD). Recall consequently improves from 66 % to 97 %, satisfying the 95 % lower bound while the alarm-rate constraint (3 %) remains well below the 5 % specification.</w:t>
      </w:r>
    </w:p>
    <w:p w14:paraId="32FB9B4B" w14:textId="7D228337" w:rsidR="00A04A80" w:rsidRDefault="00C44685" w:rsidP="00A04A80">
      <w:pPr>
        <w:pStyle w:val="Heading2"/>
      </w:pPr>
      <w:r w:rsidRPr="00C44685">
        <w:t>Sensitivity to Customer-Escape Penalty</w:t>
      </w:r>
    </w:p>
    <w:p w14:paraId="6B3951B2" w14:textId="5568FD6D" w:rsidR="0037463E" w:rsidRPr="00082A1C" w:rsidRDefault="00C44685" w:rsidP="00082A1C">
      <w:pPr>
        <w:ind w:firstLine="504"/>
        <w:jc w:val="left"/>
      </w:pPr>
      <w:r w:rsidRPr="00C44685">
        <w:t>Doubling</w:t>
      </w:r>
      <w:r w:rsidR="0044565B">
        <w:t xml:space="preserve"> </w:t>
      </w:r>
      <m:oMath>
        <m:sSub>
          <m:sSubPr>
            <m:ctrlPr>
              <w:rPr>
                <w:rFonts w:ascii="Cambria Math" w:hAnsi="Cambria Math"/>
                <w:i/>
                <w:spacing w:val="-1"/>
                <w:lang w:eastAsia="x-none"/>
              </w:rPr>
            </m:ctrlPr>
          </m:sSubPr>
          <m:e>
            <m:r>
              <w:rPr>
                <w:rFonts w:ascii="Cambria Math" w:hAnsi="Cambria Math"/>
              </w:rPr>
              <m:t>C</m:t>
            </m:r>
          </m:e>
          <m:sub>
            <m:r>
              <w:rPr>
                <w:rFonts w:ascii="Cambria Math" w:hAnsi="Cambria Math"/>
              </w:rPr>
              <m:t>fn</m:t>
            </m:r>
          </m:sub>
        </m:sSub>
      </m:oMath>
      <w:r w:rsidRPr="00C44685">
        <w:rPr>
          <w:rFonts w:hint="eastAsia"/>
        </w:rPr>
        <w:t xml:space="preserve"> </w:t>
      </w:r>
      <w:r w:rsidR="0044565B" w:rsidRPr="0044565B">
        <w:t>to 20 USD shifts the optimal limit to</w:t>
      </w:r>
      <w:r>
        <w:t xml:space="preserve"> </w:t>
      </w:r>
      <w:r w:rsidR="0044565B" w:rsidRPr="0037463E">
        <w:t xml:space="preserve">k = </w:t>
      </w:r>
      <w:r w:rsidR="00F50FA6" w:rsidRPr="0037463E">
        <w:t>2.12</w:t>
      </w:r>
      <w:r w:rsidR="00F50FA6" w:rsidRPr="0037463E">
        <w:rPr>
          <w:i/>
          <w:iCs/>
        </w:rPr>
        <w:t xml:space="preserve"> </w:t>
      </w:r>
      <w:r w:rsidR="00F50FA6" w:rsidRPr="00D12192">
        <w:t>eliminating</w:t>
      </w:r>
      <w:r w:rsidR="00F50FA6" w:rsidRPr="00F50FA6">
        <w:t xml:space="preserve"> all FN at a modest total cost of 78 USD. Halving</w:t>
      </w:r>
      <w:r w:rsidR="00F50FA6" w:rsidRPr="00F50FA6">
        <w:rPr>
          <w:rFonts w:hint="eastAsia"/>
        </w:rPr>
        <w:t xml:space="preserve"> </w:t>
      </w:r>
      <m:oMath>
        <m:sSub>
          <m:sSubPr>
            <m:ctrlPr>
              <w:rPr>
                <w:rFonts w:ascii="Cambria Math" w:hAnsi="Cambria Math"/>
                <w:i/>
                <w:spacing w:val="-1"/>
                <w:lang w:eastAsia="x-none"/>
              </w:rPr>
            </m:ctrlPr>
          </m:sSubPr>
          <m:e>
            <m:r>
              <w:rPr>
                <w:rFonts w:ascii="Cambria Math" w:hAnsi="Cambria Math"/>
              </w:rPr>
              <m:t>C</m:t>
            </m:r>
          </m:e>
          <m:sub>
            <m:r>
              <w:rPr>
                <w:rFonts w:ascii="Cambria Math" w:hAnsi="Cambria Math"/>
              </w:rPr>
              <m:t>fn</m:t>
            </m:r>
          </m:sub>
        </m:sSub>
      </m:oMath>
      <w:r w:rsidR="00F50FA6">
        <w:t xml:space="preserve"> to 5 USD </w:t>
      </w:r>
      <w:r w:rsidR="0037463E" w:rsidRPr="0037463E">
        <w:t>relaxes the limit to</w:t>
      </w:r>
      <w:r w:rsidR="0037463E">
        <w:t xml:space="preserve"> </w:t>
      </w:r>
      <w:r w:rsidR="0037463E" w:rsidRPr="0037463E">
        <w:t>k = 2.83 and yields an intermediate cost of 112 USD. These results confirm that the framework responds smoothly and rationally to economic parameter variation.</w:t>
      </w:r>
    </w:p>
    <w:p w14:paraId="399C93EE" w14:textId="1AA9BF24" w:rsidR="00045741" w:rsidRDefault="00045741" w:rsidP="00045741">
      <w:pPr>
        <w:pStyle w:val="Heading2"/>
      </w:pPr>
      <w:r w:rsidRPr="00045741">
        <w:t>Grid-Search Verification</w:t>
      </w:r>
    </w:p>
    <w:p w14:paraId="0E8C5B70" w14:textId="31AC6FC9" w:rsidR="00045741" w:rsidRDefault="00045741" w:rsidP="00045741">
      <w:pPr>
        <w:ind w:firstLine="504"/>
        <w:jc w:val="left"/>
      </w:pPr>
      <w:r w:rsidRPr="00045741">
        <w:t>The exhaustive grid search identifies an optimal k = 2.35, differing by only 0.01 from the GA solution and producing an indistinguishable cost to one decimal place. The GA therefore attains near-exhaustive accuracy while requiring approximately one-twenty-fourth of the evaluations.</w:t>
      </w:r>
    </w:p>
    <w:p w14:paraId="1C8487AB" w14:textId="6F624801" w:rsidR="00082A1C" w:rsidRDefault="004D6902" w:rsidP="00082A1C">
      <w:pPr>
        <w:pStyle w:val="Heading1"/>
      </w:pPr>
      <w:r w:rsidRPr="004D6902">
        <w:t>Conclusion</w:t>
      </w:r>
    </w:p>
    <w:p w14:paraId="010D300A" w14:textId="7CE3F0CF" w:rsidR="00045741" w:rsidRPr="0037463E" w:rsidRDefault="004D6902" w:rsidP="00045741">
      <w:pPr>
        <w:ind w:firstLine="504"/>
        <w:jc w:val="left"/>
        <w:rPr>
          <w:sz w:val="22"/>
          <w:szCs w:val="22"/>
        </w:rPr>
      </w:pPr>
      <w:r w:rsidRPr="004D6902">
        <w:t xml:space="preserve">A cost-sensitive GA can slash SPC operating cost by more than </w:t>
      </w:r>
      <w:r w:rsidR="006F4E35">
        <w:t>75</w:t>
      </w:r>
      <w:r w:rsidRPr="004D6902">
        <w:t xml:space="preserve"> % while elevating recall from 66 % to 97 %. By preserving the interpretability of the Shewhart X-bar chart yet tailoring its limits to plant-specific economics, the proposed framework offers a pragmatic route to enhanced quality assurance and cost efficiency. Future work will extend the method to multivariate charts, drifting processes and adaptive online learning of cost parameters.</w:t>
      </w:r>
    </w:p>
    <w:p w14:paraId="21523B97" w14:textId="77777777" w:rsidR="009303D9" w:rsidRDefault="009303D9" w:rsidP="00A059B3">
      <w:pPr>
        <w:pStyle w:val="Heading5"/>
      </w:pPr>
      <w:r w:rsidRPr="005B520E">
        <w:t>References</w:t>
      </w:r>
    </w:p>
    <w:p w14:paraId="6EC0CB44" w14:textId="77777777" w:rsidR="00F70F34" w:rsidRDefault="00F70F34" w:rsidP="00F70F34">
      <w:pPr>
        <w:pStyle w:val="BodyText"/>
      </w:pPr>
      <w:r>
        <w:t>[1] D. C. Montgomery, Introduction to Statistical Quality Control, 8th ed. Hoboken, NJ, USA: Wiley, 2020.</w:t>
      </w:r>
    </w:p>
    <w:p w14:paraId="7542CF62" w14:textId="77777777" w:rsidR="00F70F34" w:rsidRDefault="00F70F34" w:rsidP="00F70F34">
      <w:pPr>
        <w:pStyle w:val="BodyText"/>
      </w:pPr>
      <w:r>
        <w:t xml:space="preserve">[2] Y. Reyes, L. Magaña and R. Colomo-Palacios, “Genetic-algorithm–based economic design of attribute control charts,” IEEE Trans. </w:t>
      </w:r>
      <w:proofErr w:type="spellStart"/>
      <w:r>
        <w:t>Semicond</w:t>
      </w:r>
      <w:proofErr w:type="spellEnd"/>
      <w:r>
        <w:t>. Manuf., vol. 33, no. 4, pp. 588–597, Nov. 2020.</w:t>
      </w:r>
    </w:p>
    <w:p w14:paraId="1F1AE128" w14:textId="77777777" w:rsidR="00F70F34" w:rsidRDefault="00F70F34" w:rsidP="00F70F34">
      <w:pPr>
        <w:pStyle w:val="BodyText"/>
      </w:pPr>
      <w:r>
        <w:t>[3] M. Haque and R. Islam, “Cost-</w:t>
      </w:r>
      <w:proofErr w:type="spellStart"/>
      <w:r>
        <w:t>optimised</w:t>
      </w:r>
      <w:proofErr w:type="spellEnd"/>
      <w:r>
        <w:t xml:space="preserve"> X-bar chart using genetic algorithms,” in Proc. IEEE Int. Conf. Ind. Eng. Appl., 2019, pp. 123–127.</w:t>
      </w:r>
    </w:p>
    <w:p w14:paraId="653C8D6D" w14:textId="77777777" w:rsidR="00F70F34" w:rsidRDefault="00F70F34" w:rsidP="00F70F34">
      <w:pPr>
        <w:pStyle w:val="BodyText"/>
      </w:pPr>
      <w:r>
        <w:t>[4] International Roadmap for Devices and Systems (IRDS), 2022 Edition: Executive Summary, IEEE Standards Assoc., Piscataway, NJ, USA, 2022.</w:t>
      </w:r>
    </w:p>
    <w:p w14:paraId="5F0A7CE4" w14:textId="77777777" w:rsidR="00F70F34" w:rsidRDefault="00F70F34" w:rsidP="00F70F34">
      <w:pPr>
        <w:pStyle w:val="BodyText"/>
      </w:pPr>
      <w:r>
        <w:t>[5] W. A. Shewhart, Economic Control of Quality of Manufactured Product. New York, NY, USA: D. Van Nostrand, 1931.</w:t>
      </w:r>
    </w:p>
    <w:p w14:paraId="30661F0E" w14:textId="77777777" w:rsidR="00F70F34" w:rsidRDefault="00F70F34" w:rsidP="00F70F34">
      <w:pPr>
        <w:pStyle w:val="BodyText"/>
      </w:pPr>
      <w:r>
        <w:t>[6] S. Borror and J. Woodall, “The economic consequences of quality escapes in semiconductor manufacturing,” Qual. Eng., vol. 29, no. 2, pp. 193–204, 2017.</w:t>
      </w:r>
    </w:p>
    <w:p w14:paraId="57DBF316" w14:textId="1306640F" w:rsidR="008147B5" w:rsidRPr="00156B74" w:rsidRDefault="00F70F34" w:rsidP="00F70F34">
      <w:pPr>
        <w:pStyle w:val="BodyText"/>
      </w:pPr>
      <w:r>
        <w:t>[7] A. J. Duncan, Quality Control and Industrial Statistics, 5th ed. Homewood, IL, USA: Irwin, 1986.</w:t>
      </w:r>
    </w:p>
    <w:p w14:paraId="67664B9A" w14:textId="77777777" w:rsidR="008147B5" w:rsidRDefault="008147B5" w:rsidP="008147B5">
      <w:pPr>
        <w:pStyle w:val="references"/>
        <w:numPr>
          <w:ilvl w:val="0"/>
          <w:numId w:val="0"/>
        </w:numPr>
        <w:ind w:left="354"/>
      </w:pPr>
    </w:p>
    <w:p w14:paraId="481D7272" w14:textId="77777777" w:rsidR="009303D9" w:rsidRDefault="009303D9" w:rsidP="00836367">
      <w:pPr>
        <w:pStyle w:val="references"/>
        <w:numPr>
          <w:ilvl w:val="0"/>
          <w:numId w:val="0"/>
        </w:numPr>
        <w:ind w:left="360" w:hanging="360"/>
      </w:pPr>
    </w:p>
    <w:p w14:paraId="2CBC4D6A" w14:textId="77777777" w:rsidR="00836367" w:rsidRPr="00F96569" w:rsidRDefault="00836367" w:rsidP="008B6524">
      <w:pPr>
        <w:pStyle w:val="references"/>
        <w:numPr>
          <w:ilvl w:val="0"/>
          <w:numId w:val="0"/>
        </w:numPr>
        <w:spacing w:line="240" w:lineRule="auto"/>
        <w:ind w:left="360" w:hanging="360"/>
        <w:jc w:val="center"/>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EF2B8B8" w14:textId="4F8C0ED6" w:rsidR="009303D9" w:rsidRDefault="009303D9" w:rsidP="005B520E"/>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3B8B40" w14:textId="77777777" w:rsidR="000C15F9" w:rsidRDefault="000C15F9" w:rsidP="001A3B3D">
      <w:r>
        <w:separator/>
      </w:r>
    </w:p>
  </w:endnote>
  <w:endnote w:type="continuationSeparator" w:id="0">
    <w:p w14:paraId="39576254" w14:textId="77777777" w:rsidR="000C15F9" w:rsidRDefault="000C15F9"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3A950E" w14:textId="77777777" w:rsidR="000C15F9" w:rsidRDefault="000C15F9" w:rsidP="001A3B3D">
      <w:r>
        <w:separator/>
      </w:r>
    </w:p>
  </w:footnote>
  <w:footnote w:type="continuationSeparator" w:id="0">
    <w:p w14:paraId="28FD8E9E" w14:textId="77777777" w:rsidR="000C15F9" w:rsidRDefault="000C15F9"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CB14023"/>
    <w:multiLevelType w:val="hybridMultilevel"/>
    <w:tmpl w:val="7FF65F24"/>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5"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8FA06CD"/>
    <w:multiLevelType w:val="hybridMultilevel"/>
    <w:tmpl w:val="26668E12"/>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2790"/>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1440"/>
        </w:tabs>
        <w:ind w:left="136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559D248C"/>
    <w:multiLevelType w:val="hybridMultilevel"/>
    <w:tmpl w:val="87A64D36"/>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2"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3"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5"/>
  </w:num>
  <w:num w:numId="2" w16cid:durableId="568543031">
    <w:abstractNumId w:val="22"/>
  </w:num>
  <w:num w:numId="3" w16cid:durableId="1207790780">
    <w:abstractNumId w:val="13"/>
  </w:num>
  <w:num w:numId="4" w16cid:durableId="629168631">
    <w:abstractNumId w:val="18"/>
  </w:num>
  <w:num w:numId="5" w16cid:durableId="1032806882">
    <w:abstractNumId w:val="18"/>
  </w:num>
  <w:num w:numId="6" w16cid:durableId="1614826021">
    <w:abstractNumId w:val="18"/>
  </w:num>
  <w:num w:numId="7" w16cid:durableId="1871990542">
    <w:abstractNumId w:val="18"/>
  </w:num>
  <w:num w:numId="8" w16cid:durableId="2088458160">
    <w:abstractNumId w:val="20"/>
  </w:num>
  <w:num w:numId="9" w16cid:durableId="231694775">
    <w:abstractNumId w:val="23"/>
  </w:num>
  <w:num w:numId="10" w16cid:durableId="2126189682">
    <w:abstractNumId w:val="17"/>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9"/>
  </w:num>
  <w:num w:numId="25" w16cid:durableId="142235498">
    <w:abstractNumId w:val="21"/>
  </w:num>
  <w:num w:numId="26" w16cid:durableId="1962611063">
    <w:abstractNumId w:val="14"/>
  </w:num>
  <w:num w:numId="27" w16cid:durableId="291404916">
    <w:abstractNumId w:val="16"/>
  </w:num>
  <w:num w:numId="28" w16cid:durableId="167433169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45240297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30399625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50196880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456878779">
    <w:abstractNumId w:val="18"/>
  </w:num>
  <w:num w:numId="33" w16cid:durableId="202455416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30DC"/>
    <w:rsid w:val="00007306"/>
    <w:rsid w:val="000225F5"/>
    <w:rsid w:val="0003206B"/>
    <w:rsid w:val="00045741"/>
    <w:rsid w:val="0004781E"/>
    <w:rsid w:val="00064C56"/>
    <w:rsid w:val="00082A1C"/>
    <w:rsid w:val="000869F2"/>
    <w:rsid w:val="0008758A"/>
    <w:rsid w:val="00096D14"/>
    <w:rsid w:val="00096E75"/>
    <w:rsid w:val="000A4596"/>
    <w:rsid w:val="000C15F9"/>
    <w:rsid w:val="000C1E68"/>
    <w:rsid w:val="000E3E7A"/>
    <w:rsid w:val="000F5B79"/>
    <w:rsid w:val="001203F2"/>
    <w:rsid w:val="00145BFA"/>
    <w:rsid w:val="00145F94"/>
    <w:rsid w:val="00153EFD"/>
    <w:rsid w:val="00174029"/>
    <w:rsid w:val="001857C3"/>
    <w:rsid w:val="00190E6E"/>
    <w:rsid w:val="001A2EFD"/>
    <w:rsid w:val="001A3B3D"/>
    <w:rsid w:val="001A42F5"/>
    <w:rsid w:val="001B1FD3"/>
    <w:rsid w:val="001B67DC"/>
    <w:rsid w:val="001E7D71"/>
    <w:rsid w:val="00220C4B"/>
    <w:rsid w:val="002254A9"/>
    <w:rsid w:val="00233D97"/>
    <w:rsid w:val="002347A2"/>
    <w:rsid w:val="0023639F"/>
    <w:rsid w:val="002850E3"/>
    <w:rsid w:val="00307BDA"/>
    <w:rsid w:val="003260D7"/>
    <w:rsid w:val="00334189"/>
    <w:rsid w:val="0034470F"/>
    <w:rsid w:val="00354FCF"/>
    <w:rsid w:val="0037463E"/>
    <w:rsid w:val="00387706"/>
    <w:rsid w:val="00394256"/>
    <w:rsid w:val="003A19E2"/>
    <w:rsid w:val="003B2B40"/>
    <w:rsid w:val="003B4E04"/>
    <w:rsid w:val="003B7EE3"/>
    <w:rsid w:val="003C6DAA"/>
    <w:rsid w:val="003F5A08"/>
    <w:rsid w:val="00420716"/>
    <w:rsid w:val="00422F22"/>
    <w:rsid w:val="004325FB"/>
    <w:rsid w:val="004432BA"/>
    <w:rsid w:val="0044407E"/>
    <w:rsid w:val="0044565B"/>
    <w:rsid w:val="00447BB9"/>
    <w:rsid w:val="0046031D"/>
    <w:rsid w:val="00473AC9"/>
    <w:rsid w:val="0048263A"/>
    <w:rsid w:val="00492F1F"/>
    <w:rsid w:val="004D1AA8"/>
    <w:rsid w:val="004D6902"/>
    <w:rsid w:val="004D72B5"/>
    <w:rsid w:val="004F37C0"/>
    <w:rsid w:val="005074D5"/>
    <w:rsid w:val="00513B71"/>
    <w:rsid w:val="00516B8A"/>
    <w:rsid w:val="005355A4"/>
    <w:rsid w:val="005463B0"/>
    <w:rsid w:val="00551B7F"/>
    <w:rsid w:val="0056610F"/>
    <w:rsid w:val="00575BCA"/>
    <w:rsid w:val="00582818"/>
    <w:rsid w:val="00590D36"/>
    <w:rsid w:val="0059789D"/>
    <w:rsid w:val="005B0344"/>
    <w:rsid w:val="005B520E"/>
    <w:rsid w:val="005C240F"/>
    <w:rsid w:val="005E2800"/>
    <w:rsid w:val="005E63F2"/>
    <w:rsid w:val="005F2424"/>
    <w:rsid w:val="005F75C1"/>
    <w:rsid w:val="0060551A"/>
    <w:rsid w:val="00605825"/>
    <w:rsid w:val="00645D22"/>
    <w:rsid w:val="00651A08"/>
    <w:rsid w:val="00654204"/>
    <w:rsid w:val="006621A9"/>
    <w:rsid w:val="006643DC"/>
    <w:rsid w:val="00670434"/>
    <w:rsid w:val="0067319F"/>
    <w:rsid w:val="006A1EBD"/>
    <w:rsid w:val="006A5D82"/>
    <w:rsid w:val="006B6B66"/>
    <w:rsid w:val="006D63FA"/>
    <w:rsid w:val="006D69F2"/>
    <w:rsid w:val="006E66FD"/>
    <w:rsid w:val="006F31D3"/>
    <w:rsid w:val="006F4E35"/>
    <w:rsid w:val="006F6D3D"/>
    <w:rsid w:val="00715BEA"/>
    <w:rsid w:val="00715CAC"/>
    <w:rsid w:val="00726172"/>
    <w:rsid w:val="00737A5F"/>
    <w:rsid w:val="00740EEA"/>
    <w:rsid w:val="00742856"/>
    <w:rsid w:val="00762E38"/>
    <w:rsid w:val="007878CB"/>
    <w:rsid w:val="007906F2"/>
    <w:rsid w:val="00794804"/>
    <w:rsid w:val="007A1B2A"/>
    <w:rsid w:val="007A3083"/>
    <w:rsid w:val="007B0272"/>
    <w:rsid w:val="007B33F1"/>
    <w:rsid w:val="007B6DDA"/>
    <w:rsid w:val="007C0308"/>
    <w:rsid w:val="007C0CFB"/>
    <w:rsid w:val="007C24ED"/>
    <w:rsid w:val="007C2FF2"/>
    <w:rsid w:val="007D4C1D"/>
    <w:rsid w:val="007D6232"/>
    <w:rsid w:val="007D7D29"/>
    <w:rsid w:val="007F0083"/>
    <w:rsid w:val="007F1F99"/>
    <w:rsid w:val="007F768F"/>
    <w:rsid w:val="0080791D"/>
    <w:rsid w:val="008147B5"/>
    <w:rsid w:val="00830DA4"/>
    <w:rsid w:val="00833622"/>
    <w:rsid w:val="00836367"/>
    <w:rsid w:val="00843623"/>
    <w:rsid w:val="00853AE4"/>
    <w:rsid w:val="00861686"/>
    <w:rsid w:val="00870D94"/>
    <w:rsid w:val="00873603"/>
    <w:rsid w:val="008818FF"/>
    <w:rsid w:val="008A098E"/>
    <w:rsid w:val="008A2C7D"/>
    <w:rsid w:val="008A2FFF"/>
    <w:rsid w:val="008B6524"/>
    <w:rsid w:val="008B7EB2"/>
    <w:rsid w:val="008C20A0"/>
    <w:rsid w:val="008C4B23"/>
    <w:rsid w:val="008D42A0"/>
    <w:rsid w:val="008F6E2C"/>
    <w:rsid w:val="009156D2"/>
    <w:rsid w:val="00920471"/>
    <w:rsid w:val="009303D9"/>
    <w:rsid w:val="00933C64"/>
    <w:rsid w:val="009542ED"/>
    <w:rsid w:val="00955103"/>
    <w:rsid w:val="009623F8"/>
    <w:rsid w:val="00962488"/>
    <w:rsid w:val="00964663"/>
    <w:rsid w:val="00972203"/>
    <w:rsid w:val="0097782C"/>
    <w:rsid w:val="00977E70"/>
    <w:rsid w:val="00996050"/>
    <w:rsid w:val="009972EF"/>
    <w:rsid w:val="009A6089"/>
    <w:rsid w:val="009A7C59"/>
    <w:rsid w:val="009F1D79"/>
    <w:rsid w:val="009F3E9F"/>
    <w:rsid w:val="00A04A80"/>
    <w:rsid w:val="00A059B3"/>
    <w:rsid w:val="00A06156"/>
    <w:rsid w:val="00A56A6A"/>
    <w:rsid w:val="00A633E8"/>
    <w:rsid w:val="00AD2AEA"/>
    <w:rsid w:val="00AE008F"/>
    <w:rsid w:val="00AE3409"/>
    <w:rsid w:val="00B11A60"/>
    <w:rsid w:val="00B22613"/>
    <w:rsid w:val="00B2599A"/>
    <w:rsid w:val="00B30AC5"/>
    <w:rsid w:val="00B40D55"/>
    <w:rsid w:val="00B410E9"/>
    <w:rsid w:val="00B44A76"/>
    <w:rsid w:val="00B51F04"/>
    <w:rsid w:val="00B71C43"/>
    <w:rsid w:val="00B768D1"/>
    <w:rsid w:val="00B935A5"/>
    <w:rsid w:val="00BA1025"/>
    <w:rsid w:val="00BB0E9C"/>
    <w:rsid w:val="00BB51A5"/>
    <w:rsid w:val="00BC3420"/>
    <w:rsid w:val="00BC3A1C"/>
    <w:rsid w:val="00BD670B"/>
    <w:rsid w:val="00BE7D3C"/>
    <w:rsid w:val="00BF5FF6"/>
    <w:rsid w:val="00C01768"/>
    <w:rsid w:val="00C0207F"/>
    <w:rsid w:val="00C16117"/>
    <w:rsid w:val="00C3075A"/>
    <w:rsid w:val="00C31E90"/>
    <w:rsid w:val="00C44685"/>
    <w:rsid w:val="00C741F7"/>
    <w:rsid w:val="00C919A4"/>
    <w:rsid w:val="00C96E17"/>
    <w:rsid w:val="00C9755C"/>
    <w:rsid w:val="00CA4392"/>
    <w:rsid w:val="00CA76CB"/>
    <w:rsid w:val="00CC393F"/>
    <w:rsid w:val="00CE5221"/>
    <w:rsid w:val="00CF71FF"/>
    <w:rsid w:val="00D10814"/>
    <w:rsid w:val="00D12192"/>
    <w:rsid w:val="00D2176E"/>
    <w:rsid w:val="00D31E18"/>
    <w:rsid w:val="00D54CEF"/>
    <w:rsid w:val="00D632BE"/>
    <w:rsid w:val="00D70251"/>
    <w:rsid w:val="00D72D06"/>
    <w:rsid w:val="00D7522C"/>
    <w:rsid w:val="00D7536F"/>
    <w:rsid w:val="00D76668"/>
    <w:rsid w:val="00D76C21"/>
    <w:rsid w:val="00D9472A"/>
    <w:rsid w:val="00D97772"/>
    <w:rsid w:val="00DA3D32"/>
    <w:rsid w:val="00DB4ADD"/>
    <w:rsid w:val="00DB5BB2"/>
    <w:rsid w:val="00DE67B4"/>
    <w:rsid w:val="00DF0272"/>
    <w:rsid w:val="00E02DFC"/>
    <w:rsid w:val="00E07383"/>
    <w:rsid w:val="00E165BC"/>
    <w:rsid w:val="00E26259"/>
    <w:rsid w:val="00E61E12"/>
    <w:rsid w:val="00E7596C"/>
    <w:rsid w:val="00E878F2"/>
    <w:rsid w:val="00EB5188"/>
    <w:rsid w:val="00ED0149"/>
    <w:rsid w:val="00EE037E"/>
    <w:rsid w:val="00EE288F"/>
    <w:rsid w:val="00EF71C1"/>
    <w:rsid w:val="00EF7DE3"/>
    <w:rsid w:val="00F03103"/>
    <w:rsid w:val="00F03A46"/>
    <w:rsid w:val="00F131FA"/>
    <w:rsid w:val="00F2327E"/>
    <w:rsid w:val="00F271DE"/>
    <w:rsid w:val="00F301D4"/>
    <w:rsid w:val="00F50FA6"/>
    <w:rsid w:val="00F627DA"/>
    <w:rsid w:val="00F70F34"/>
    <w:rsid w:val="00F7288F"/>
    <w:rsid w:val="00F73D86"/>
    <w:rsid w:val="00F75044"/>
    <w:rsid w:val="00F84727"/>
    <w:rsid w:val="00F847A6"/>
    <w:rsid w:val="00F932E0"/>
    <w:rsid w:val="00F9441B"/>
    <w:rsid w:val="00F96A16"/>
    <w:rsid w:val="00FA0ED5"/>
    <w:rsid w:val="00FA4C32"/>
    <w:rsid w:val="00FB0BD7"/>
    <w:rsid w:val="00FD2A4D"/>
    <w:rsid w:val="00FD6F2C"/>
    <w:rsid w:val="00FD79D0"/>
    <w:rsid w:val="00FE7114"/>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clear" w:pos="2790"/>
        <w:tab w:val="left" w:pos="216"/>
        <w:tab w:val="num" w:pos="57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FootnoteText">
    <w:name w:val="footnote text"/>
    <w:basedOn w:val="Normal"/>
    <w:link w:val="FootnoteTextChar"/>
    <w:rsid w:val="00977E70"/>
  </w:style>
  <w:style w:type="character" w:customStyle="1" w:styleId="FootnoteTextChar">
    <w:name w:val="Footnote Text Char"/>
    <w:basedOn w:val="DefaultParagraphFont"/>
    <w:link w:val="FootnoteText"/>
    <w:rsid w:val="00977E70"/>
  </w:style>
  <w:style w:type="character" w:styleId="FootnoteReference">
    <w:name w:val="footnote reference"/>
    <w:basedOn w:val="DefaultParagraphFont"/>
    <w:rsid w:val="00977E70"/>
    <w:rPr>
      <w:vertAlign w:val="superscript"/>
    </w:rPr>
  </w:style>
  <w:style w:type="character" w:styleId="PlaceholderText">
    <w:name w:val="Placeholder Text"/>
    <w:basedOn w:val="DefaultParagraphFont"/>
    <w:uiPriority w:val="99"/>
    <w:semiHidden/>
    <w:rsid w:val="00977E70"/>
    <w:rPr>
      <w:color w:val="666666"/>
    </w:rPr>
  </w:style>
  <w:style w:type="table" w:styleId="TableGrid">
    <w:name w:val="Table Grid"/>
    <w:basedOn w:val="TableNormal"/>
    <w:rsid w:val="009646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110585">
      <w:bodyDiv w:val="1"/>
      <w:marLeft w:val="0"/>
      <w:marRight w:val="0"/>
      <w:marTop w:val="0"/>
      <w:marBottom w:val="0"/>
      <w:divBdr>
        <w:top w:val="none" w:sz="0" w:space="0" w:color="auto"/>
        <w:left w:val="none" w:sz="0" w:space="0" w:color="auto"/>
        <w:bottom w:val="none" w:sz="0" w:space="0" w:color="auto"/>
        <w:right w:val="none" w:sz="0" w:space="0" w:color="auto"/>
      </w:divBdr>
    </w:div>
    <w:div w:id="575865648">
      <w:bodyDiv w:val="1"/>
      <w:marLeft w:val="0"/>
      <w:marRight w:val="0"/>
      <w:marTop w:val="0"/>
      <w:marBottom w:val="0"/>
      <w:divBdr>
        <w:top w:val="none" w:sz="0" w:space="0" w:color="auto"/>
        <w:left w:val="none" w:sz="0" w:space="0" w:color="auto"/>
        <w:bottom w:val="none" w:sz="0" w:space="0" w:color="auto"/>
        <w:right w:val="none" w:sz="0" w:space="0" w:color="auto"/>
      </w:divBdr>
    </w:div>
    <w:div w:id="1172985141">
      <w:bodyDiv w:val="1"/>
      <w:marLeft w:val="0"/>
      <w:marRight w:val="0"/>
      <w:marTop w:val="0"/>
      <w:marBottom w:val="0"/>
      <w:divBdr>
        <w:top w:val="none" w:sz="0" w:space="0" w:color="auto"/>
        <w:left w:val="none" w:sz="0" w:space="0" w:color="auto"/>
        <w:bottom w:val="none" w:sz="0" w:space="0" w:color="auto"/>
        <w:right w:val="none" w:sz="0" w:space="0" w:color="auto"/>
      </w:divBdr>
    </w:div>
    <w:div w:id="1485048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3</Pages>
  <Words>1599</Words>
  <Characters>9115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10693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Aphiwat Deelorm</cp:lastModifiedBy>
  <cp:revision>21</cp:revision>
  <dcterms:created xsi:type="dcterms:W3CDTF">2025-05-31T12:15:00Z</dcterms:created>
  <dcterms:modified xsi:type="dcterms:W3CDTF">2025-05-31T13:01:00Z</dcterms:modified>
</cp:coreProperties>
</file>