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RaceDay — Portfolio of Evidence, Part 1</w:t>
      </w:r>
    </w:p>
    <w:p>
      <w:pPr>
        <w:pStyle w:val="MdParagraph"/>
      </w:pPr>
      <w:r>
        <w:t xml:space="preserve">RaceDay is a planned web-based event management platform for South African running, walking, and cycling events. Part 1 documents the relational data model, planned REST API, and SQL Server database before application code is written.</w:t>
      </w:r>
    </w:p>
    <w:p>
      <w:pPr>
        <w:pStyle w:val="MdSpace"/>
        <w:spacing w:before="0" w:after="60"/>
      </w:pPr>
    </w:p>
    <w:p>
      <w:pPr>
        <w:pStyle w:val="Heading2"/>
        <w:pStyle w:val="MdHeading2"/>
      </w:pPr>
      <w:r>
        <w:t xml:space="preserve">Roles</w:t>
      </w:r>
    </w:p>
    <w:p>
      <w:pPr>
        <w:pStyle w:val="MdListItem"/>
        <w:numPr>
          <w:ilvl w:val="0"/>
          <w:numId w:val="2"/>
        </w:numPr>
      </w:pPr>
      <w:r>
        <w:rPr>
          <w:rStyle w:val="MdStrong"/>
          <w:b/>
          <w:bCs/>
        </w:rPr>
        <w:t xml:space="preserve">Organiser:</w:t>
      </w:r>
      <w:r>
        <w:t xml:space="preserve"> creates and manages their events and categories, views enrolments for those events, and records/corrects results.</w:t>
      </w:r>
    </w:p>
    <w:p>
      <w:pPr>
        <w:pStyle w:val="MdListItem"/>
        <w:numPr>
          <w:ilvl w:val="0"/>
          <w:numId w:val="2"/>
        </w:numPr>
      </w:pPr>
      <w:r>
        <w:rPr>
          <w:rStyle w:val="MdStrong"/>
          <w:b/>
          <w:bCs/>
        </w:rPr>
        <w:t xml:space="preserve">Participant:</w:t>
      </w:r>
      <w:r>
        <w:t xml:space="preserve"> registers an account, browses events, enters categories, views their own enrolments, and tracks personal results.</w:t>
      </w:r>
    </w:p>
    <w:p>
      <w:pPr>
        <w:pStyle w:val="MdSpace"/>
        <w:spacing w:before="0" w:after="60"/>
      </w:pPr>
    </w:p>
    <w:p>
      <w:pPr>
        <w:pStyle w:val="MdParagraph"/>
      </w:pPr>
      <w:r>
        <w:t xml:space="preserve">Organiser/participant authorization and event ownership must be enforced by the API in Part 2 and reflected in the MVC interface in Part 3. Public self-registration is limited to the Participant role.</w:t>
      </w:r>
    </w:p>
    <w:p>
      <w:pPr>
        <w:pStyle w:val="MdSpace"/>
        <w:spacing w:before="0" w:after="60"/>
      </w:pPr>
    </w:p>
    <w:p>
      <w:pPr>
        <w:pStyle w:val="Heading2"/>
        <w:pStyle w:val="MdHeading2"/>
      </w:pPr>
      <w:r>
        <w:t xml:space="preserve">Part 1 contents</w:t>
      </w:r>
    </w:p>
    <w:p>
      <w:pPr>
        <w:pStyle w:val="MdListItem"/>
        <w:numPr>
          <w:ilvl w:val="0"/>
          <w:numId w:val="2"/>
        </w:numPr>
      </w:pPr>
      <w:hyperlink w:history="1" r:id="rIdsikcvb2ywduxr0fmpec6w">
        <w:r>
          <w:rPr>
            <w:rStyle w:val="MdCode"/>
            <w:u w:val="single"/>
          </w:rPr>
          <w:t xml:space="preserve">docs/raceday-erd.png</w:t>
        </w:r>
      </w:hyperlink>
      <w:r>
        <w:t xml:space="preserve"> — ERD image for submission.</w:t>
      </w:r>
    </w:p>
    <w:p>
      <w:pPr>
        <w:pStyle w:val="MdListItem"/>
        <w:numPr>
          <w:ilvl w:val="0"/>
          <w:numId w:val="2"/>
        </w:numPr>
      </w:pPr>
      <w:hyperlink w:history="1" r:id="rIdom5tzs8mud3wfp_ghybi_">
        <w:r>
          <w:rPr>
            <w:rStyle w:val="MdCode"/>
            <w:u w:val="single"/>
          </w:rPr>
          <w:t xml:space="preserve">docs/raceday-erd.mmd</w:t>
        </w:r>
      </w:hyperlink>
      <w:r>
        <w:t xml:space="preserve"> — editable Mermaid diagram source.</w:t>
      </w:r>
    </w:p>
    <w:p>
      <w:pPr>
        <w:pStyle w:val="MdListItem"/>
        <w:numPr>
          <w:ilvl w:val="0"/>
          <w:numId w:val="2"/>
        </w:numPr>
      </w:pPr>
      <w:hyperlink w:history="1" r:id="rIdzgkv6q8z_xzscvox6igrp">
        <w:r>
          <w:rPr>
            <w:rStyle w:val="MdCode"/>
            <w:u w:val="single"/>
          </w:rPr>
          <w:t xml:space="preserve">docs/api-endpoint-plan.md</w:t>
        </w:r>
      </w:hyperlink>
      <w:r>
        <w:t xml:space="preserve"> — endpoint table and design assumptions.</w:t>
      </w:r>
    </w:p>
    <w:p>
      <w:pPr>
        <w:pStyle w:val="MdListItem"/>
        <w:numPr>
          <w:ilvl w:val="0"/>
          <w:numId w:val="2"/>
        </w:numPr>
      </w:pPr>
      <w:hyperlink w:history="1" r:id="rIdinz1z167qhdxrmnfllfqo">
        <w:r>
          <w:rPr>
            <w:rStyle w:val="MdCode"/>
            <w:u w:val="single"/>
          </w:rPr>
          <w:t xml:space="preserve">docs/raceday.sql</w:t>
        </w:r>
      </w:hyperlink>
      <w:r>
        <w:t xml:space="preserve"> — SQL Server database creation and sample seed script.</w:t>
      </w:r>
    </w:p>
    <w:p>
      <w:pPr>
        <w:pStyle w:val="MdSpace"/>
        <w:spacing w:before="0" w:after="60"/>
      </w:pPr>
    </w:p>
    <w:p>
      <w:pPr>
        <w:pStyle w:val="MdParagraph"/>
      </w:pPr>
      <w:r>
        <w:t xml:space="preserve">The ERD and SQL script share six entities: </w:t>
      </w:r>
      <w:r>
        <w:rPr>
          <w:rStyle w:val="MdCode"/>
          <w:u w:val="single"/>
        </w:rPr>
        <w:t xml:space="preserve">AppUsers</w:t>
      </w:r>
      <w:r>
        <w:t xml:space="preserve">, </w:t>
      </w:r>
      <w:r>
        <w:rPr>
          <w:rStyle w:val="MdCode"/>
          <w:u w:val="single"/>
        </w:rPr>
        <w:t xml:space="preserve">Events</w:t>
      </w:r>
      <w:r>
        <w:t xml:space="preserve">, </w:t>
      </w:r>
      <w:r>
        <w:rPr>
          <w:rStyle w:val="MdCode"/>
          <w:u w:val="single"/>
        </w:rPr>
        <w:t xml:space="preserve">Categories</w:t>
      </w:r>
      <w:r>
        <w:t xml:space="preserve">, </w:t>
      </w:r>
      <w:r>
        <w:rPr>
          <w:rStyle w:val="MdCode"/>
          <w:u w:val="single"/>
        </w:rPr>
        <w:t xml:space="preserve">Enrolments</w:t>
      </w:r>
      <w:r>
        <w:t xml:space="preserve">, </w:t>
      </w:r>
      <w:r>
        <w:rPr>
          <w:rStyle w:val="MdCode"/>
          <w:u w:val="single"/>
        </w:rPr>
        <w:t xml:space="preserve">Results</w:t>
      </w:r>
      <w:r>
        <w:t xml:space="preserve">, and </w:t>
      </w:r>
      <w:r>
        <w:rPr>
          <w:rStyle w:val="MdCode"/>
          <w:u w:val="single"/>
        </w:rPr>
        <w:t xml:space="preserve">WeatherSnapshots</w:t>
      </w:r>
      <w:r>
        <w:t xml:space="preserve">. </w:t>
      </w:r>
      <w:r>
        <w:rPr>
          <w:rStyle w:val="MdCode"/>
          <w:u w:val="single"/>
        </w:rPr>
        <w:t xml:space="preserve">AppUsers</w:t>
      </w:r>
      <w:r>
        <w:t xml:space="preserve"> stores both supported roles; the other entities represent events, event categories, participant entries, results, and cached weather observations.</w:t>
      </w:r>
    </w:p>
    <w:p>
      <w:pPr>
        <w:pStyle w:val="MdSpace"/>
        <w:spacing w:before="0" w:after="60"/>
      </w:pPr>
    </w:p>
    <w:p>
      <w:pPr>
        <w:pStyle w:val="Heading2"/>
        <w:pStyle w:val="MdHeading2"/>
      </w:pPr>
      <w:r>
        <w:t xml:space="preserve">Database setup (SSMS)</w:t>
      </w:r>
    </w:p>
    <w:p>
      <w:pPr>
        <w:pStyle w:val="MdListItem"/>
        <w:numPr>
          <w:ilvl w:val="0"/>
          <w:numId w:val="3"/>
        </w:numPr>
      </w:pPr>
      <w:r>
        <w:t xml:space="preserve">Open </w:t>
      </w:r>
      <w:r>
        <w:rPr>
          <w:rStyle w:val="MdCode"/>
          <w:u w:val="single"/>
        </w:rPr>
        <w:t xml:space="preserve">docs/raceday.sql</w:t>
      </w:r>
      <w:r>
        <w:t xml:space="preserve"> in SQL Server Management Studio connected to a clean SQL Server instance with permission to create databases.</w:t>
      </w:r>
    </w:p>
    <w:p>
      <w:pPr>
        <w:pStyle w:val="MdListItem"/>
        <w:numPr>
          <w:ilvl w:val="0"/>
          <w:numId w:val="3"/>
        </w:numPr>
      </w:pPr>
      <w:r>
        <w:t xml:space="preserve">Execute the complete script. It creates the </w:t>
      </w:r>
      <w:r>
        <w:rPr>
          <w:rStyle w:val="MdCode"/>
          <w:u w:val="single"/>
        </w:rPr>
        <w:t xml:space="preserve">RaceDay</w:t>
      </w:r>
      <w:r>
        <w:t xml:space="preserve"> database if absent, creates its tables and constraints, inserts sample data (2 organisers, 2 participants, 3 events, categories for every event, enrolments, a result, and weather examples), and runs basic verification queries.</w:t>
      </w:r>
    </w:p>
    <w:p>
      <w:pPr>
        <w:pStyle w:val="MdListItem"/>
        <w:numPr>
          <w:ilvl w:val="0"/>
          <w:numId w:val="3"/>
        </w:numPr>
      </w:pPr>
      <w:r>
        <w:t xml:space="preserve">The sample </w:t>
      </w:r>
      <w:r>
        <w:rPr>
          <w:rStyle w:val="MdCode"/>
          <w:u w:val="single"/>
        </w:rPr>
        <w:t xml:space="preserve">PasswordHash</w:t>
      </w:r>
      <w:r>
        <w:t xml:space="preserve"> entries are explicit non-authenticating placeholders. Replace them with hashes generated by the Part 2 authentication implementation before using these accounts in an application. No plaintext passwords are included.</w:t>
      </w:r>
    </w:p>
    <w:p>
      <w:pPr>
        <w:pStyle w:val="MdSpace"/>
        <w:spacing w:before="0" w:after="60"/>
      </w:pPr>
    </w:p>
    <w:p>
      <w:pPr>
        <w:pStyle w:val="MdParagraph"/>
      </w:pPr>
      <w:r>
        <w:t xml:space="preserve">The script targets SQL Server and uses </w:t>
      </w:r>
      <w:r>
        <w:rPr>
          <w:rStyle w:val="MdCode"/>
          <w:u w:val="single"/>
        </w:rPr>
        <w:t xml:space="preserve">GO</w:t>
      </w:r>
      <w:r>
        <w:t xml:space="preserve"> batch separators; do not run it unchanged in SQLite, MySQL, or PostgreSQL.</w:t>
      </w:r>
    </w:p>
    <w:p>
      <w:pPr>
        <w:pStyle w:val="MdSpace"/>
        <w:spacing w:before="0" w:after="60"/>
      </w:pPr>
    </w:p>
    <w:p>
      <w:pPr>
        <w:pStyle w:val="Heading2"/>
        <w:pStyle w:val="MdHeading2"/>
      </w:pPr>
      <w:r>
        <w:t xml:space="preserve">CI/CD</w:t>
      </w:r>
    </w:p>
    <w:p>
      <w:pPr>
        <w:pStyle w:val="MdParagraph"/>
      </w:pPr>
      <w:r>
        <w:t xml:space="preserve">The workflow is </w:t>
      </w:r>
      <w:hyperlink w:history="1" r:id="rIdbmh05au_2_h-4s20phaf1">
        <w:r>
          <w:rPr>
            <w:rStyle w:val="MdCode"/>
            <w:u w:val="single"/>
          </w:rPr>
          <w:t xml:space="preserve">.github/workflows/part1-validate.yml</w:t>
        </w:r>
      </w:hyperlink>
      <w:r>
        <w:t xml:space="preserve">. It runs on pushes and pull requests and checks that the required Part 1 files exist. Add a genuine screenshot of a successful green GitHub Actions run below before submission:</w:t>
      </w:r>
    </w:p>
    <w:p>
      <w:pPr>
        <w:pStyle w:val="MdSpace"/>
        <w:spacing w:before="0" w:after="60"/>
      </w:pPr>
    </w:p>
    <w:p>
      <w:pPr>
        <w:pStyle w:val="MdBlockquote"/>
      </w:pPr>
      <w:r>
        <w:rPr>
          <w:rStyle w:val="MdStrong"/>
          <w:b/>
          <w:bCs/>
        </w:rPr>
        <w:t xml:space="preserve">Submission action required:</w:t>
      </w:r>
      <w:r>
        <w:t xml:space="preserve"> save the screenshot as </w:t>
      </w:r>
      <w:r>
        <w:rPr>
          <w:rStyle w:val="MdCode"/>
          <w:u w:val="single"/>
        </w:rPr>
        <w:t xml:space="preserve">docs/ci-green-build.png</w:t>
      </w:r>
      <w:r>
        <w:t xml:space="preserve"> and embed it here, for example with </w:t>
      </w:r>
      <w:r>
        <w:rPr>
          <w:rStyle w:val="MdCode"/>
          <w:u w:val="single"/>
        </w:rPr>
        <w:t xml:space="preserve">![Successful GitHub Actions build](docs/ci-green-build.png)</w:t>
      </w:r>
      <w:r>
        <w:t xml:space="preserve">. No screenshot is included until a run has actually completed in the submitted GitHub repository.</w:t>
      </w:r>
    </w:p>
    <w:p>
      <w:pPr>
        <w:pStyle w:val="MdSpace"/>
        <w:spacing w:before="0" w:after="60"/>
      </w:pPr>
    </w:p>
    <w:p>
      <w:pPr>
        <w:pStyle w:val="Heading2"/>
        <w:pStyle w:val="MdHeading2"/>
      </w:pPr>
      <w:r>
        <w:t xml:space="preserve">Video presentation</w:t>
      </w:r>
    </w:p>
    <w:p>
      <w:pPr>
        <w:pStyle w:val="MdParagraph"/>
      </w:pPr>
      <w:r>
        <w:rPr>
          <w:rStyle w:val="MdStrong"/>
          <w:b/>
          <w:bCs/>
        </w:rPr>
        <w:t xml:space="preserve">Unlisted YouTube walkthrough:</w:t>
      </w:r>
      <w:r>
        <w:t xml:space="preserve"> </w:t>
      </w:r>
      <w:r>
        <w:rPr>
          <w:rStyle w:val="MdCode"/>
          <w:u w:val="single"/>
        </w:rPr>
        <w:t xml:space="preserve">[ADD YOUR VIDEO URL HERE]</w:t>
      </w:r>
    </w:p>
    <w:p>
      <w:pPr>
        <w:pStyle w:val="MdSpace"/>
        <w:spacing w:before="0" w:after="60"/>
      </w:pPr>
    </w:p>
    <w:p>
      <w:pPr>
        <w:pStyle w:val="MdParagraph"/>
      </w:pPr>
      <w:r>
        <w:t xml:space="preserve">Record the running tools/application and explain the data-model decisions, relationships/cardinality, endpoint plan, role/ownership rules, and execute the SQL script live in SSMS. The assignment requires your own voice; do not use AI-generated narration.</w:t>
      </w:r>
    </w:p>
    <w:p>
      <w:pPr>
        <w:pStyle w:val="MdSpace"/>
        <w:spacing w:before="0" w:after="60"/>
      </w:pPr>
    </w:p>
    <w:p>
      <w:pPr>
        <w:pStyle w:val="Heading2"/>
        <w:pStyle w:val="MdHeading2"/>
      </w:pPr>
      <w:r>
        <w:t xml:space="preserve">GitHub submission checklist</w:t>
      </w:r>
    </w:p>
    <w:p>
      <w:pPr>
        <w:pStyle w:val="MdListItem"/>
        <w:numPr>
          <w:ilvl w:val="0"/>
          <w:numId w:val="2"/>
        </w:numPr>
      </w:pPr>
      <w:r>
        <w:t xml:space="preserve">Push this work into the lecturer-provided repository and submit that repository URL on ARC.</w:t>
      </w:r>
    </w:p>
    <w:p>
      <w:pPr>
        <w:pStyle w:val="MdListItem"/>
        <w:numPr>
          <w:ilvl w:val="0"/>
          <w:numId w:val="2"/>
        </w:numPr>
      </w:pPr>
      <w:r>
        <w:t xml:space="preserve">Keep the planning files in </w:t>
      </w:r>
      <w:r>
        <w:rPr>
          <w:rStyle w:val="MdCode"/>
          <w:u w:val="single"/>
        </w:rPr>
        <w:t xml:space="preserve">/docs</w:t>
      </w:r>
      <w:r>
        <w:t xml:space="preserve"> and the workflow in </w:t>
      </w:r>
      <w:r>
        <w:rPr>
          <w:rStyle w:val="MdCode"/>
          <w:u w:val="single"/>
        </w:rPr>
        <w:t xml:space="preserve">/.github/workflows</w:t>
      </w:r>
      <w:r>
        <w:t xml:space="preserve"> (the standard GitHub Actions folder).</w:t>
      </w:r>
    </w:p>
    <w:p>
      <w:pPr>
        <w:pStyle w:val="MdListItem"/>
        <w:numPr>
          <w:ilvl w:val="0"/>
          <w:numId w:val="2"/>
        </w:numPr>
      </w:pPr>
      <w:r>
        <w:t xml:space="preserve">Build a genuine history of at least 20 meaningful commits for Part 1 using your own GitHub account. Do not manufacture commits or count cosmetic changes as meaningful.</w:t>
      </w:r>
    </w:p>
    <w:p>
      <w:pPr>
        <w:pStyle w:val="MdListItem"/>
        <w:numPr>
          <w:ilvl w:val="0"/>
          <w:numId w:val="2"/>
        </w:numPr>
      </w:pPr>
      <w:r>
        <w:t xml:space="preserve">Add the actual green-build screenshot and unlisted YouTube URL above.</w:t>
      </w:r>
    </w:p>
    <w:p>
      <w:pPr>
        <w:pStyle w:val="MdListItem"/>
        <w:numPr>
          <w:ilvl w:val="0"/>
          <w:numId w:val="2"/>
        </w:numPr>
      </w:pPr>
      <w:r>
        <w:t xml:space="preserve">Review the model, SQL, and endpoint plan yourself and explain/adapt them to your course requirements before submission.</w:t>
      </w:r>
    </w:p>
    <w:p>
      <w:pPr>
        <w:pStyle w:val="MdSpace"/>
        <w:spacing w:before="0" w:after="60"/>
      </w:pPr>
    </w:p>
    <w:p>
      <w:pPr>
        <w:pStyle w:val="Heading2"/>
        <w:pStyle w:val="MdHeading2"/>
      </w:pPr>
      <w:r>
        <w:t xml:space="preserve">AI-use disclosure</w:t>
      </w:r>
    </w:p>
    <w:p>
      <w:pPr>
        <w:pStyle w:val="MdParagraph"/>
      </w:pPr>
      <w:r>
        <w:t xml:space="preserve">AI assistance was used to help draft and structure these planning materials and sample SQL. The student must review, understand, test, and adapt the work, and disclose AI use in the manner required by the course. This package is not a substitute for the student's own analysis or live demonstration.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ikcvb2ywduxr0fmpec6w" Type="http://schemas.openxmlformats.org/officeDocument/2006/relationships/hyperlink" Target="docs/raceday-erd.png" TargetMode="External"/><Relationship Id="rIdom5tzs8mud3wfp_ghybi_" Type="http://schemas.openxmlformats.org/officeDocument/2006/relationships/hyperlink" Target="docs/raceday-erd.mmd" TargetMode="External"/><Relationship Id="rIdzgkv6q8z_xzscvox6igrp" Type="http://schemas.openxmlformats.org/officeDocument/2006/relationships/hyperlink" Target="docs/api-endpoint-plan.md" TargetMode="External"/><Relationship Id="rIdinz1z167qhdxrmnfllfqo" Type="http://schemas.openxmlformats.org/officeDocument/2006/relationships/hyperlink" Target="docs/raceday.sql" TargetMode="External"/><Relationship Id="rIdbmh05au_2_h-4s20phaf1" Type="http://schemas.openxmlformats.org/officeDocument/2006/relationships/hyperlink" Target=".github/workflows/part1-validate.yml"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2026-10-22T19:22:38.095Z</dcterms:created>
  <dcterms:modified xsi:type="dcterms:W3CDTF">2026-10-22T19:22:38.095Z</dcterms:modified>
</cp:coreProperties>
</file>

<file path=docProps/custom.xml><?xml version="1.0" encoding="utf-8"?>
<Properties xmlns="http://schemas.openxmlformats.org/officeDocument/2006/custom-properties" xmlns:vt="http://schemas.openxmlformats.org/officeDocument/2006/docPropsVTypes"/>
</file>