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EE1EED" w14:textId="708378E5" w:rsidR="008E063A" w:rsidRDefault="008E063A" w:rsidP="002902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61C2D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161C2D"/>
          <w:sz w:val="24"/>
          <w:szCs w:val="24"/>
          <w:lang w:eastAsia="pt-BR"/>
        </w:rPr>
        <w:t xml:space="preserve">Regulamentação para motoristas </w:t>
      </w:r>
    </w:p>
    <w:p w14:paraId="7EC1ED10" w14:textId="77777777" w:rsidR="008E063A" w:rsidRDefault="008E063A" w:rsidP="002902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61C2D"/>
          <w:sz w:val="24"/>
          <w:szCs w:val="24"/>
          <w:lang w:eastAsia="pt-BR"/>
        </w:rPr>
      </w:pPr>
    </w:p>
    <w:p w14:paraId="51839E89" w14:textId="71D1F381" w:rsidR="008E063A" w:rsidRDefault="007C3450" w:rsidP="0029029B">
      <w:pPr>
        <w:shd w:val="clear" w:color="auto" w:fill="FFFFFF"/>
        <w:spacing w:after="0" w:line="240" w:lineRule="auto"/>
      </w:pPr>
      <w:hyperlink r:id="rId4" w:history="1">
        <w:r w:rsidR="008E063A">
          <w:rPr>
            <w:rStyle w:val="Hyperlink"/>
          </w:rPr>
          <w:t>http://www.planalto.gov.br/ccivil_03/_Ato2015-2018/2015/Lei/L13103.htm</w:t>
        </w:r>
      </w:hyperlink>
    </w:p>
    <w:p w14:paraId="1E779819" w14:textId="7C33C91D" w:rsidR="006C3A2F" w:rsidRDefault="006C3A2F" w:rsidP="0029029B">
      <w:pPr>
        <w:shd w:val="clear" w:color="auto" w:fill="FFFFFF"/>
        <w:spacing w:after="0" w:line="240" w:lineRule="auto"/>
      </w:pPr>
    </w:p>
    <w:p w14:paraId="69B7592A" w14:textId="63607999" w:rsidR="006C3A2F" w:rsidRDefault="006C3A2F" w:rsidP="0029029B">
      <w:pPr>
        <w:shd w:val="clear" w:color="auto" w:fill="FFFFFF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‘ </w:t>
      </w:r>
      <w:hyperlink r:id="rId5" w:anchor="art235c." w:history="1">
        <w:r>
          <w:rPr>
            <w:rStyle w:val="Hyperlink"/>
            <w:rFonts w:ascii="Arial" w:hAnsi="Arial" w:cs="Arial"/>
          </w:rPr>
          <w:t>Art. 235-C. </w:t>
        </w:r>
      </w:hyperlink>
      <w:r>
        <w:rPr>
          <w:rFonts w:ascii="Arial" w:hAnsi="Arial" w:cs="Arial"/>
          <w:color w:val="000000"/>
        </w:rPr>
        <w:t>A jornada diária de trabalho do motorista profissional será de 8 (oito) horas, admitindo-se a sua prorrogação por até 2 (duas) horas extraordinárias ou, mediante previsão em convenção ou acordo coletivo, por até 4 (quatro) horas extraordinárias.</w:t>
      </w:r>
    </w:p>
    <w:p w14:paraId="0725D646" w14:textId="77777777" w:rsidR="006C3A2F" w:rsidRDefault="006C3A2F" w:rsidP="0029029B">
      <w:pPr>
        <w:shd w:val="clear" w:color="auto" w:fill="FFFFFF"/>
        <w:spacing w:after="0" w:line="240" w:lineRule="auto"/>
        <w:rPr>
          <w:rFonts w:ascii="Arial" w:hAnsi="Arial" w:cs="Arial"/>
          <w:color w:val="000000"/>
        </w:rPr>
      </w:pPr>
    </w:p>
    <w:p w14:paraId="05866D5C" w14:textId="6197BA5F" w:rsidR="006C3A2F" w:rsidRDefault="007C3450" w:rsidP="0029029B">
      <w:pPr>
        <w:shd w:val="clear" w:color="auto" w:fill="FFFFFF"/>
        <w:spacing w:after="0" w:line="240" w:lineRule="auto"/>
        <w:rPr>
          <w:rFonts w:ascii="Arial" w:hAnsi="Arial" w:cs="Arial"/>
          <w:color w:val="000000"/>
          <w:lang w:val="pt-PT"/>
        </w:rPr>
      </w:pPr>
      <w:hyperlink r:id="rId6" w:anchor="art235c%C2%A71." w:history="1">
        <w:r w:rsidR="006C3A2F">
          <w:rPr>
            <w:rStyle w:val="Hyperlink"/>
            <w:rFonts w:ascii="Arial" w:hAnsi="Arial" w:cs="Arial"/>
          </w:rPr>
          <w:t>§ 1º </w:t>
        </w:r>
      </w:hyperlink>
      <w:r w:rsidR="006C3A2F">
        <w:rPr>
          <w:rFonts w:ascii="Arial" w:hAnsi="Arial" w:cs="Arial"/>
          <w:color w:val="000000"/>
          <w:lang w:val="pt-PT"/>
        </w:rPr>
        <w:t>Será considerado como trabalho efetivo o tempo em que o motorista empregado estiver à disposição do empregador, excluídos os intervalos para refeição, repouso e descanso e o tempo de espera.</w:t>
      </w:r>
    </w:p>
    <w:p w14:paraId="14D5A67B" w14:textId="519A004A" w:rsidR="006C3A2F" w:rsidRDefault="006C3A2F" w:rsidP="002902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61C2D"/>
          <w:sz w:val="24"/>
          <w:szCs w:val="24"/>
          <w:lang w:eastAsia="pt-BR"/>
        </w:rPr>
      </w:pPr>
    </w:p>
    <w:p w14:paraId="1C09EDF4" w14:textId="5F9255A1" w:rsidR="006C3A2F" w:rsidRDefault="007C3450" w:rsidP="002902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61C2D"/>
          <w:sz w:val="24"/>
          <w:szCs w:val="24"/>
          <w:lang w:eastAsia="pt-BR"/>
        </w:rPr>
      </w:pPr>
      <w:hyperlink r:id="rId7" w:anchor="art235c%C2%A73." w:history="1">
        <w:r w:rsidR="006C3A2F">
          <w:rPr>
            <w:rStyle w:val="Hyperlink"/>
            <w:rFonts w:ascii="Arial" w:hAnsi="Arial" w:cs="Arial"/>
            <w:lang w:val="pt-PT"/>
          </w:rPr>
          <w:t>§ 3º </w:t>
        </w:r>
      </w:hyperlink>
      <w:r w:rsidR="006C3A2F">
        <w:rPr>
          <w:rFonts w:ascii="Arial" w:hAnsi="Arial" w:cs="Arial"/>
          <w:color w:val="000000"/>
          <w:lang w:val="pt-PT"/>
        </w:rPr>
        <w:t>Dentro do período de 24 (vinte e quatro) horas, são asseguradas 11 (onze) horas de descanso, sendo facultados o seu fracionamento e a coincidência com os períodos de parada obrigatória na condução do veículo estabelecida pela </w:t>
      </w:r>
      <w:hyperlink r:id="rId8" w:history="1">
        <w:r w:rsidR="006C3A2F">
          <w:rPr>
            <w:rStyle w:val="Hyperlink"/>
            <w:rFonts w:ascii="Arial" w:hAnsi="Arial" w:cs="Arial"/>
            <w:lang w:val="pt-PT"/>
          </w:rPr>
          <w:t>Lei nº 9.503, </w:t>
        </w:r>
      </w:hyperlink>
      <w:hyperlink r:id="rId9" w:history="1">
        <w:r w:rsidR="006C3A2F">
          <w:rPr>
            <w:rStyle w:val="Hyperlink"/>
            <w:rFonts w:ascii="Arial" w:hAnsi="Arial" w:cs="Arial"/>
          </w:rPr>
          <w:t>de 23 de setembro </w:t>
        </w:r>
        <w:r w:rsidR="006C3A2F">
          <w:rPr>
            <w:rStyle w:val="Hyperlink"/>
            <w:rFonts w:ascii="Arial" w:hAnsi="Arial" w:cs="Arial"/>
            <w:lang w:val="pt-PT"/>
          </w:rPr>
          <w:t>de 1997 - Código de Trânsito Brasileiro </w:t>
        </w:r>
      </w:hyperlink>
      <w:r w:rsidR="006C3A2F">
        <w:rPr>
          <w:rFonts w:ascii="Arial" w:hAnsi="Arial" w:cs="Arial"/>
          <w:color w:val="000000"/>
          <w:lang w:val="pt-PT"/>
        </w:rPr>
        <w:t>, garantidos o mínimo de 8 (oito) horas ininterruptas no primeiro período e o gozo do remanescente dentro das 16 (dezesseis) horas seguintes ao fim do primeiro período.</w:t>
      </w:r>
    </w:p>
    <w:p w14:paraId="2D0C00A7" w14:textId="5028E461" w:rsidR="008E063A" w:rsidRDefault="008E063A" w:rsidP="002902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61C2D"/>
          <w:sz w:val="24"/>
          <w:szCs w:val="24"/>
          <w:lang w:eastAsia="pt-BR"/>
        </w:rPr>
      </w:pPr>
    </w:p>
    <w:p w14:paraId="4BCE4C5B" w14:textId="44542735" w:rsidR="0059059C" w:rsidRDefault="0059059C" w:rsidP="002902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61C2D"/>
          <w:sz w:val="24"/>
          <w:szCs w:val="24"/>
          <w:lang w:eastAsia="pt-BR"/>
        </w:rPr>
      </w:pPr>
    </w:p>
    <w:p w14:paraId="4548284B" w14:textId="77777777" w:rsidR="0059059C" w:rsidRDefault="007C3450" w:rsidP="0059059C">
      <w:pPr>
        <w:pStyle w:val="texto2"/>
        <w:rPr>
          <w:rFonts w:ascii="Arial" w:hAnsi="Arial" w:cs="Arial"/>
          <w:color w:val="000000"/>
        </w:rPr>
      </w:pPr>
      <w:hyperlink r:id="rId10" w:anchor="art235c%C2%A78." w:history="1">
        <w:r w:rsidR="0059059C">
          <w:rPr>
            <w:rStyle w:val="Hyperlink"/>
            <w:rFonts w:ascii="Arial" w:hAnsi="Arial" w:cs="Arial"/>
            <w:lang w:val="pt-PT"/>
          </w:rPr>
          <w:t>§ 8º </w:t>
        </w:r>
      </w:hyperlink>
      <w:r w:rsidR="0059059C">
        <w:rPr>
          <w:rFonts w:ascii="Arial" w:hAnsi="Arial" w:cs="Arial"/>
          <w:color w:val="000000"/>
          <w:lang w:val="pt-PT"/>
        </w:rPr>
        <w:t>São considerados tempo de espera as horas em que o motorista profissional empregado ficar aguardando carga ou descarga do veículo nas dependências do embarcador ou do destinatário e o período gasto com a fiscalização da mercadoria transportada em barreiras fiscais ou alfandegárias, não sendo computados como jornada de trabalho e nem como horas extraordinárias.</w:t>
      </w:r>
    </w:p>
    <w:p w14:paraId="7C3EAD8B" w14:textId="77777777" w:rsidR="0059059C" w:rsidRDefault="007C3450" w:rsidP="0059059C">
      <w:pPr>
        <w:pStyle w:val="texto2"/>
        <w:rPr>
          <w:rFonts w:ascii="Arial" w:hAnsi="Arial" w:cs="Arial"/>
          <w:color w:val="000000"/>
        </w:rPr>
      </w:pPr>
      <w:hyperlink r:id="rId11" w:anchor="art235c%C2%A79." w:history="1">
        <w:r w:rsidR="0059059C">
          <w:rPr>
            <w:rStyle w:val="Hyperlink"/>
            <w:rFonts w:ascii="Arial" w:hAnsi="Arial" w:cs="Arial"/>
            <w:lang w:val="pt-PT"/>
          </w:rPr>
          <w:t>§ 9º </w:t>
        </w:r>
      </w:hyperlink>
      <w:r w:rsidR="0059059C">
        <w:rPr>
          <w:rFonts w:ascii="Arial" w:hAnsi="Arial" w:cs="Arial"/>
          <w:color w:val="000000"/>
          <w:lang w:val="pt-PT"/>
        </w:rPr>
        <w:t>As horas relativas ao tempo de espera serão indenizadas na proporção de 30% (trinta por cento) do salário-hora normal.</w:t>
      </w:r>
    </w:p>
    <w:p w14:paraId="0B94A7B5" w14:textId="77777777" w:rsidR="0059059C" w:rsidRDefault="007C3450" w:rsidP="0059059C">
      <w:pPr>
        <w:pStyle w:val="texto2"/>
        <w:rPr>
          <w:rFonts w:ascii="Arial" w:hAnsi="Arial" w:cs="Arial"/>
          <w:color w:val="000000"/>
        </w:rPr>
      </w:pPr>
      <w:hyperlink r:id="rId12" w:anchor="art235c%C2%A710" w:history="1">
        <w:r w:rsidR="0059059C">
          <w:rPr>
            <w:rStyle w:val="Hyperlink"/>
            <w:rFonts w:ascii="Arial" w:hAnsi="Arial" w:cs="Arial"/>
            <w:lang w:val="pt-PT"/>
          </w:rPr>
          <w:t>§ 10. </w:t>
        </w:r>
      </w:hyperlink>
      <w:r w:rsidR="0059059C">
        <w:rPr>
          <w:rFonts w:ascii="Arial" w:hAnsi="Arial" w:cs="Arial"/>
          <w:color w:val="000000"/>
          <w:lang w:val="pt-PT"/>
        </w:rPr>
        <w:t>Em nenhuma hipótese, o tempo de espera do motorista empregado prejudicará o direito ao recebimento da remuneração correspondente ao salário-base diário.</w:t>
      </w:r>
    </w:p>
    <w:p w14:paraId="60F2881E" w14:textId="77777777" w:rsidR="0059059C" w:rsidRDefault="007C3450" w:rsidP="0059059C">
      <w:pPr>
        <w:pStyle w:val="texto2"/>
        <w:rPr>
          <w:rFonts w:ascii="Arial" w:hAnsi="Arial" w:cs="Arial"/>
          <w:color w:val="000000"/>
        </w:rPr>
      </w:pPr>
      <w:hyperlink r:id="rId13" w:anchor="art235c%C2%A711" w:history="1">
        <w:r w:rsidR="0059059C">
          <w:rPr>
            <w:rStyle w:val="Hyperlink"/>
            <w:rFonts w:ascii="Arial" w:hAnsi="Arial" w:cs="Arial"/>
            <w:lang w:val="pt-PT"/>
          </w:rPr>
          <w:t>§ 11. </w:t>
        </w:r>
      </w:hyperlink>
      <w:r w:rsidR="0059059C">
        <w:rPr>
          <w:rFonts w:ascii="Arial" w:hAnsi="Arial" w:cs="Arial"/>
          <w:color w:val="000000"/>
          <w:lang w:val="pt-PT"/>
        </w:rPr>
        <w:t>Quando a espera de que trata o § 8º for superior a 2 (duas) horas ininterruptas e for exigida a permanência do motorista empregado junto ao veículo, caso o local ofereça condições adequadas, o tempo será considerado como de repouso para os fins do intervalo de que tratam os §§ 2º e 3º, sem prejuízo do disposto no § 9º.</w:t>
      </w:r>
    </w:p>
    <w:p w14:paraId="535CDE09" w14:textId="77777777" w:rsidR="0059059C" w:rsidRDefault="007C3450" w:rsidP="0059059C">
      <w:pPr>
        <w:pStyle w:val="texto2"/>
        <w:rPr>
          <w:rFonts w:ascii="Arial" w:hAnsi="Arial" w:cs="Arial"/>
          <w:color w:val="000000"/>
        </w:rPr>
      </w:pPr>
      <w:hyperlink r:id="rId14" w:anchor="art235c%C2%A712" w:history="1">
        <w:r w:rsidR="0059059C">
          <w:rPr>
            <w:rStyle w:val="Hyperlink"/>
            <w:rFonts w:ascii="Arial" w:hAnsi="Arial" w:cs="Arial"/>
            <w:lang w:val="pt-PT"/>
          </w:rPr>
          <w:t>§ 12. </w:t>
        </w:r>
      </w:hyperlink>
      <w:r w:rsidR="0059059C">
        <w:rPr>
          <w:rFonts w:ascii="Arial" w:hAnsi="Arial" w:cs="Arial"/>
          <w:color w:val="000000"/>
          <w:lang w:val="pt-PT"/>
        </w:rPr>
        <w:t>Durante o tempo de espera, o motorista poderá realizar movimentações necessárias do veículo, as quais não serão consideradas como parte da jornada de trabalho, ficando garantido, porém, o gozo do descanso de 8 (oito) horas ininterruptas aludido no § 3º.</w:t>
      </w:r>
    </w:p>
    <w:p w14:paraId="2CBED1C4" w14:textId="77777777" w:rsidR="0059059C" w:rsidRDefault="007C3450" w:rsidP="0059059C">
      <w:pPr>
        <w:pStyle w:val="texto2"/>
        <w:rPr>
          <w:rFonts w:ascii="Arial" w:hAnsi="Arial" w:cs="Arial"/>
          <w:color w:val="000000"/>
        </w:rPr>
      </w:pPr>
      <w:hyperlink r:id="rId15" w:anchor="art235c%C2%A713" w:history="1">
        <w:r w:rsidR="0059059C">
          <w:rPr>
            <w:rStyle w:val="Hyperlink"/>
            <w:rFonts w:ascii="Arial" w:hAnsi="Arial" w:cs="Arial"/>
            <w:lang w:val="pt-PT"/>
          </w:rPr>
          <w:t>§ 13. </w:t>
        </w:r>
      </w:hyperlink>
      <w:r w:rsidR="0059059C">
        <w:rPr>
          <w:rFonts w:ascii="Arial" w:hAnsi="Arial" w:cs="Arial"/>
          <w:color w:val="000000"/>
          <w:lang w:val="pt-PT"/>
        </w:rPr>
        <w:t>Salvo previsão contratual, a jornada de trabalho do motorista empregado não tem horário fixo de início, de final ou de intervalos.</w:t>
      </w:r>
    </w:p>
    <w:p w14:paraId="2F822585" w14:textId="77777777" w:rsidR="0059059C" w:rsidRDefault="007C3450" w:rsidP="0059059C">
      <w:pPr>
        <w:pStyle w:val="texto2"/>
        <w:rPr>
          <w:rFonts w:ascii="Arial" w:hAnsi="Arial" w:cs="Arial"/>
          <w:color w:val="000000"/>
        </w:rPr>
      </w:pPr>
      <w:hyperlink r:id="rId16" w:anchor="art235c%C2%A714" w:history="1">
        <w:r w:rsidR="0059059C">
          <w:rPr>
            <w:rStyle w:val="Hyperlink"/>
            <w:rFonts w:ascii="Arial" w:hAnsi="Arial" w:cs="Arial"/>
            <w:lang w:val="pt-PT"/>
          </w:rPr>
          <w:t>§ 14. </w:t>
        </w:r>
      </w:hyperlink>
      <w:r w:rsidR="0059059C">
        <w:rPr>
          <w:rFonts w:ascii="Arial" w:hAnsi="Arial" w:cs="Arial"/>
          <w:color w:val="000000"/>
          <w:lang w:val="pt-PT"/>
        </w:rPr>
        <w:t>O empregado é responsável pela guarda, preservação e exatidão das informações contidas nas anotações em diário de bordo, papeleta ou ficha de trabalho externo, ou no registrador instantâneo inalterável de velocidade e tempo, ou nos rastreadores ou sistemas e meios eletrônicos, instalados nos veículos, normatizados pelo Contran, até que o veículo seja entregue à empresa.</w:t>
      </w:r>
    </w:p>
    <w:p w14:paraId="2EE62693" w14:textId="77777777" w:rsidR="0059059C" w:rsidRDefault="007C3450" w:rsidP="0059059C">
      <w:pPr>
        <w:pStyle w:val="texto2"/>
        <w:rPr>
          <w:rFonts w:ascii="Arial" w:hAnsi="Arial" w:cs="Arial"/>
          <w:color w:val="000000"/>
        </w:rPr>
      </w:pPr>
      <w:hyperlink r:id="rId17" w:anchor="art235c%C2%A715" w:history="1">
        <w:r w:rsidR="0059059C">
          <w:rPr>
            <w:rStyle w:val="Hyperlink"/>
            <w:rFonts w:ascii="Arial" w:hAnsi="Arial" w:cs="Arial"/>
            <w:lang w:val="pt-PT"/>
          </w:rPr>
          <w:t>§ 15. </w:t>
        </w:r>
      </w:hyperlink>
      <w:r w:rsidR="0059059C">
        <w:rPr>
          <w:rFonts w:ascii="Arial" w:hAnsi="Arial" w:cs="Arial"/>
          <w:color w:val="000000"/>
          <w:lang w:val="pt-PT"/>
        </w:rPr>
        <w:t>Os dados referidos no § 14 poderão ser enviados a distância, a critério do empregador, facultando-se a anexação do documento original posteriormente.</w:t>
      </w:r>
    </w:p>
    <w:p w14:paraId="4E62A546" w14:textId="77777777" w:rsidR="0059059C" w:rsidRDefault="007C3450" w:rsidP="0059059C">
      <w:pPr>
        <w:pStyle w:val="texto2"/>
        <w:rPr>
          <w:rFonts w:ascii="Arial" w:hAnsi="Arial" w:cs="Arial"/>
          <w:color w:val="000000"/>
        </w:rPr>
      </w:pPr>
      <w:hyperlink r:id="rId18" w:anchor="art235c%C2%A716" w:history="1">
        <w:r w:rsidR="0059059C">
          <w:rPr>
            <w:rStyle w:val="Hyperlink"/>
            <w:rFonts w:ascii="Arial" w:hAnsi="Arial" w:cs="Arial"/>
            <w:lang w:val="pt-PT"/>
          </w:rPr>
          <w:t>§ 16. </w:t>
        </w:r>
      </w:hyperlink>
      <w:r w:rsidR="0059059C">
        <w:rPr>
          <w:rFonts w:ascii="Arial" w:hAnsi="Arial" w:cs="Arial"/>
          <w:color w:val="000000"/>
          <w:lang w:val="pt-PT"/>
        </w:rPr>
        <w:t>Aplicam-se as disposições deste artigo ao ajudante empregado nas operações em que acompanhe o motorista.’ (NR)</w:t>
      </w:r>
    </w:p>
    <w:p w14:paraId="396B6065" w14:textId="77777777" w:rsidR="0059059C" w:rsidRDefault="0059059C" w:rsidP="0059059C">
      <w:pPr>
        <w:pStyle w:val="texto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lang w:val="pt-PT"/>
        </w:rPr>
        <w:t>‘ </w:t>
      </w:r>
      <w:hyperlink r:id="rId19" w:anchor="art235d." w:history="1">
        <w:r>
          <w:rPr>
            <w:rStyle w:val="Hyperlink"/>
            <w:rFonts w:ascii="Arial" w:hAnsi="Arial" w:cs="Arial"/>
            <w:lang w:val="pt-PT"/>
          </w:rPr>
          <w:t>Art. 235-D. </w:t>
        </w:r>
      </w:hyperlink>
      <w:r>
        <w:rPr>
          <w:rFonts w:ascii="Arial" w:hAnsi="Arial" w:cs="Arial"/>
          <w:color w:val="000000"/>
          <w:lang w:val="pt-PT"/>
        </w:rPr>
        <w:t>Nas viagens de longa distância com duração superior a 7 (sete) dias, o repouso semanal será de 24 (vinte e quatro) horas por semana ou fração trabalhada, sem prejuízo do intervalo de repouso diário de 11 (onze) horas, totalizando 35 (trinta e cinco) horas, usufruído no retorno do motorista à base (matriz ou filial) ou ao seu domicílio, salvo se a empresa oferecer condições adequadas para o efetivo gozo do referido repouso.</w:t>
      </w:r>
    </w:p>
    <w:p w14:paraId="6B710886" w14:textId="77777777" w:rsidR="0059059C" w:rsidRDefault="0059059C" w:rsidP="002902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61C2D"/>
          <w:sz w:val="24"/>
          <w:szCs w:val="24"/>
          <w:lang w:eastAsia="pt-BR"/>
        </w:rPr>
      </w:pPr>
    </w:p>
    <w:p w14:paraId="70C3D23F" w14:textId="77777777" w:rsidR="008E063A" w:rsidRPr="0029029B" w:rsidRDefault="008E063A" w:rsidP="008E063A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</w:rPr>
      </w:pPr>
      <w:r w:rsidRPr="0029029B">
        <w:rPr>
          <w:rFonts w:ascii="Arial" w:hAnsi="Arial" w:cs="Arial"/>
        </w:rPr>
        <w:t>Com a nova legislação, fica determinado que todo motorista de transporte rodoviário deve cumprir uma jornada máxima de 8 horas diárias. As horas extras não podem ultrapassar 2 e, em casos de jornadas pré-combinadas de 12 horas, é direito do motorista descansar por 36 horas antes de pegar outra viagem.</w:t>
      </w:r>
    </w:p>
    <w:p w14:paraId="2365B133" w14:textId="77777777" w:rsidR="008E063A" w:rsidRDefault="008E063A" w:rsidP="008E063A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</w:rPr>
      </w:pPr>
      <w:r w:rsidRPr="0029029B">
        <w:rPr>
          <w:rFonts w:ascii="Arial" w:hAnsi="Arial" w:cs="Arial"/>
        </w:rPr>
        <w:t>É importante ficar atento ao fato de que jornada não é só o tempo que o motorista está na estrada, e sim todo o tempo em que ele está à disposição da empresa. Isso inclui o tempo de carregamento do caminhão com a carga, por exemplo.</w:t>
      </w:r>
    </w:p>
    <w:p w14:paraId="3312BC05" w14:textId="0F4BC42D" w:rsidR="008E063A" w:rsidRDefault="008E063A" w:rsidP="002902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61C2D"/>
          <w:sz w:val="24"/>
          <w:szCs w:val="24"/>
          <w:lang w:eastAsia="pt-BR"/>
        </w:rPr>
      </w:pPr>
    </w:p>
    <w:p w14:paraId="68B1B33C" w14:textId="77777777" w:rsidR="008E063A" w:rsidRDefault="008E063A" w:rsidP="002902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61C2D"/>
          <w:sz w:val="24"/>
          <w:szCs w:val="24"/>
          <w:lang w:eastAsia="pt-BR"/>
        </w:rPr>
      </w:pPr>
    </w:p>
    <w:p w14:paraId="0DC743E7" w14:textId="6A251E65" w:rsidR="0029029B" w:rsidRPr="0029029B" w:rsidRDefault="0029029B" w:rsidP="002902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61C2D"/>
          <w:sz w:val="24"/>
          <w:szCs w:val="24"/>
          <w:lang w:eastAsia="pt-BR"/>
        </w:rPr>
      </w:pPr>
      <w:r w:rsidRPr="0029029B">
        <w:rPr>
          <w:rFonts w:ascii="Arial" w:eastAsia="Times New Roman" w:hAnsi="Arial" w:cs="Arial"/>
          <w:noProof/>
          <w:color w:val="161C2D"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07D1917E" wp14:editId="73CAC9EF">
                <wp:extent cx="304800" cy="304800"/>
                <wp:effectExtent l="0" t="0" r="0" b="0"/>
                <wp:docPr id="1" name="Retângulo 1" descr="Skymar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4F131D" id="Retângulo 1" o:spid="_x0000_s1026" alt="Skymar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" filled="f" stroked="f">
                <o:lock v:ext="edit" aspectratio="t"/>
                <w10:anchorlock/>
              </v:rect>
            </w:pict>
          </mc:Fallback>
        </mc:AlternateContent>
      </w:r>
    </w:p>
    <w:p w14:paraId="593D769D" w14:textId="236590F9" w:rsidR="0029029B" w:rsidRPr="008E063A" w:rsidRDefault="0029029B" w:rsidP="008E063A">
      <w:pPr>
        <w:shd w:val="clear" w:color="auto" w:fill="FFFFFF"/>
        <w:spacing w:after="100" w:afterAutospacing="1" w:line="240" w:lineRule="auto"/>
        <w:outlineLvl w:val="5"/>
        <w:rPr>
          <w:rFonts w:ascii="Arial" w:eastAsia="Times New Roman" w:hAnsi="Arial" w:cs="Arial"/>
          <w:b/>
          <w:bCs/>
          <w:color w:val="161C2D"/>
          <w:spacing w:val="19"/>
          <w:sz w:val="28"/>
          <w:szCs w:val="28"/>
          <w:lang w:eastAsia="pt-BR"/>
        </w:rPr>
      </w:pPr>
      <w:r w:rsidRPr="0029029B">
        <w:rPr>
          <w:rFonts w:ascii="Arial" w:eastAsia="Times New Roman" w:hAnsi="Arial" w:cs="Arial"/>
          <w:b/>
          <w:bCs/>
          <w:color w:val="161C2D"/>
          <w:spacing w:val="19"/>
          <w:sz w:val="28"/>
          <w:szCs w:val="28"/>
          <w:lang w:eastAsia="pt-BR"/>
        </w:rPr>
        <w:t>SKYMARK</w:t>
      </w:r>
    </w:p>
    <w:p w14:paraId="0406512D" w14:textId="0EDEEECD" w:rsidR="0029029B" w:rsidRDefault="008E063A" w:rsidP="008E063A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934CF6E" wp14:editId="5FBDC943">
            <wp:extent cx="4657725" cy="3693205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52" cy="369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BF1B0" w14:textId="42F39DCA" w:rsidR="008E063A" w:rsidRDefault="008E063A" w:rsidP="008E063A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</w:rPr>
      </w:pPr>
    </w:p>
    <w:p w14:paraId="16F938B5" w14:textId="77777777" w:rsidR="008E063A" w:rsidRPr="0029029B" w:rsidRDefault="008E063A" w:rsidP="008E063A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</w:rPr>
      </w:pPr>
    </w:p>
    <w:p w14:paraId="61EAE6C7" w14:textId="54DDE148" w:rsidR="0029029B" w:rsidRDefault="008E063A" w:rsidP="008E063A">
      <w:pPr>
        <w:jc w:val="center"/>
      </w:pPr>
      <w:r>
        <w:rPr>
          <w:noProof/>
        </w:rPr>
        <w:drawing>
          <wp:inline distT="0" distB="0" distL="0" distR="0" wp14:anchorId="282C6FF8" wp14:editId="7767A950">
            <wp:extent cx="3524250" cy="2775737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425" cy="277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85827" w14:textId="43FAB792" w:rsidR="008E063A" w:rsidRDefault="008E063A"/>
    <w:p w14:paraId="046128FF" w14:textId="1E6E60A8" w:rsidR="008E063A" w:rsidRDefault="008E063A"/>
    <w:p w14:paraId="010182F7" w14:textId="7A555A03" w:rsidR="008E063A" w:rsidRPr="008E063A" w:rsidRDefault="008E063A">
      <w:pPr>
        <w:rPr>
          <w:rFonts w:ascii="Arial" w:hAnsi="Arial" w:cs="Arial"/>
          <w:sz w:val="28"/>
          <w:szCs w:val="28"/>
        </w:rPr>
      </w:pPr>
      <w:r w:rsidRPr="008E063A">
        <w:rPr>
          <w:rFonts w:ascii="Arial" w:hAnsi="Arial" w:cs="Arial"/>
          <w:sz w:val="28"/>
          <w:szCs w:val="28"/>
        </w:rPr>
        <w:t>Ponto fácil</w:t>
      </w:r>
    </w:p>
    <w:p w14:paraId="37F2F72F" w14:textId="6411A707" w:rsidR="008E063A" w:rsidRDefault="008E063A"/>
    <w:p w14:paraId="1441973B" w14:textId="1F24ED74" w:rsidR="008E063A" w:rsidRDefault="008E063A">
      <w:r>
        <w:rPr>
          <w:noProof/>
        </w:rPr>
        <w:lastRenderedPageBreak/>
        <w:drawing>
          <wp:inline distT="0" distB="0" distL="0" distR="0" wp14:anchorId="59DE445C" wp14:editId="375B6388">
            <wp:extent cx="5836623" cy="46196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308" cy="462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6437B" w14:textId="4EE29374" w:rsidR="00D5286A" w:rsidRDefault="00D5286A" w:rsidP="00D5286A">
      <w:pPr>
        <w:ind w:left="-1560" w:right="-1277"/>
      </w:pPr>
      <w:r w:rsidRPr="00D5286A">
        <w:lastRenderedPageBreak/>
        <w:t xml:space="preserve"> </w:t>
      </w:r>
      <w:r w:rsidRPr="00D5286A">
        <w:rPr>
          <w:noProof/>
        </w:rPr>
        <w:drawing>
          <wp:inline distT="0" distB="0" distL="0" distR="0" wp14:anchorId="39329041" wp14:editId="52472F50">
            <wp:extent cx="7230875" cy="3724275"/>
            <wp:effectExtent l="0" t="0" r="825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38809" cy="372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1770F77" wp14:editId="20890DC4">
                <wp:extent cx="304800" cy="304800"/>
                <wp:effectExtent l="0" t="0" r="0" b="0"/>
                <wp:docPr id="9" name="Retângulo 9" descr="telas-inopri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BA8175" id="Retângulo 9" o:spid="_x0000_s1026" alt="telas-inoprim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Qnebav8BAADcAwAADgAAAAAAAAAAAAAAAAAu&#10;AgAAZHJzL2Uyb0RvYy54bWxQSwECLQAUAAYACAAAACEATKDpLNgAAAADAQAADwAAAAAAAAAAAAAA&#10;AABZBAAAZHJzL2Rvd25yZXYueG1sUEsFBgAAAAAEAAQA8wAAAF4FAAAAAA==&#10;" filled="f" stroked="f">
                <o:lock v:ext="edit" aspectratio="t"/>
                <w10:anchorlock/>
              </v:rect>
            </w:pict>
          </mc:Fallback>
        </mc:AlternateContent>
      </w:r>
      <w:r w:rsidRPr="00D5286A">
        <w:rPr>
          <w:noProof/>
        </w:rPr>
        <w:t xml:space="preserve"> </w:t>
      </w:r>
      <w:r w:rsidRPr="00D5286A">
        <w:rPr>
          <w:noProof/>
        </w:rPr>
        <w:drawing>
          <wp:inline distT="0" distB="0" distL="0" distR="0" wp14:anchorId="00648D4E" wp14:editId="11F9A98D">
            <wp:extent cx="6753134" cy="34766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8353" cy="347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8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29B"/>
    <w:rsid w:val="001C4973"/>
    <w:rsid w:val="0028013B"/>
    <w:rsid w:val="0029029B"/>
    <w:rsid w:val="0059059C"/>
    <w:rsid w:val="006C3A2F"/>
    <w:rsid w:val="00766A9F"/>
    <w:rsid w:val="007C3450"/>
    <w:rsid w:val="008E063A"/>
    <w:rsid w:val="00D348C9"/>
    <w:rsid w:val="00D52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1C696"/>
  <w15:chartTrackingRefBased/>
  <w15:docId w15:val="{DFCB5352-E657-405A-8309-3651BA640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6">
    <w:name w:val="heading 6"/>
    <w:basedOn w:val="Normal"/>
    <w:link w:val="Ttulo6Char"/>
    <w:uiPriority w:val="9"/>
    <w:qFormat/>
    <w:rsid w:val="0029029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6Char">
    <w:name w:val="Título 6 Char"/>
    <w:basedOn w:val="Fontepargpadro"/>
    <w:link w:val="Ttulo6"/>
    <w:uiPriority w:val="9"/>
    <w:rsid w:val="0029029B"/>
    <w:rPr>
      <w:rFonts w:ascii="Times New Roman" w:eastAsia="Times New Roman" w:hAnsi="Times New Roman" w:cs="Times New Roman"/>
      <w:b/>
      <w:bCs/>
      <w:sz w:val="15"/>
      <w:szCs w:val="15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902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8E063A"/>
    <w:rPr>
      <w:color w:val="0000FF"/>
      <w:u w:val="single"/>
    </w:rPr>
  </w:style>
  <w:style w:type="paragraph" w:customStyle="1" w:styleId="texto2">
    <w:name w:val="texto2"/>
    <w:basedOn w:val="Normal"/>
    <w:rsid w:val="005905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96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lanalto.gov.br/ccivil_03/LEIS/L9503.htm" TargetMode="External"/><Relationship Id="rId13" Type="http://schemas.openxmlformats.org/officeDocument/2006/relationships/hyperlink" Target="http://www.planalto.gov.br/ccivil_03/Decreto-Lei/Del5452.htm" TargetMode="External"/><Relationship Id="rId18" Type="http://schemas.openxmlformats.org/officeDocument/2006/relationships/hyperlink" Target="http://www.planalto.gov.br/ccivil_03/Decreto-Lei/Del5452.htm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2.png"/><Relationship Id="rId7" Type="http://schemas.openxmlformats.org/officeDocument/2006/relationships/hyperlink" Target="http://www.planalto.gov.br/ccivil_03/Decreto-Lei/Del5452.htm" TargetMode="External"/><Relationship Id="rId12" Type="http://schemas.openxmlformats.org/officeDocument/2006/relationships/hyperlink" Target="http://www.planalto.gov.br/ccivil_03/Decreto-Lei/Del5452.htm" TargetMode="External"/><Relationship Id="rId17" Type="http://schemas.openxmlformats.org/officeDocument/2006/relationships/hyperlink" Target="http://www.planalto.gov.br/ccivil_03/Decreto-Lei/Del5452.htm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planalto.gov.br/ccivil_03/Decreto-Lei/Del5452.htm" TargetMode="External"/><Relationship Id="rId20" Type="http://schemas.openxmlformats.org/officeDocument/2006/relationships/image" Target="media/image1.png"/><Relationship Id="rId1" Type="http://schemas.openxmlformats.org/officeDocument/2006/relationships/styles" Target="styles.xml"/><Relationship Id="rId6" Type="http://schemas.openxmlformats.org/officeDocument/2006/relationships/hyperlink" Target="http://www.planalto.gov.br/ccivil_03/Decreto-Lei/Del5452.htm" TargetMode="External"/><Relationship Id="rId11" Type="http://schemas.openxmlformats.org/officeDocument/2006/relationships/hyperlink" Target="http://www.planalto.gov.br/ccivil_03/Decreto-Lei/Del5452.htm" TargetMode="External"/><Relationship Id="rId24" Type="http://schemas.openxmlformats.org/officeDocument/2006/relationships/image" Target="media/image5.png"/><Relationship Id="rId5" Type="http://schemas.openxmlformats.org/officeDocument/2006/relationships/hyperlink" Target="http://www.planalto.gov.br/ccivil_03/Decreto-Lei/Del5452.htm" TargetMode="External"/><Relationship Id="rId15" Type="http://schemas.openxmlformats.org/officeDocument/2006/relationships/hyperlink" Target="http://www.planalto.gov.br/ccivil_03/Decreto-Lei/Del5452.htm" TargetMode="External"/><Relationship Id="rId23" Type="http://schemas.openxmlformats.org/officeDocument/2006/relationships/image" Target="media/image4.png"/><Relationship Id="rId10" Type="http://schemas.openxmlformats.org/officeDocument/2006/relationships/hyperlink" Target="http://www.planalto.gov.br/ccivil_03/Decreto-Lei/Del5452.htm" TargetMode="External"/><Relationship Id="rId19" Type="http://schemas.openxmlformats.org/officeDocument/2006/relationships/hyperlink" Target="http://www.planalto.gov.br/ccivil_03/Decreto-Lei/Del5452.htm" TargetMode="External"/><Relationship Id="rId4" Type="http://schemas.openxmlformats.org/officeDocument/2006/relationships/hyperlink" Target="http://www.planalto.gov.br/ccivil_03/_Ato2015-2018/2015/Lei/L13103.htm" TargetMode="External"/><Relationship Id="rId9" Type="http://schemas.openxmlformats.org/officeDocument/2006/relationships/hyperlink" Target="http://www.planalto.gov.br/ccivil_03/LEIS/L9503.htm" TargetMode="External"/><Relationship Id="rId14" Type="http://schemas.openxmlformats.org/officeDocument/2006/relationships/hyperlink" Target="http://www.planalto.gov.br/ccivil_03/Decreto-Lei/Del5452.htm" TargetMode="External"/><Relationship Id="rId2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5</Pages>
  <Words>869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LIMA</dc:creator>
  <cp:keywords/>
  <dc:description/>
  <cp:lastModifiedBy>ANA LIMA</cp:lastModifiedBy>
  <cp:revision>2</cp:revision>
  <dcterms:created xsi:type="dcterms:W3CDTF">2020-08-29T16:46:00Z</dcterms:created>
  <dcterms:modified xsi:type="dcterms:W3CDTF">2020-09-15T01:04:00Z</dcterms:modified>
</cp:coreProperties>
</file>