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宋体"/>
          <w:b/>
          <w:sz w:val="24"/>
        </w:rPr>
        <w:t>答辩委员会决议（草案）</w:t>
      </w:r>
    </w:p>
    <w:p>
      <w:r>
        <w:rPr>
          <w:rFonts w:ascii="Times New Roman" w:hAnsi="Times New Roman" w:eastAsia="宋体"/>
          <w:sz w:val="24"/>
        </w:rPr>
      </w:r>
    </w:p>
    <w:p>
      <w:r>
        <w:rPr>
          <w:rFonts w:ascii="Times New Roman" w:hAnsi="Times New Roman" w:eastAsia="宋体"/>
          <w:sz w:val="24"/>
        </w:rPr>
        <w:t>论文围绕多模态大语言模型训练中"数据质量取代数据规模成为能力瓶颈"的现实问题，沿数据能力光谱的感知端、推理端与综合中段展开研究，提出了 Auto-Evol 多模态数据合成框架，并在 GUI、世界知识与 GUI CUA 三类典型场景上取得了明显的能力提升。论文立足当前研究的热点，选题具有较为重要的理论价值和实际意义。论文的主要工作有：</w:t>
      </w:r>
    </w:p>
    <w:p>
      <w:r>
        <w:rPr>
          <w:rFonts w:ascii="Times New Roman" w:hAnsi="Times New Roman" w:eastAsia="宋体"/>
          <w:sz w:val="24"/>
        </w:rPr>
        <w:t>（1）针对 GUI 场景控件密集、文字细小、状态易变导致 Referring 与 Grounding 能力不稳定的问题，设计了以多源融合为核心、包含紧致 bbox、OCR 对齐、关系图谱与状态向量等结构化监督的数据合成 Pipeline，并结合 AnyRes 高分辨率感知、文本化坐标表示与双阶段混合微调（DMT）训练策略，在 Top 200 主流应用真实分布评测上将 Grounding F1 由 0.324 提升至 0.846、Referring F1 由 0.523 提升至 0.905，验证了该方法的有效性。</w:t>
      </w:r>
    </w:p>
    <w:p>
      <w:r>
        <w:rPr>
          <w:rFonts w:ascii="Times New Roman" w:hAnsi="Times New Roman" w:eastAsia="宋体"/>
          <w:sz w:val="24"/>
        </w:rPr>
        <w:t>（2）针对视觉语言模型对图像背后事实、概念与关系缺乏可靠掌握的问题，建立了覆盖 7 大类 40 子类的世界知识类别框架与端到端数据合成 Pipeline，通过将分散知识转化为可学习、可校验的 RecQA/KnowQA/FinalQA 三类监督，并在 FinalQA 中引入 Think/CoT 过程监督缓解短路映射问题，在 Chinese SimpleVQA 与 SimpleVQA 上取得了具有竞争力的结果。</w:t>
      </w:r>
    </w:p>
    <w:p>
      <w:r>
        <w:rPr>
          <w:rFonts w:ascii="Times New Roman" w:hAnsi="Times New Roman" w:eastAsia="宋体"/>
          <w:sz w:val="24"/>
        </w:rPr>
        <w:t>（3）在前述两条主线的工程实践之上，进一步抽象提出 Auto-Evol 多模态数据合成框架，统一刻画数据源组织、结构化初始化、原子问题生成、多维校验与失败回流等关键环节；并将该框架实例化到 GUI CUA 综合中段场景，依托 OSWorld 评测体系构建可验证任务合成工程系统，通过 900 合成任务、723 成功轨迹与 3 万条单步训练数据，将 Qwen3VL-Think 在 OSWorld LibreOffice 三个 domain 上的 overall accuracy 由 40.8% 提升至 61.4%（+20.6 个百分点），验证了框架的可迁移性与实际有效性。</w:t>
      </w:r>
    </w:p>
    <w:p>
      <w:r>
        <w:rPr>
          <w:rFonts w:ascii="Times New Roman" w:hAnsi="Times New Roman" w:eastAsia="宋体"/>
          <w:sz w:val="24"/>
        </w:rPr>
        <w:t>论文结构清晰，文字流畅，工作量饱满，内容翔实，达到硕士学位论文的要求。以上表明作者已经掌握了计算机技术方向的基础理论和较为系统的专业知识，具备独立从事科研工作的能力。答辩过程中叙述清楚，问题回答正确。</w:t>
      </w:r>
    </w:p>
    <w:p>
      <w:r>
        <w:rPr>
          <w:rFonts w:ascii="Times New Roman" w:hAnsi="Times New Roman" w:eastAsia="宋体"/>
          <w:sz w:val="24"/>
        </w:rPr>
        <w:t>答辩委员会经过充分讨论和无记名投票表决，一致通过郑国栋同学的硕士学位论文答辩，建议授予硕士学位。</w:t>
      </w:r>
    </w:p>
    <w:p>
      <w:r>
        <w:rPr>
          <w:rFonts w:ascii="Times New Roman" w:hAnsi="Times New Roman" w:eastAsia="宋体"/>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