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color w:val="c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36"/>
          <w:szCs w:val="36"/>
          <w:rtl w:val="0"/>
        </w:rPr>
        <w:t xml:space="preserve">WIP - Reconcile with Sprint 1 checklist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checklist item(s) assigned prior to Day 0 or as a condition of Sprint 1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 am suggesting that we collect this prior to Day 0. Some of the Architecture topics require long lead time and become huge blockers for a project. For example, customers who haven’t formalized their versioning strategy before Day 0 immediate block much of the work. This would help customers know that these decisions must be made sooner, rather than later. The topics below were problems encountered at actual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 Frankhouser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Current Architecture Self-Assessment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92.0" w:type="dxa"/>
        <w:jc w:val="left"/>
        <w:tblInd w:w="9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8"/>
        <w:gridCol w:w="1297"/>
        <w:gridCol w:w="4857"/>
        <w:tblGridChange w:id="0">
          <w:tblGrid>
            <w:gridCol w:w="1938"/>
            <w:gridCol w:w="1297"/>
            <w:gridCol w:w="4857"/>
          </w:tblGrid>
        </w:tblGridChange>
      </w:tblGrid>
      <w:tr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Maturity?</w:t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High, Med,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Low, none</w:t>
            </w:r>
          </w:p>
        </w:tc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versioning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naming conventions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 in 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Identity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CI/CD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Standards (dev portal)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Agile Maturity Self-Assessment – indirectly affects architect. DEL can better protect architect from customer’s weaknesses. </w:t>
      </w:r>
    </w:p>
    <w:tbl>
      <w:tblPr>
        <w:tblStyle w:val="Table2"/>
        <w:tblW w:w="8092.0" w:type="dxa"/>
        <w:jc w:val="left"/>
        <w:tblInd w:w="9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8"/>
        <w:gridCol w:w="1297"/>
        <w:gridCol w:w="4857"/>
        <w:tblGridChange w:id="0">
          <w:tblGrid>
            <w:gridCol w:w="1938"/>
            <w:gridCol w:w="1297"/>
            <w:gridCol w:w="4857"/>
          </w:tblGrid>
        </w:tblGridChange>
      </w:tblGrid>
      <w:t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Maturity?</w:t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High, Med,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Low, none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</w:t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546a"/>
                <w:sz w:val="20"/>
                <w:szCs w:val="20"/>
                <w:rtl w:val="0"/>
              </w:rPr>
              <w:t xml:space="preserve">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Waterfall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CI/CD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Mgt.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Master/ Lead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 ceremonies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