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智慧园区数字化管理平台 — 办公用房与公物仓产品需求说明（PRD）</w:t>
      </w:r>
    </w:p>
    <w:p>
      <w:r>
        <w:t xml:space="preserve">文档版本：V1.0</w:t>
      </w:r>
    </w:p>
    <w:p>
      <w:r>
        <w:t xml:space="preserve">编写依据：dp/ 大屏与中台源码、prototype/ 小程序源码</w:t>
      </w:r>
    </w:p>
    <w:p>
      <w:r>
        <w:t xml:space="preserve">涉及系统：大屏（dp/index.html）、中台（dp/middle-platform.html）、小程序（prototype/）</w:t>
      </w:r>
    </w:p>
    <w:p>
      <w:r>
        <w:t xml:space="preserve">说明：本文档严格依据当前代码实现梳理；未实现或数据不一致处已标注。</w:t>
      </w:r>
    </w:p>
    <w:p>
      <w:pPr>
        <w:pStyle w:val="Heading2"/>
      </w:pPr>
      <w:r>
        <w:t xml:space="preserve">1. 文档概述</w:t>
      </w:r>
    </w:p>
    <w:p>
      <w:pPr>
        <w:pStyle w:val="Heading3"/>
      </w:pPr>
      <w:r>
        <w:t xml:space="preserve">1.1 模块范围</w:t>
      </w:r>
    </w:p>
    <w:p>
      <w:r>
        <w:t xml:space="preserve">办公用房与公物仓是「资产管理」模块下的两个子域：</w:t>
      </w:r>
    </w:p>
    <w:p>
      <w:pPr>
        <w:pStyle w:val="ListParagraph"/>
        <w:numPr>
          <w:ilvl w:val="0"/>
          <w:numId w:val="1"/>
        </w:numPr>
      </w:pPr>
      <w:r>
        <w:t xml:space="preserve">办公用房：统计园区/机关单位办公空间的使用面积、占比、单位分布及变更历史</w:t>
      </w:r>
    </w:p>
    <w:p>
      <w:pPr>
        <w:pStyle w:val="ListParagraph"/>
        <w:numPr>
          <w:ilvl w:val="0"/>
          <w:numId w:val="1"/>
        </w:numPr>
      </w:pPr>
      <w:r>
        <w:t xml:space="preserve">公物仓：管理黄浦仓、闵行仓两仓的在库物资、累计存放、入库、出库及周转率</w:t>
      </w:r>
    </w:p>
    <w:p>
      <w:pPr>
        <w:pStyle w:val="Heading3"/>
      </w:pPr>
      <w:r>
        <w:t xml:space="preserve">1.2 涉及文件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系统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主要文件</w:t>
            </w:r>
          </w:p>
        </w:tc>
      </w:tr>
      <w:tr>
        <w:tc>
          <w:tcPr>
            <w:tcW w:w="2400" w:type="dxa"/>
          </w:tcPr>
          <w:p>
            <w:r>
              <w:t xml:space="preserve">大屏</w:t>
            </w:r>
          </w:p>
        </w:tc>
        <w:tc>
          <w:tcPr>
            <w:tcW w:w="2400" w:type="dxa"/>
          </w:tcPr>
          <w:p>
            <w:r>
              <w:t xml:space="preserve">dp/index.html、dp/js/dashboard.js、dp/js/data.js、dp/js/warehouse-charts.js</w:t>
            </w:r>
          </w:p>
        </w:tc>
      </w:tr>
      <w:tr>
        <w:tc>
          <w:tcPr>
            <w:tcW w:w="2400" w:type="dxa"/>
          </w:tcPr>
          <w:p>
            <w:r>
              <w:t xml:space="preserve">中台</w:t>
            </w:r>
          </w:p>
        </w:tc>
        <w:tc>
          <w:tcPr>
            <w:tcW w:w="2400" w:type="dxa"/>
          </w:tcPr>
          <w:p>
            <w:r>
              <w:t xml:space="preserve">dp/middle-platform.html、dp/js/middle-platform.js、dp/js/middle-platform-data.js、dp/js/warehouse-charts.js</w:t>
            </w:r>
          </w:p>
        </w:tc>
      </w:tr>
      <w:tr>
        <w:tc>
          <w:tcPr>
            <w:tcW w:w="2400" w:type="dxa"/>
          </w:tcPr>
          <w:p>
            <w:r>
              <w:t xml:space="preserve">小程序</w:t>
            </w:r>
          </w:p>
        </w:tc>
        <w:tc>
          <w:tcPr>
            <w:tcW w:w="2400" w:type="dxa"/>
          </w:tcPr>
          <w:p>
            <w:r>
              <w:t xml:space="preserve">prototype/js/app.js、prototype/css/auth.css</w:t>
            </w:r>
          </w:p>
        </w:tc>
      </w:tr>
      <w:tr>
        <w:tc>
          <w:tcPr>
            <w:tcW w:w="2400" w:type="dxa"/>
          </w:tcPr>
          <w:p>
            <w:r>
              <w:t xml:space="preserve">底座（间接）</w:t>
            </w:r>
          </w:p>
        </w:tc>
        <w:tc>
          <w:tcPr>
            <w:tcW w:w="2400" w:type="dxa"/>
          </w:tcPr>
          <w:p>
            <w:r>
              <w:t xml:space="preserve">dp/js/foundation-platform-data.js — 办公点/仓库主数据配置，非统计展示</w:t>
            </w:r>
          </w:p>
        </w:tc>
      </w:tr>
    </w:tbl>
    <w:p>
      <w:pPr>
        <w:pStyle w:val="Heading3"/>
      </w:pPr>
      <w:r>
        <w:t xml:space="preserve">1.3 仓库定义（公物仓统一口径）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简称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全称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颜色</w:t>
            </w:r>
          </w:p>
        </w:tc>
      </w:tr>
      <w:tr>
        <w:tc>
          <w:tcPr>
            <w:tcW w:w="2400" w:type="dxa"/>
          </w:tcPr>
          <w:p>
            <w:r>
              <w:t xml:space="preserve">w1</w:t>
            </w:r>
          </w:p>
        </w:tc>
        <w:tc>
          <w:tcPr>
            <w:tcW w:w="2400" w:type="dxa"/>
          </w:tcPr>
          <w:p>
            <w:r>
              <w:t xml:space="preserve">黄浦仓</w:t>
            </w:r>
          </w:p>
        </w:tc>
        <w:tc>
          <w:tcPr>
            <w:tcW w:w="2400" w:type="dxa"/>
          </w:tcPr>
          <w:p>
            <w:r>
              <w:t xml:space="preserve">黄浦仓（国货路371号）</w:t>
            </w:r>
          </w:p>
        </w:tc>
        <w:tc>
          <w:tcPr>
            <w:tcW w:w="2400" w:type="dxa"/>
          </w:tcPr>
          <w:p>
            <w:r>
              <w:t xml:space="preserve">#1890ff</w:t>
            </w:r>
          </w:p>
        </w:tc>
      </w:tr>
      <w:tr>
        <w:tc>
          <w:tcPr>
            <w:tcW w:w="2400" w:type="dxa"/>
          </w:tcPr>
          <w:p>
            <w:r>
              <w:t xml:space="preserve">w2</w:t>
            </w:r>
          </w:p>
        </w:tc>
        <w:tc>
          <w:tcPr>
            <w:tcW w:w="2400" w:type="dxa"/>
          </w:tcPr>
          <w:p>
            <w:r>
              <w:t xml:space="preserve">闵行仓</w:t>
            </w:r>
          </w:p>
        </w:tc>
        <w:tc>
          <w:tcPr>
            <w:tcW w:w="2400" w:type="dxa"/>
          </w:tcPr>
          <w:p>
            <w:r>
              <w:t xml:space="preserve">闵行仓（立跃路1758号）</w:t>
            </w:r>
          </w:p>
        </w:tc>
        <w:tc>
          <w:tcPr>
            <w:tcW w:w="2400" w:type="dxa"/>
          </w:tcPr>
          <w:p>
            <w:r>
              <w:t xml:space="preserve">#69c0ff</w:t>
            </w:r>
          </w:p>
        </w:tc>
      </w:tr>
    </w:tbl>
    <w:p>
      <w:r>
        <w:t xml:space="preserve">大屏与中台、小程序分仓 pie 均使用上述两仓；小程序公物仓详情区块另有三仓 Mock（中仓/外仓/近仓），与大屏/中台不一致。</w:t>
      </w:r>
    </w:p>
    <w:p>
      <w:pPr>
        <w:pStyle w:val="Heading2"/>
      </w:pPr>
      <w:r>
        <w:t xml:space="preserve">2. 大屏 — 办公用房</w:t>
      </w:r>
    </w:p>
    <w:p>
      <w:pPr>
        <w:pStyle w:val="Heading3"/>
      </w:pPr>
      <w:r>
        <w:t xml:space="preserve">2.1 入口与位置</w:t>
      </w:r>
    </w:p>
    <w:p>
      <w:r>
        <w:t xml:space="preserve">顶栏 Tab「资产管理」（activeTab === '资产管理'）。</w:t>
      </w:r>
    </w:p>
    <w:p>
      <w:r>
        <w:t xml:space="preserve">办公用房在大屏中不作为独立页面，而是通过右侧面板第三块在特定视图模式下展示。</w:t>
      </w:r>
    </w:p>
    <w:p>
      <w:pPr>
        <w:pStyle w:val="Heading3"/>
      </w:pPr>
      <w:r>
        <w:t xml:space="preserve">2.2 中心区 KPI（含办公相关）</w:t>
      </w:r>
    </w:p>
    <w:p>
      <w:r>
        <w:t xml:space="preserve">assetKpiData（dp/js/data.js）四张 KPI 卡片：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指标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示例值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单位</w:t>
            </w:r>
          </w:p>
        </w:tc>
      </w:tr>
      <w:tr>
        <w:tc>
          <w:tcPr>
            <w:tcW w:w="2400" w:type="dxa"/>
          </w:tcPr>
          <w:p>
            <w:r>
              <w:t xml:space="preserve">总建筑面积</w:t>
            </w:r>
          </w:p>
        </w:tc>
        <w:tc>
          <w:tcPr>
            <w:tcW w:w="2400" w:type="dxa"/>
          </w:tcPr>
          <w:p>
            <w:r>
              <w:t xml:space="preserve">741,213</w:t>
            </w:r>
          </w:p>
        </w:tc>
        <w:tc>
          <w:tcPr>
            <w:tcW w:w="2400" w:type="dxa"/>
          </w:tcPr>
          <w:p>
            <w:r>
              <w:t xml:space="preserve">㎡</w:t>
            </w:r>
          </w:p>
        </w:tc>
      </w:tr>
      <w:tr>
        <w:tc>
          <w:tcPr>
            <w:tcW w:w="2400" w:type="dxa"/>
          </w:tcPr>
          <w:p>
            <w:r>
              <w:t xml:space="preserve">总使用面积</w:t>
            </w:r>
          </w:p>
        </w:tc>
        <w:tc>
          <w:tcPr>
            <w:tcW w:w="2400" w:type="dxa"/>
          </w:tcPr>
          <w:p>
            <w:r>
              <w:t xml:space="preserve">1,213</w:t>
            </w:r>
          </w:p>
        </w:tc>
        <w:tc>
          <w:tcPr>
            <w:tcW w:w="2400" w:type="dxa"/>
          </w:tcPr>
          <w:p>
            <w:r>
              <w:t xml:space="preserve">㎡</w:t>
            </w:r>
          </w:p>
        </w:tc>
      </w:tr>
      <w:tr>
        <w:tc>
          <w:tcPr>
            <w:tcW w:w="2400" w:type="dxa"/>
          </w:tcPr>
          <w:p>
            <w:r>
              <w:t xml:space="preserve">空间总数</w:t>
            </w:r>
          </w:p>
        </w:tc>
        <w:tc>
          <w:tcPr>
            <w:tcW w:w="2400" w:type="dxa"/>
          </w:tcPr>
          <w:p>
            <w:r>
              <w:t xml:space="preserve">3,021</w:t>
            </w:r>
          </w:p>
        </w:tc>
        <w:tc>
          <w:tcPr>
            <w:tcW w:w="2400" w:type="dxa"/>
          </w:tcPr>
          <w:p>
            <w:r>
              <w:t xml:space="preserve">个</w:t>
            </w:r>
          </w:p>
        </w:tc>
      </w:tr>
      <w:tr>
        <w:tc>
          <w:tcPr>
            <w:tcW w:w="2400" w:type="dxa"/>
          </w:tcPr>
          <w:p>
            <w:r>
              <w:t xml:space="preserve">设备总数</w:t>
            </w:r>
          </w:p>
        </w:tc>
        <w:tc>
          <w:tcPr>
            <w:tcW w:w="2400" w:type="dxa"/>
          </w:tcPr>
          <w:p>
            <w:r>
              <w:t xml:space="preserve">3,021</w:t>
            </w:r>
          </w:p>
        </w:tc>
        <w:tc>
          <w:tcPr>
            <w:tcW w:w="2400" w:type="dxa"/>
          </w:tcPr>
          <w:p>
            <w:r>
              <w:t xml:space="preserve">个</w:t>
            </w:r>
          </w:p>
        </w:tc>
      </w:tr>
    </w:tbl>
    <w:p>
      <w:r>
        <w:t xml:space="preserve">进入园区模式（moduleParkKpi.资产管理）时，KPI 切换为当前项目的建筑面积、总使用面积、空间总数、设备总数。</w:t>
      </w:r>
    </w:p>
    <w:p>
      <w:pPr>
        <w:pStyle w:val="Heading3"/>
      </w:pPr>
      <w:r>
        <w:t xml:space="preserve">2.3 第三面板：办公用房总使用面积占比</w:t>
      </w:r>
    </w:p>
    <w:p>
      <w:pPr>
        <w:pStyle w:val="Heading3"/>
      </w:pPr>
      <w:r>
        <w:t xml:space="preserve">2.3.1 显示条件（isAssetParkScope）</w:t>
      </w:r>
    </w:p>
    <w:p>
      <w:r>
        <w:t xml:space="preserve">computed isAssetParkScope 为 true 时，第三面板标题为「办公用房总使用面积占比」，渲染 Donut 饼图；否则为「累计存放历史变化趋势」折线图。</w:t>
      </w:r>
    </w:p>
    <w:p>
      <w:r>
        <w:t xml:space="preserve">isAssetParkScope 为 true 的条件（dashboard.js）：</w:t>
      </w:r>
    </w:p>
    <w:p>
      <w:pPr>
        <w:pStyle w:val="ListParagraph"/>
        <w:numPr>
          <w:ilvl w:val="0"/>
          <w:numId w:val="1"/>
        </w:numPr>
      </w:pPr>
      <w:r>
        <w:t xml:space="preserve">当前 Tab 为「资产管理」</w:t>
      </w:r>
    </w:p>
    <w:p>
      <w:pPr>
        <w:pStyle w:val="ListParagraph"/>
        <w:numPr>
          <w:ilvl w:val="0"/>
          <w:numId w:val="1"/>
        </w:numPr>
      </w:pPr>
      <w:r>
        <w:t xml:space="preserve">且满足以下之一：模块视图处于园区模式（isModuleParkMode）；或地图模式且已打开项目弹窗（isModuleMapMode &amp;&amp; mapPopupProjectId）</w:t>
      </w:r>
    </w:p>
    <w:p>
      <w:pPr>
        <w:pStyle w:val="Heading3"/>
      </w:pPr>
      <w:r>
        <w:t xml:space="preserve">2.3.2 交互</w:t>
      </w:r>
    </w:p>
    <w:p>
      <w:pPr>
        <w:pStyle w:val="ListParagraph"/>
        <w:numPr>
          <w:ilvl w:val="0"/>
          <w:numId w:val="1"/>
        </w:numPr>
      </w:pPr>
      <w:r>
        <w:t xml:space="preserve">地图模式点击左侧项目 → 打开地图弹窗 → 第三面板变为办公面积占比</w:t>
      </w:r>
    </w:p>
    <w:p>
      <w:pPr>
        <w:pStyle w:val="ListParagraph"/>
        <w:numPr>
          <w:ilvl w:val="0"/>
          <w:numId w:val="1"/>
        </w:numPr>
      </w:pPr>
      <w:r>
        <w:t xml:space="preserve">弹窗内「进入园区」→ enterPark() → 园区模式，第三面板保持办公面积占比</w:t>
      </w:r>
    </w:p>
    <w:p>
      <w:pPr>
        <w:pStyle w:val="ListParagraph"/>
        <w:numPr>
          <w:ilvl w:val="0"/>
          <w:numId w:val="1"/>
        </w:numPr>
      </w:pPr>
      <w:r>
        <w:t xml:space="preserve">园区模式下切换 activeModuleProjectId → 饼图数据随项目变化</w:t>
      </w:r>
    </w:p>
    <w:p>
      <w:pPr>
        <w:pStyle w:val="ListParagraph"/>
        <w:numPr>
          <w:ilvl w:val="0"/>
          <w:numId w:val="1"/>
        </w:numPr>
      </w:pPr>
      <w:r>
        <w:t xml:space="preserve">park scope 下隐藏「按季度/按年度」切换（v-if="!isAssetParkScope"）</w:t>
      </w:r>
    </w:p>
    <w:p>
      <w:pPr>
        <w:pStyle w:val="Heading3"/>
      </w:pPr>
      <w:r>
        <w:t xml:space="preserve">2.3.3 图表逻辑</w:t>
      </w:r>
    </w:p>
    <w:p>
      <w:r>
        <w:t xml:space="preserve">函数 getActiveOfficeAreaChart()：</w:t>
      </w:r>
    </w:p>
    <w:p>
      <w:pPr>
        <w:pStyle w:val="ListParagraph"/>
        <w:numPr>
          <w:ilvl w:val="0"/>
          <w:numId w:val="1"/>
        </w:numPr>
      </w:pPr>
      <w:r>
        <w:t xml:space="preserve">园区模式：DASHBOARD_DATA.parkOfficeAreaChart.byProject[activeModuleProjectId]</w:t>
      </w:r>
    </w:p>
    <w:p>
      <w:pPr>
        <w:pStyle w:val="ListParagraph"/>
        <w:numPr>
          <w:ilvl w:val="0"/>
          <w:numId w:val="1"/>
        </w:numPr>
      </w:pPr>
      <w:r>
        <w:t xml:space="preserve">地图弹窗：byProject[resolveProjectRootId(mapPopupProjectId)]</w:t>
      </w:r>
    </w:p>
    <w:p>
      <w:pPr>
        <w:pStyle w:val="ListParagraph"/>
        <w:numPr>
          <w:ilvl w:val="0"/>
          <w:numId w:val="1"/>
        </w:numPr>
      </w:pPr>
      <w:r>
        <w:t xml:space="preserve">无匹配时：parkOfficeAreaChart.default</w:t>
      </w:r>
    </w:p>
    <w:p>
      <w:r>
        <w:t xml:space="preserve">buildOfficeAreaPieOption：Donut 图，中心显示「总面积 XXX㎡」，图例为各单位占比 %。</w:t>
      </w:r>
    </w:p>
    <w:p>
      <w:pPr>
        <w:pStyle w:val="Heading3"/>
      </w:pPr>
      <w:r>
        <w:t xml:space="preserve">2.4 各项目办公面积数据（parkOfficeAreaChart.byProject）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项目 ID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项目名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总面积(㎡)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占比项</w:t>
            </w:r>
          </w:p>
        </w:tc>
      </w:tr>
      <w:tr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延安东路300号</w:t>
            </w:r>
          </w:p>
        </w:tc>
        <w:tc>
          <w:tcPr>
            <w:tcW w:w="2400" w:type="dxa"/>
          </w:tcPr>
          <w:p>
            <w:r>
              <w:t xml:space="preserve">1213</w:t>
            </w:r>
          </w:p>
        </w:tc>
        <w:tc>
          <w:tcPr>
            <w:tcW w:w="2400" w:type="dxa"/>
          </w:tcPr>
          <w:p>
            <w:r>
              <w:t xml:space="preserve">区级统筹58%、机管局2%、区建设管理委2%、其他38%</w:t>
            </w:r>
          </w:p>
        </w:tc>
      </w:tr>
      <w:tr>
        <w:tc>
          <w:tcPr>
            <w:tcW w:w="2400" w:type="dxa"/>
          </w:tcPr>
          <w:p>
            <w:r>
              <w:t xml:space="preserve">p2</w:t>
            </w:r>
          </w:p>
        </w:tc>
        <w:tc>
          <w:tcPr>
            <w:tcW w:w="2400" w:type="dxa"/>
          </w:tcPr>
          <w:p>
            <w:r>
              <w:t xml:space="preserve">重庆南路100号</w:t>
            </w:r>
          </w:p>
        </w:tc>
        <w:tc>
          <w:tcPr>
            <w:tcW w:w="2400" w:type="dxa"/>
          </w:tcPr>
          <w:p>
            <w:r>
              <w:t xml:space="preserve">980</w:t>
            </w:r>
          </w:p>
        </w:tc>
        <w:tc>
          <w:tcPr>
            <w:tcW w:w="2400" w:type="dxa"/>
          </w:tcPr>
          <w:p>
            <w:r>
              <w:t xml:space="preserve">区级统筹52%、机管局3%、区建设管理委4%、其他41%</w:t>
            </w:r>
          </w:p>
        </w:tc>
      </w:tr>
      <w:tr>
        <w:tc>
          <w:tcPr>
            <w:tcW w:w="2400" w:type="dxa"/>
          </w:tcPr>
          <w:p>
            <w:r>
              <w:t xml:space="preserve">p3</w:t>
            </w:r>
          </w:p>
        </w:tc>
        <w:tc>
          <w:tcPr>
            <w:tcW w:w="2400" w:type="dxa"/>
          </w:tcPr>
          <w:p>
            <w:r>
              <w:t xml:space="preserve">重庆南路139号</w:t>
            </w:r>
          </w:p>
        </w:tc>
        <w:tc>
          <w:tcPr>
            <w:tcW w:w="2400" w:type="dxa"/>
          </w:tcPr>
          <w:p>
            <w:r>
              <w:t xml:space="preserve">856</w:t>
            </w:r>
          </w:p>
        </w:tc>
        <w:tc>
          <w:tcPr>
            <w:tcW w:w="2400" w:type="dxa"/>
          </w:tcPr>
          <w:p>
            <w:r>
              <w:t xml:space="preserve">区级统筹48%、机管局5%、区建设管理委3%、其他44%</w:t>
            </w:r>
          </w:p>
        </w:tc>
      </w:tr>
      <w:tr>
        <w:tc>
          <w:tcPr>
            <w:tcW w:w="2400" w:type="dxa"/>
          </w:tcPr>
          <w:p>
            <w:r>
              <w:t xml:space="preserve">p4</w:t>
            </w:r>
          </w:p>
        </w:tc>
        <w:tc>
          <w:tcPr>
            <w:tcW w:w="2400" w:type="dxa"/>
          </w:tcPr>
          <w:p>
            <w:r>
              <w:t xml:space="preserve">河南南路288号</w:t>
            </w:r>
          </w:p>
        </w:tc>
        <w:tc>
          <w:tcPr>
            <w:tcW w:w="2400" w:type="dxa"/>
          </w:tcPr>
          <w:p>
            <w:r>
              <w:t xml:space="preserve">742</w:t>
            </w:r>
          </w:p>
        </w:tc>
        <w:tc>
          <w:tcPr>
            <w:tcW w:w="2400" w:type="dxa"/>
          </w:tcPr>
          <w:p>
            <w:r>
              <w:t xml:space="preserve">区级统筹45%、机管局6%、区建设管理委4%、其他45%</w:t>
            </w:r>
          </w:p>
        </w:tc>
      </w:tr>
    </w:tbl>
    <w:p>
      <w:pPr>
        <w:pStyle w:val="Heading3"/>
      </w:pPr>
      <w:r>
        <w:t xml:space="preserve">2.5 大屏办公用房缺失能力（相对中台）</w:t>
      </w:r>
    </w:p>
    <w:p>
      <w:pPr>
        <w:pStyle w:val="ListParagraph"/>
        <w:numPr>
          <w:ilvl w:val="0"/>
          <w:numId w:val="1"/>
        </w:numPr>
      </w:pPr>
      <w:r>
        <w:t xml:space="preserve">无单位列表、变更明细、日期筛选</w:t>
      </w:r>
    </w:p>
    <w:p>
      <w:pPr>
        <w:pStyle w:val="ListParagraph"/>
        <w:numPr>
          <w:ilvl w:val="0"/>
          <w:numId w:val="1"/>
        </w:numPr>
      </w:pPr>
      <w:r>
        <w:t xml:space="preserve">无 stacked bar 下钻（点击「其他」展开）</w:t>
      </w:r>
    </w:p>
    <w:p>
      <w:pPr>
        <w:pStyle w:val="ListParagraph"/>
        <w:numPr>
          <w:ilvl w:val="0"/>
          <w:numId w:val="1"/>
        </w:numPr>
      </w:pPr>
      <w:r>
        <w:t xml:space="preserve">无楼栋/房间/楼层明细表格</w:t>
      </w:r>
    </w:p>
    <w:p>
      <w:pPr>
        <w:pStyle w:val="Heading2"/>
      </w:pPr>
      <w:r>
        <w:t xml:space="preserve">3. 大屏 — 公物仓</w:t>
      </w:r>
    </w:p>
    <w:p>
      <w:pPr>
        <w:pStyle w:val="Heading3"/>
      </w:pPr>
      <w:r>
        <w:t xml:space="preserve">3.1 右侧面板布局（资产管理 Tab 固定）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面板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标题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Chart ID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内容</w:t>
            </w:r>
          </w:p>
        </w:tc>
      </w:tr>
      <w:tr>
        <w:tc>
          <w:tcPr>
            <w:tcW w:w="2400" w:type="dxa"/>
          </w:tcPr>
          <w:p>
            <w:r>
              <w:t xml:space="preserve">第一块</w:t>
            </w:r>
          </w:p>
        </w:tc>
        <w:tc>
          <w:tcPr>
            <w:tcW w:w="2400" w:type="dxa"/>
          </w:tcPr>
          <w:p>
            <w:r>
              <w:t xml:space="preserve">按资产类型统计</w:t>
            </w:r>
          </w:p>
        </w:tc>
        <w:tc>
          <w:tcPr>
            <w:tcW w:w="2400" w:type="dxa"/>
          </w:tcPr>
          <w:p>
            <w:r>
              <w:t xml:space="preserve">#assetTypeChart</w:t>
            </w:r>
          </w:p>
        </w:tc>
        <w:tc>
          <w:tcPr>
            <w:tcW w:w="2400" w:type="dxa"/>
          </w:tcPr>
          <w:p>
            <w:r>
              <w:t xml:space="preserve">空间/设备 Donut（与公物仓无关）</w:t>
            </w:r>
          </w:p>
        </w:tc>
      </w:tr>
      <w:tr>
        <w:tc>
          <w:tcPr>
            <w:tcW w:w="2400" w:type="dxa"/>
          </w:tcPr>
          <w:p>
            <w:r>
              <w:t xml:space="preserve">第二块</w:t>
            </w:r>
          </w:p>
        </w:tc>
        <w:tc>
          <w:tcPr>
            <w:tcW w:w="2400" w:type="dxa"/>
          </w:tcPr>
          <w:p>
            <w:r>
              <w:t xml:space="preserve">本季在仓物资分仓占比（固定）</w:t>
            </w:r>
          </w:p>
        </w:tc>
        <w:tc>
          <w:tcPr>
            <w:tcW w:w="2400" w:type="dxa"/>
          </w:tcPr>
          <w:p>
            <w:r>
              <w:t xml:space="preserve">#gwStockPieChart</w:t>
            </w:r>
          </w:p>
        </w:tc>
        <w:tc>
          <w:tcPr>
            <w:tcW w:w="2400" w:type="dxa"/>
          </w:tcPr>
          <w:p>
            <w:r>
              <w:t xml:space="preserve">黄浦/闵行 pie，始终显示</w:t>
            </w:r>
          </w:p>
        </w:tc>
      </w:tr>
      <w:tr>
        <w:tc>
          <w:tcPr>
            <w:tcW w:w="2400" w:type="dxa"/>
          </w:tcPr>
          <w:p>
            <w:r>
              <w:t xml:space="preserve">第三块</w:t>
            </w:r>
          </w:p>
        </w:tc>
        <w:tc>
          <w:tcPr>
            <w:tcW w:w="2400" w:type="dxa"/>
          </w:tcPr>
          <w:p>
            <w:r>
              <w:t xml:space="preserve">动态</w:t>
            </w:r>
          </w:p>
        </w:tc>
        <w:tc>
          <w:tcPr>
            <w:tcW w:w="2400" w:type="dxa"/>
          </w:tcPr>
          <w:p>
            <w:r>
              <w:t xml:space="preserve">#gwCumulativeTrendChart</w:t>
            </w:r>
          </w:p>
        </w:tc>
        <w:tc>
          <w:tcPr>
            <w:tcW w:w="2400" w:type="dxa"/>
          </w:tcPr>
          <w:p>
            <w:r>
              <w:t xml:space="preserve">park scope→办公面积 pie；否则→累计存放趋势</w:t>
            </w:r>
          </w:p>
        </w:tc>
      </w:tr>
    </w:tbl>
    <w:p>
      <w:pPr>
        <w:pStyle w:val="Heading3"/>
      </w:pPr>
      <w:r>
        <w:t xml:space="preserve">3.2 第二面板：本季在仓物资分仓占比</w:t>
      </w:r>
    </w:p>
    <w:p>
      <w:r>
        <w:t xml:space="preserve">数据源：MIDDLE_PLATFORM_DATA.publicWarehouse.currentStock（dashboard.js 引用 middle-platform-data.js）。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值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total</w:t>
            </w:r>
          </w:p>
        </w:tc>
        <w:tc>
          <w:tcPr>
            <w:tcW w:w="2400" w:type="dxa"/>
          </w:tcPr>
          <w:p>
            <w:r>
              <w:t xml:space="preserve">822</w:t>
            </w:r>
          </w:p>
        </w:tc>
        <w:tc>
          <w:tcPr>
            <w:tcW w:w="2400" w:type="dxa"/>
          </w:tcPr>
          <w:p>
            <w:r>
              <w:t xml:space="preserve">本季在仓合计（件）</w:t>
            </w:r>
          </w:p>
        </w:tc>
      </w:tr>
      <w:tr>
        <w:tc>
          <w:tcPr>
            <w:tcW w:w="2400" w:type="dxa"/>
          </w:tcPr>
          <w:p>
            <w:r>
              <w:t xml:space="preserve">w1</w:t>
            </w:r>
          </w:p>
        </w:tc>
        <w:tc>
          <w:tcPr>
            <w:tcW w:w="2400" w:type="dxa"/>
          </w:tcPr>
          <w:p>
            <w:r>
              <w:t xml:space="preserve">484</w:t>
            </w:r>
          </w:p>
        </w:tc>
        <w:tc>
          <w:tcPr>
            <w:tcW w:w="2400" w:type="dxa"/>
          </w:tcPr>
          <w:p>
            <w:r>
              <w:t xml:space="preserve">黄浦仓</w:t>
            </w:r>
          </w:p>
        </w:tc>
      </w:tr>
      <w:tr>
        <w:tc>
          <w:tcPr>
            <w:tcW w:w="2400" w:type="dxa"/>
          </w:tcPr>
          <w:p>
            <w:r>
              <w:t xml:space="preserve">w2</w:t>
            </w:r>
          </w:p>
        </w:tc>
        <w:tc>
          <w:tcPr>
            <w:tcW w:w="2400" w:type="dxa"/>
          </w:tcPr>
          <w:p>
            <w:r>
              <w:t xml:space="preserve">338</w:t>
            </w:r>
          </w:p>
        </w:tc>
        <w:tc>
          <w:tcPr>
            <w:tcW w:w="2400" w:type="dxa"/>
          </w:tcPr>
          <w:p>
            <w:r>
              <w:t xml:space="preserve">闵行仓</w:t>
            </w:r>
          </w:p>
        </w:tc>
      </w:tr>
      <w:tr>
        <w:tc>
          <w:tcPr>
            <w:tcW w:w="2400" w:type="dxa"/>
          </w:tcPr>
          <w:p>
            <w:r>
              <w:t xml:space="preserve">freq</w:t>
            </w:r>
          </w:p>
        </w:tc>
        <w:tc>
          <w:tcPr>
            <w:tcW w:w="2400" w:type="dxa"/>
          </w:tcPr>
          <w:p>
            <w:r>
              <w:t xml:space="preserve">本季度</w:t>
            </w:r>
          </w:p>
        </w:tc>
        <w:tc>
          <w:tcPr>
            <w:tcW w:w="2400" w:type="dxa"/>
          </w:tcPr>
          <w:p>
            <w:r>
              <w:t xml:space="preserve">频率标签</w:t>
            </w:r>
          </w:p>
        </w:tc>
      </w:tr>
    </w:tbl>
    <w:p>
      <w:r>
        <w:t xml:space="preserve">buildGwStockPieOption：Donut 中心「本季总数 822」，tooltip 显示件数与百分比。</w:t>
      </w:r>
    </w:p>
    <w:p>
      <w:r>
        <w:t xml:space="preserve">updateAssetSecondPanelChart() 在 initAssetCharts 及 Tab 切换时始终刷新，不受 park scope 影响。</w:t>
      </w:r>
    </w:p>
    <w:p>
      <w:pPr>
        <w:pStyle w:val="Heading3"/>
      </w:pPr>
      <w:r>
        <w:t xml:space="preserve">3.3 第三面板：累计存放历史变化趋势（非 park scope）</w:t>
      </w:r>
    </w:p>
    <w:p>
      <w:r>
        <w:t xml:space="preserve">数据源：publicWarehouse.cumulative.quarterlyTrend 或 yearlyTrend。</w:t>
      </w:r>
    </w:p>
    <w:p>
      <w:r>
        <w:t xml:space="preserve">交互：按季度 / 按年度 Toggle（switchGwCumulativeMode）；park scope 时该切换不可用且函数直接 return。</w:t>
      </w:r>
    </w:p>
    <w:p>
      <w:r>
        <w:t xml:space="preserve">年度模式：取 yearlyTrend 最近 3 年标签与数据；季度模式：使用 quarterlyTrend 全量（当前仅 2026 Q1）。</w:t>
      </w:r>
    </w:p>
    <w:p>
      <w:r>
        <w:t xml:space="preserve">buildGwCumulativeTrendOption / buildGwDualWarehouseTrendOption：双仓折线（黄浦/闵行）。</w:t>
      </w:r>
    </w:p>
    <w:p>
      <w:pPr>
        <w:pStyle w:val="Heading3"/>
      </w:pPr>
      <w:r>
        <w:t xml:space="preserve">3.4 累计存放当前季度 KPI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指标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合计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黄浦仓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闵行仓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环比</w:t>
            </w:r>
          </w:p>
        </w:tc>
      </w:tr>
      <w:tr>
        <w:tc>
          <w:tcPr>
            <w:tcW w:w="2400" w:type="dxa"/>
          </w:tcPr>
          <w:p>
            <w:r>
              <w:t xml:space="preserve">截至目前存放物资数量</w:t>
            </w:r>
          </w:p>
        </w:tc>
        <w:tc>
          <w:tcPr>
            <w:tcW w:w="2400" w:type="dxa"/>
          </w:tcPr>
          <w:p>
            <w:r>
              <w:t xml:space="preserve">1320</w:t>
            </w:r>
          </w:p>
        </w:tc>
        <w:tc>
          <w:tcPr>
            <w:tcW w:w="2400" w:type="dxa"/>
          </w:tcPr>
          <w:p>
            <w:r>
              <w:t xml:space="preserve">758</w:t>
            </w:r>
          </w:p>
        </w:tc>
        <w:tc>
          <w:tcPr>
            <w:tcW w:w="2400" w:type="dxa"/>
          </w:tcPr>
          <w:p>
            <w:r>
              <w:t xml:space="preserve">562</w:t>
            </w:r>
          </w:p>
        </w:tc>
        <w:tc>
          <w:tcPr>
            <w:tcW w:w="2400" w:type="dxa"/>
          </w:tcPr>
          <w:p>
            <w:r>
              <w:t xml:space="preserve">↑ 5.6%</w:t>
            </w:r>
          </w:p>
        </w:tc>
      </w:tr>
    </w:tbl>
    <w:p>
      <w:pPr>
        <w:pStyle w:val="Heading3"/>
      </w:pPr>
      <w:r>
        <w:t xml:space="preserve">3.5 大屏公物仓缺失能力（相对中台）</w:t>
      </w:r>
    </w:p>
    <w:p>
      <w:pPr>
        <w:pStyle w:val="ListParagraph"/>
        <w:numPr>
          <w:ilvl w:val="0"/>
          <w:numId w:val="1"/>
        </w:numPr>
      </w:pPr>
      <w:r>
        <w:t xml:space="preserve">无入库/出库模块</w:t>
      </w:r>
    </w:p>
    <w:p>
      <w:pPr>
        <w:pStyle w:val="ListParagraph"/>
        <w:numPr>
          <w:ilvl w:val="0"/>
          <w:numId w:val="1"/>
        </w:numPr>
      </w:pPr>
      <w:r>
        <w:t xml:space="preserve">无周转率计算与展示</w:t>
      </w:r>
    </w:p>
    <w:p>
      <w:pPr>
        <w:pStyle w:val="ListParagraph"/>
        <w:numPr>
          <w:ilvl w:val="0"/>
          <w:numId w:val="1"/>
        </w:numPr>
      </w:pPr>
      <w:r>
        <w:t xml:space="preserve">无累计存放历史列表及年/季筛选</w:t>
      </w:r>
    </w:p>
    <w:p>
      <w:pPr>
        <w:pStyle w:val="ListParagraph"/>
        <w:numPr>
          <w:ilvl w:val="0"/>
          <w:numId w:val="1"/>
        </w:numPr>
      </w:pPr>
      <w:r>
        <w:t xml:space="preserve">无 metric tabs（入库次数/数量/价值等）</w:t>
      </w:r>
    </w:p>
    <w:p>
      <w:pPr>
        <w:pStyle w:val="Heading2"/>
      </w:pPr>
      <w:r>
        <w:t xml:space="preserve">4. 中台 — 办公用房</w:t>
      </w:r>
    </w:p>
    <w:p>
      <w:pPr>
        <w:pStyle w:val="Heading3"/>
      </w:pPr>
      <w:r>
        <w:t xml:space="preserve">4.1 入口与导航</w:t>
      </w:r>
    </w:p>
    <w:p>
      <w:r>
        <w:t xml:space="preserve">侧边栏：资产管理 → 办公用房（menuItems id=asset-office, path=office）。</w:t>
      </w:r>
    </w:p>
    <w:p>
      <w:r>
        <w:t xml:space="preserve">navigateToView('office') → currentView='office' → showOffice=true → initOfficeCharts()。</w:t>
      </w:r>
    </w:p>
    <w:p>
      <w:pPr>
        <w:pStyle w:val="Heading3"/>
      </w:pPr>
      <w:r>
        <w:t xml:space="preserve">4.2 顶部统计卡片（summaryCards）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标签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值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单位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图标</w:t>
            </w:r>
          </w:p>
        </w:tc>
      </w:tr>
      <w:tr>
        <w:tc>
          <w:tcPr>
            <w:tcW w:w="2400" w:type="dxa"/>
          </w:tcPr>
          <w:p>
            <w:r>
              <w:t xml:space="preserve">楼栋数量</w:t>
            </w:r>
          </w:p>
        </w:tc>
        <w:tc>
          <w:tcPr>
            <w:tcW w:w="2400" w:type="dxa"/>
          </w:tcPr>
          <w:p>
            <w:r>
              <w:t xml:space="preserve">51</w:t>
            </w:r>
          </w:p>
        </w:tc>
        <w:tc>
          <w:tcPr>
            <w:tcW w:w="2400" w:type="dxa"/>
          </w:tcPr>
          <w:p>
            <w:r>
              <w:t xml:space="preserve">个</w:t>
            </w:r>
          </w:p>
        </w:tc>
        <w:tc>
          <w:tcPr>
            <w:tcW w:w="2400" w:type="dxa"/>
          </w:tcPr>
          <w:p>
            <w:r>
              <w:t xml:space="preserve">building</w:t>
            </w:r>
          </w:p>
        </w:tc>
      </w:tr>
      <w:tr>
        <w:tc>
          <w:tcPr>
            <w:tcW w:w="2400" w:type="dxa"/>
          </w:tcPr>
          <w:p>
            <w:r>
              <w:t xml:space="preserve">总使用面积</w:t>
            </w:r>
          </w:p>
        </w:tc>
        <w:tc>
          <w:tcPr>
            <w:tcW w:w="2400" w:type="dxa"/>
          </w:tcPr>
          <w:p>
            <w:r>
              <w:t xml:space="preserve">579.42</w:t>
            </w:r>
          </w:p>
        </w:tc>
        <w:tc>
          <w:tcPr>
            <w:tcW w:w="2400" w:type="dxa"/>
          </w:tcPr>
          <w:p>
            <w:r>
              <w:t xml:space="preserve">m²</w:t>
            </w:r>
          </w:p>
        </w:tc>
        <w:tc>
          <w:tcPr>
            <w:tcW w:w="2400" w:type="dxa"/>
          </w:tcPr>
          <w:p>
            <w:r>
              <w:t xml:space="preserve">area</w:t>
            </w:r>
          </w:p>
        </w:tc>
      </w:tr>
      <w:tr>
        <w:tc>
          <w:tcPr>
            <w:tcW w:w="2400" w:type="dxa"/>
          </w:tcPr>
          <w:p>
            <w:r>
              <w:t xml:space="preserve">总建筑面积</w:t>
            </w:r>
          </w:p>
        </w:tc>
        <w:tc>
          <w:tcPr>
            <w:tcW w:w="2400" w:type="dxa"/>
          </w:tcPr>
          <w:p>
            <w:r>
              <w:t xml:space="preserve">5279.42</w:t>
            </w:r>
          </w:p>
        </w:tc>
        <w:tc>
          <w:tcPr>
            <w:tcW w:w="2400" w:type="dxa"/>
          </w:tcPr>
          <w:p>
            <w:r>
              <w:t xml:space="preserve">m²</w:t>
            </w:r>
          </w:p>
        </w:tc>
        <w:tc>
          <w:tcPr>
            <w:tcW w:w="2400" w:type="dxa"/>
          </w:tcPr>
          <w:p>
            <w:r>
              <w:t xml:space="preserve">building</w:t>
            </w:r>
          </w:p>
        </w:tc>
      </w:tr>
      <w:tr>
        <w:tc>
          <w:tcPr>
            <w:tcW w:w="2400" w:type="dxa"/>
          </w:tcPr>
          <w:p>
            <w:r>
              <w:t xml:space="preserve">房间数</w:t>
            </w:r>
          </w:p>
        </w:tc>
        <w:tc>
          <w:tcPr>
            <w:tcW w:w="2400" w:type="dxa"/>
          </w:tcPr>
          <w:p>
            <w:r>
              <w:t xml:space="preserve">746</w:t>
            </w:r>
          </w:p>
        </w:tc>
        <w:tc>
          <w:tcPr>
            <w:tcW w:w="2400" w:type="dxa"/>
          </w:tcPr>
          <w:p>
            <w:r>
              <w:t xml:space="preserve">个</w:t>
            </w:r>
          </w:p>
        </w:tc>
        <w:tc>
          <w:tcPr>
            <w:tcW w:w="2400" w:type="dxa"/>
          </w:tcPr>
          <w:p>
            <w:r>
              <w:t xml:space="preserve">room</w:t>
            </w:r>
          </w:p>
        </w:tc>
      </w:tr>
    </w:tbl>
    <w:p>
      <w:pPr>
        <w:pStyle w:val="Heading3"/>
      </w:pPr>
      <w:r>
        <w:t xml:space="preserve">4.3 办公用房使用面积占比图</w:t>
      </w:r>
    </w:p>
    <w:p>
      <w:r>
        <w:t xml:space="preserve">Chart：#mpAreaStack，水平 stacked bar（buildAreaStackOption）。</w:t>
      </w:r>
    </w:p>
    <w:p>
      <w:pPr>
        <w:pStyle w:val="Heading3"/>
      </w:pPr>
      <w:r>
        <w:t xml:space="preserve">4.3.1 两级下钻</w:t>
      </w:r>
    </w:p>
    <w:p>
      <w:r>
        <w:t xml:space="preserve">Level 1（summary）：top3 单位 + 「其他」汇总条（otherTotal=38%）。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单位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占比%</w:t>
            </w:r>
          </w:p>
        </w:tc>
      </w:tr>
      <w:tr>
        <w:tc>
          <w:tcPr>
            <w:tcW w:w="2400" w:type="dxa"/>
          </w:tcPr>
          <w:p>
            <w:r>
              <w:t xml:space="preserve">区级统筹</w:t>
            </w:r>
          </w:p>
        </w:tc>
        <w:tc>
          <w:tcPr>
            <w:tcW w:w="2400" w:type="dxa"/>
          </w:tcPr>
          <w:p>
            <w:r>
              <w:t xml:space="preserve">58</w:t>
            </w:r>
          </w:p>
        </w:tc>
      </w:tr>
      <w:tr>
        <w:tc>
          <w:tcPr>
            <w:tcW w:w="2400" w:type="dxa"/>
          </w:tcPr>
          <w:p>
            <w:r>
              <w:t xml:space="preserve">机管局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</w:tr>
      <w:tr>
        <w:tc>
          <w:tcPr>
            <w:tcW w:w="2400" w:type="dxa"/>
          </w:tcPr>
          <w:p>
            <w:r>
              <w:t xml:space="preserve">区建设管理委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</w:tr>
      <w:tr>
        <w:tc>
          <w:tcPr>
            <w:tcW w:w="2400" w:type="dxa"/>
          </w:tcPr>
          <w:p>
            <w:r>
              <w:t xml:space="preserve">其他（汇总）</w:t>
            </w:r>
          </w:p>
        </w:tc>
        <w:tc>
          <w:tcPr>
            <w:tcW w:w="2400" w:type="dxa"/>
          </w:tcPr>
          <w:p>
            <w:r>
              <w:t xml:space="preserve">38</w:t>
            </w:r>
          </w:p>
        </w:tc>
      </w:tr>
    </w:tbl>
    <w:p>
      <w:r>
        <w:t xml:space="preserve">Level 2（detail）：点击 bar 中「其他」段 → areaChartLevel='detail' → 展开 otherUnits 共 19 个单位明细。</w:t>
      </w:r>
    </w:p>
    <w:p>
      <w:r>
        <w:t xml:space="preserve">detail 模式显示「返回上一层」按钮 → backAreaChart() → 回到 summary。</w:t>
      </w:r>
    </w:p>
    <w:p>
      <w:r>
        <w:t xml:space="preserve">ECharts click 事件：仅 summary 层级且 seriesName==='其他' 时触发下钻。</w:t>
      </w:r>
    </w:p>
    <w:p>
      <w:pPr>
        <w:pStyle w:val="Heading3"/>
      </w:pPr>
      <w:r>
        <w:t xml:space="preserve">4.4 单位列表</w:t>
      </w:r>
    </w:p>
    <w:p>
      <w:r>
        <w:t xml:space="preserve">表格列：单位名称、位置、面积(m²)、占比(%)、变更明细。</w:t>
      </w:r>
    </w:p>
    <w:p>
      <w:r>
        <w:t xml:space="preserve">unitList 共 11 条单位记录，示例：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单位名称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位置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面积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占比%</w:t>
            </w:r>
          </w:p>
        </w:tc>
      </w:tr>
      <w:tr>
        <w:tc>
          <w:tcPr>
            <w:tcW w:w="2400" w:type="dxa"/>
          </w:tcPr>
          <w:p>
            <w:r>
              <w:t xml:space="preserve">区建设管理委</w:t>
            </w:r>
          </w:p>
        </w:tc>
        <w:tc>
          <w:tcPr>
            <w:tcW w:w="2400" w:type="dxa"/>
          </w:tcPr>
          <w:p>
            <w:r>
              <w:t xml:space="preserve">1号楼 3层</w:t>
            </w:r>
          </w:p>
        </w:tc>
        <w:tc>
          <w:tcPr>
            <w:tcW w:w="2400" w:type="dxa"/>
          </w:tcPr>
          <w:p>
            <w:r>
              <w:t xml:space="preserve">1337.11</w:t>
            </w:r>
          </w:p>
        </w:tc>
        <w:tc>
          <w:tcPr>
            <w:tcW w:w="2400" w:type="dxa"/>
          </w:tcPr>
          <w:p>
            <w:r>
              <w:t xml:space="preserve">2.54</w:t>
            </w:r>
          </w:p>
        </w:tc>
      </w:tr>
      <w:tr>
        <w:tc>
          <w:tcPr>
            <w:tcW w:w="2400" w:type="dxa"/>
          </w:tcPr>
          <w:p>
            <w:r>
              <w:t xml:space="preserve">区商务委</w:t>
            </w:r>
          </w:p>
        </w:tc>
        <w:tc>
          <w:tcPr>
            <w:tcW w:w="2400" w:type="dxa"/>
          </w:tcPr>
          <w:p>
            <w:r>
              <w:t xml:space="preserve">1号楼 5层</w:t>
            </w:r>
          </w:p>
        </w:tc>
        <w:tc>
          <w:tcPr>
            <w:tcW w:w="2400" w:type="dxa"/>
          </w:tcPr>
          <w:p>
            <w:r>
              <w:t xml:space="preserve">967.33</w:t>
            </w:r>
          </w:p>
        </w:tc>
        <w:tc>
          <w:tcPr>
            <w:tcW w:w="2400" w:type="dxa"/>
          </w:tcPr>
          <w:p>
            <w:r>
              <w:t xml:space="preserve">1.84</w:t>
            </w:r>
          </w:p>
        </w:tc>
      </w:tr>
      <w:tr>
        <w:tc>
          <w:tcPr>
            <w:tcW w:w="2400" w:type="dxa"/>
          </w:tcPr>
          <w:p>
            <w:r>
              <w:t xml:space="preserve">人武部</w:t>
            </w:r>
          </w:p>
        </w:tc>
        <w:tc>
          <w:tcPr>
            <w:tcW w:w="2400" w:type="dxa"/>
          </w:tcPr>
          <w:p>
            <w:r>
              <w:t xml:space="preserve">2号楼 2层</w:t>
            </w:r>
          </w:p>
        </w:tc>
        <w:tc>
          <w:tcPr>
            <w:tcW w:w="2400" w:type="dxa"/>
          </w:tcPr>
          <w:p>
            <w:r>
              <w:t xml:space="preserve">602.95</w:t>
            </w:r>
          </w:p>
        </w:tc>
        <w:tc>
          <w:tcPr>
            <w:tcW w:w="2400" w:type="dxa"/>
          </w:tcPr>
          <w:p>
            <w:r>
              <w:t xml:space="preserve">1.15</w:t>
            </w:r>
          </w:p>
        </w:tc>
      </w:tr>
      <w:tr>
        <w:tc>
          <w:tcPr>
            <w:tcW w:w="2400" w:type="dxa"/>
          </w:tcPr>
          <w:p>
            <w:r>
              <w:t xml:space="preserve">区金融办</w:t>
            </w:r>
          </w:p>
        </w:tc>
        <w:tc>
          <w:tcPr>
            <w:tcW w:w="2400" w:type="dxa"/>
          </w:tcPr>
          <w:p>
            <w:r>
              <w:t xml:space="preserve">2号楼 4层</w:t>
            </w:r>
          </w:p>
        </w:tc>
        <w:tc>
          <w:tcPr>
            <w:tcW w:w="2400" w:type="dxa"/>
          </w:tcPr>
          <w:p>
            <w:r>
              <w:t xml:space="preserve">626.7</w:t>
            </w:r>
          </w:p>
        </w:tc>
        <w:tc>
          <w:tcPr>
            <w:tcW w:w="2400" w:type="dxa"/>
          </w:tcPr>
          <w:p>
            <w:r>
              <w:t xml:space="preserve">1.19</w:t>
            </w:r>
          </w:p>
        </w:tc>
      </w:tr>
      <w:tr>
        <w:tc>
          <w:tcPr>
            <w:tcW w:w="2400" w:type="dxa"/>
          </w:tcPr>
          <w:p>
            <w:r>
              <w:t xml:space="preserve">区人社局</w:t>
            </w:r>
          </w:p>
        </w:tc>
        <w:tc>
          <w:tcPr>
            <w:tcW w:w="2400" w:type="dxa"/>
          </w:tcPr>
          <w:p>
            <w:r>
              <w:t xml:space="preserve">3号楼 1层</w:t>
            </w:r>
          </w:p>
        </w:tc>
        <w:tc>
          <w:tcPr>
            <w:tcW w:w="2400" w:type="dxa"/>
          </w:tcPr>
          <w:p>
            <w:r>
              <w:t xml:space="preserve">200.03</w:t>
            </w:r>
          </w:p>
        </w:tc>
        <w:tc>
          <w:tcPr>
            <w:tcW w:w="2400" w:type="dxa"/>
          </w:tcPr>
          <w:p>
            <w:r>
              <w:t xml:space="preserve">0.38</w:t>
            </w:r>
          </w:p>
        </w:tc>
      </w:tr>
      <w:tr>
        <w:tc>
          <w:tcPr>
            <w:tcW w:w="2400" w:type="dxa"/>
          </w:tcPr>
          <w:p>
            <w:r>
              <w:t xml:space="preserve">区机关党工委</w:t>
            </w:r>
          </w:p>
        </w:tc>
        <w:tc>
          <w:tcPr>
            <w:tcW w:w="2400" w:type="dxa"/>
          </w:tcPr>
          <w:p>
            <w:r>
              <w:t xml:space="preserve">3号楼 3层</w:t>
            </w:r>
          </w:p>
        </w:tc>
        <w:tc>
          <w:tcPr>
            <w:tcW w:w="2400" w:type="dxa"/>
          </w:tcPr>
          <w:p>
            <w:r>
              <w:t xml:space="preserve">181.11</w:t>
            </w:r>
          </w:p>
        </w:tc>
        <w:tc>
          <w:tcPr>
            <w:tcW w:w="2400" w:type="dxa"/>
          </w:tcPr>
          <w:p>
            <w:r>
              <w:t xml:space="preserve">0.35</w:t>
            </w:r>
          </w:p>
        </w:tc>
      </w:tr>
      <w:tr>
        <w:tc>
          <w:tcPr>
            <w:tcW w:w="2400" w:type="dxa"/>
          </w:tcPr>
          <w:p>
            <w:r>
              <w:t xml:space="preserve">区退役军人局</w:t>
            </w:r>
          </w:p>
        </w:tc>
        <w:tc>
          <w:tcPr>
            <w:tcW w:w="2400" w:type="dxa"/>
          </w:tcPr>
          <w:p>
            <w:r>
              <w:t xml:space="preserve">3号楼 5层</w:t>
            </w:r>
          </w:p>
        </w:tc>
        <w:tc>
          <w:tcPr>
            <w:tcW w:w="2400" w:type="dxa"/>
          </w:tcPr>
          <w:p>
            <w:r>
              <w:t xml:space="preserve">241.56</w:t>
            </w:r>
          </w:p>
        </w:tc>
        <w:tc>
          <w:tcPr>
            <w:tcW w:w="2400" w:type="dxa"/>
          </w:tcPr>
          <w:p>
            <w:r>
              <w:t xml:space="preserve">0.46</w:t>
            </w:r>
          </w:p>
        </w:tc>
      </w:tr>
      <w:tr>
        <w:tc>
          <w:tcPr>
            <w:tcW w:w="2400" w:type="dxa"/>
          </w:tcPr>
          <w:p>
            <w:r>
              <w:t xml:space="preserve">保密办</w:t>
            </w:r>
          </w:p>
        </w:tc>
        <w:tc>
          <w:tcPr>
            <w:tcW w:w="2400" w:type="dxa"/>
          </w:tcPr>
          <w:p>
            <w:r>
              <w:t xml:space="preserve">4号楼 2层</w:t>
            </w:r>
          </w:p>
        </w:tc>
        <w:tc>
          <w:tcPr>
            <w:tcW w:w="2400" w:type="dxa"/>
          </w:tcPr>
          <w:p>
            <w:r>
              <w:t xml:space="preserve">40.8</w:t>
            </w:r>
          </w:p>
        </w:tc>
        <w:tc>
          <w:tcPr>
            <w:tcW w:w="2400" w:type="dxa"/>
          </w:tcPr>
          <w:p>
            <w:r>
              <w:t xml:space="preserve">0.08</w:t>
            </w:r>
          </w:p>
        </w:tc>
      </w:tr>
      <w:tr>
        <w:tc>
          <w:tcPr>
            <w:tcW w:w="2400" w:type="dxa"/>
          </w:tcPr>
          <w:p>
            <w:r>
              <w:t xml:space="preserve">区人武部</w:t>
            </w:r>
          </w:p>
        </w:tc>
        <w:tc>
          <w:tcPr>
            <w:tcW w:w="2400" w:type="dxa"/>
          </w:tcPr>
          <w:p>
            <w:r>
              <w:t xml:space="preserve">4号楼 4层</w:t>
            </w:r>
          </w:p>
        </w:tc>
        <w:tc>
          <w:tcPr>
            <w:tcW w:w="2400" w:type="dxa"/>
          </w:tcPr>
          <w:p>
            <w:r>
              <w:t xml:space="preserve">34</w:t>
            </w:r>
          </w:p>
        </w:tc>
        <w:tc>
          <w:tcPr>
            <w:tcW w:w="2400" w:type="dxa"/>
          </w:tcPr>
          <w:p>
            <w:r>
              <w:t xml:space="preserve">0.07</w:t>
            </w:r>
          </w:p>
        </w:tc>
      </w:tr>
      <w:tr>
        <w:tc>
          <w:tcPr>
            <w:tcW w:w="2400" w:type="dxa"/>
          </w:tcPr>
          <w:p>
            <w:r>
              <w:t xml:space="preserve">人大领导</w:t>
            </w:r>
          </w:p>
        </w:tc>
        <w:tc>
          <w:tcPr>
            <w:tcW w:w="2400" w:type="dxa"/>
          </w:tcPr>
          <w:p>
            <w:r>
              <w:t xml:space="preserve">5号楼 1层</w:t>
            </w:r>
          </w:p>
        </w:tc>
        <w:tc>
          <w:tcPr>
            <w:tcW w:w="2400" w:type="dxa"/>
          </w:tcPr>
          <w:p>
            <w:r>
              <w:t xml:space="preserve">40</w:t>
            </w:r>
          </w:p>
        </w:tc>
        <w:tc>
          <w:tcPr>
            <w:tcW w:w="2400" w:type="dxa"/>
          </w:tcPr>
          <w:p>
            <w:r>
              <w:t xml:space="preserve">0.08</w:t>
            </w:r>
          </w:p>
        </w:tc>
      </w:tr>
      <w:tr>
        <w:tc>
          <w:tcPr>
            <w:tcW w:w="2400" w:type="dxa"/>
          </w:tcPr>
          <w:p>
            <w:r>
              <w:t xml:space="preserve">审改办</w:t>
            </w:r>
          </w:p>
        </w:tc>
        <w:tc>
          <w:tcPr>
            <w:tcW w:w="2400" w:type="dxa"/>
          </w:tcPr>
          <w:p>
            <w:r>
              <w:t xml:space="preserve">5号楼 3层</w:t>
            </w:r>
          </w:p>
        </w:tc>
        <w:tc>
          <w:tcPr>
            <w:tcW w:w="2400" w:type="dxa"/>
          </w:tcPr>
          <w:p>
            <w:r>
              <w:t xml:space="preserve">9.9</w:t>
            </w:r>
          </w:p>
        </w:tc>
        <w:tc>
          <w:tcPr>
            <w:tcW w:w="2400" w:type="dxa"/>
          </w:tcPr>
          <w:p>
            <w:r>
              <w:t xml:space="preserve">0.02</w:t>
            </w:r>
          </w:p>
        </w:tc>
      </w:tr>
    </w:tbl>
    <w:p>
      <w:pPr>
        <w:pStyle w:val="Heading3"/>
      </w:pPr>
      <w:r>
        <w:t xml:space="preserve">4.5 单位列表 — 日期筛选</w:t>
      </w:r>
    </w:p>
    <w:p>
      <w:r>
        <w:t xml:space="preserve">筛选控件：开始日期、结束日期（type=date），重置按钮。</w:t>
      </w:r>
    </w:p>
    <w:p>
      <w:r>
        <w:t xml:space="preserve">filteredUnitList 逻辑：</w:t>
      </w:r>
    </w:p>
    <w:p>
      <w:pPr>
        <w:pStyle w:val="ListParagraph"/>
        <w:numPr>
          <w:ilvl w:val="0"/>
          <w:numId w:val="1"/>
        </w:numPr>
      </w:pPr>
      <w:r>
        <w:t xml:space="preserve">对每个 unit.changes 按日期范围过滤得 visibleChanges</w:t>
      </w:r>
    </w:p>
    <w:p>
      <w:pPr>
        <w:pStyle w:val="ListParagraph"/>
        <w:numPr>
          <w:ilvl w:val="0"/>
          <w:numId w:val="1"/>
        </w:numPr>
      </w:pPr>
      <w:r>
        <w:t xml:space="preserve">若设置了日期范围，仅展示 visibleChanges.length &gt; 0 的单位</w:t>
      </w:r>
    </w:p>
    <w:p>
      <w:pPr>
        <w:pStyle w:val="ListParagraph"/>
        <w:numPr>
          <w:ilvl w:val="0"/>
          <w:numId w:val="1"/>
        </w:numPr>
      </w:pPr>
      <w:r>
        <w:t xml:space="preserve">提示文案：「已筛选 N 个在指定时段内有变更的单位」</w:t>
      </w:r>
    </w:p>
    <w:p>
      <w:pPr>
        <w:pStyle w:val="ListParagraph"/>
        <w:numPr>
          <w:ilvl w:val="0"/>
          <w:numId w:val="1"/>
        </w:numPr>
      </w:pPr>
      <w:r>
        <w:t xml:space="preserve">空态：「该时段内暂无单位变更记录」</w:t>
      </w:r>
    </w:p>
    <w:p>
      <w:pPr>
        <w:pStyle w:val="Heading3"/>
      </w:pPr>
      <w:r>
        <w:t xml:space="preserve">4.6 变更明细弹窗</w:t>
      </w:r>
    </w:p>
    <w:p>
      <w:r>
        <w:t xml:space="preserve">触发：单位列表点击「查看」按钮（visibleChanges 非空时）。</w:t>
      </w:r>
    </w:p>
    <w:p>
      <w:r>
        <w:t xml:space="preserve">弹窗内容：</w:t>
      </w:r>
    </w:p>
    <w:p>
      <w:pPr>
        <w:pStyle w:val="ListParagraph"/>
        <w:numPr>
          <w:ilvl w:val="0"/>
          <w:numId w:val="1"/>
        </w:numPr>
      </w:pPr>
      <w:r>
        <w:t xml:space="preserve">头部：单位名称</w:t>
      </w:r>
    </w:p>
    <w:p>
      <w:pPr>
        <w:pStyle w:val="ListParagraph"/>
        <w:numPr>
          <w:ilvl w:val="0"/>
          <w:numId w:val="1"/>
        </w:numPr>
      </w:pPr>
      <w:r>
        <w:t xml:space="preserve">摘要：当前面积、当前占比、变更次数</w:t>
      </w:r>
    </w:p>
    <w:p>
      <w:pPr>
        <w:pStyle w:val="ListParagraph"/>
        <w:numPr>
          <w:ilvl w:val="0"/>
          <w:numId w:val="1"/>
        </w:numPr>
      </w:pPr>
      <w:r>
        <w:t xml:space="preserve">时间线：每条变更含日期、使用面积、面积占比、较上次 delta（areaDelta/proportionDelta）</w:t>
      </w:r>
    </w:p>
    <w:p>
      <w:pPr>
        <w:pStyle w:val="ListParagraph"/>
        <w:numPr>
          <w:ilvl w:val="0"/>
          <w:numId w:val="1"/>
        </w:numPr>
      </w:pPr>
      <w:r>
        <w:t xml:space="preserve">最新一条标记「最新」；其余显示「较上次变更」</w:t>
      </w:r>
    </w:p>
    <w:p>
      <w:pPr>
        <w:pStyle w:val="ListParagraph"/>
        <w:numPr>
          <w:ilvl w:val="0"/>
          <w:numId w:val="1"/>
        </w:numPr>
      </w:pPr>
      <w:r>
        <w:t xml:space="preserve">delta 样式：is-up / is-down / is-flat（持平）</w:t>
      </w:r>
    </w:p>
    <w:p>
      <w:r>
        <w:t xml:space="preserve">enrichUnitChanges：按日期降序排序，计算相邻记录的面积/占比差值。</w:t>
      </w:r>
    </w:p>
    <w:p>
      <w:r>
        <w:t xml:space="preserve">若列表有日期筛选，弹窗仅展示筛选时段内的变更，并提示「当前展示筛选时段内的 N 条变更记录」。</w:t>
      </w:r>
    </w:p>
    <w:p>
      <w:pPr>
        <w:pStyle w:val="Heading2"/>
      </w:pPr>
      <w:r>
        <w:t xml:space="preserve">5. 中台 — 公物仓</w:t>
      </w:r>
    </w:p>
    <w:p>
      <w:pPr>
        <w:pStyle w:val="Heading3"/>
      </w:pPr>
      <w:r>
        <w:t xml:space="preserve">5.1 入口与导航</w:t>
      </w:r>
    </w:p>
    <w:p>
      <w:r>
        <w:t xml:space="preserve">侧边栏：资产管理 → 公物仓（path=warehouse）。</w:t>
      </w:r>
    </w:p>
    <w:p>
      <w:r>
        <w:t xml:space="preserve">navigateToView('warehouse') → initWarehouseCharts()：初始化 gwStockPie、gwCumulativeTrend、gwInboundTrend、gwOutboundTrend。</w:t>
      </w:r>
    </w:p>
    <w:p>
      <w:pPr>
        <w:pStyle w:val="Heading3"/>
      </w:pPr>
      <w:r>
        <w:t xml:space="preserve">5.2 页面结构（三大区块）</w:t>
      </w:r>
    </w:p>
    <w:p>
      <w:pPr>
        <w:pStyle w:val="ListParagraph"/>
        <w:numPr>
          <w:ilvl w:val="0"/>
          <w:numId w:val="1"/>
        </w:numPr>
      </w:pPr>
      <w:r>
        <w:t xml:space="preserve">A. 库存物资数</w:t>
      </w:r>
    </w:p>
    <w:p>
      <w:pPr>
        <w:pStyle w:val="ListParagraph"/>
        <w:numPr>
          <w:ilvl w:val="0"/>
          <w:numId w:val="1"/>
        </w:numPr>
      </w:pPr>
      <w:r>
        <w:t xml:space="preserve">B. 入库</w:t>
      </w:r>
    </w:p>
    <w:p>
      <w:pPr>
        <w:pStyle w:val="ListParagraph"/>
        <w:numPr>
          <w:ilvl w:val="0"/>
          <w:numId w:val="1"/>
        </w:numPr>
      </w:pPr>
      <w:r>
        <w:t xml:space="preserve">C. 出库</w:t>
      </w:r>
    </w:p>
    <w:p>
      <w:pPr>
        <w:pStyle w:val="Heading3"/>
      </w:pPr>
      <w:r>
        <w:t xml:space="preserve">5.3 区块 A — 库存物资数</w:t>
      </w:r>
    </w:p>
    <w:p>
      <w:pPr>
        <w:pStyle w:val="Heading3"/>
      </w:pPr>
      <w:r>
        <w:t xml:space="preserve">5.3.1 在仓物资 KPI</w:t>
      </w:r>
    </w:p>
    <w:p>
      <w:r>
        <w:t xml:space="preserve">本季度在仓：合计 822 件；黄浦仓 484（占比 gwStockRatio）；闵行仓 338。</w:t>
      </w:r>
    </w:p>
    <w:p>
      <w:pPr>
        <w:pStyle w:val="Heading3"/>
      </w:pPr>
      <w:r>
        <w:t xml:space="preserve">5.3.2 截至目前存放（本季度）</w:t>
      </w:r>
    </w:p>
    <w:p>
      <w:r>
        <w:t xml:space="preserve">cumulative.currentQuarter：合计 1320，黄浦 758，闵行 562，环比 ↑ 5.6%。</w:t>
      </w:r>
    </w:p>
    <w:p>
      <w:pPr>
        <w:pStyle w:val="Heading3"/>
      </w:pPr>
      <w:r>
        <w:t xml:space="preserve">5.3.3 图表</w:t>
      </w:r>
    </w:p>
    <w:p>
      <w:pPr>
        <w:pStyle w:val="ListParagraph"/>
        <w:numPr>
          <w:ilvl w:val="0"/>
          <w:numId w:val="1"/>
        </w:numPr>
      </w:pPr>
      <w:r>
        <w:t xml:space="preserve">本季在仓物资分仓占比（#gwStockPie）— buildGwStockPieOption</w:t>
      </w:r>
    </w:p>
    <w:p>
      <w:pPr>
        <w:pStyle w:val="ListParagraph"/>
        <w:numPr>
          <w:ilvl w:val="0"/>
          <w:numId w:val="1"/>
        </w:numPr>
      </w:pPr>
      <w:r>
        <w:t xml:space="preserve">累计存放历史变化趋势（#gwCumulativeTrend）— 按季度/按年度 Toggle</w:t>
      </w:r>
    </w:p>
    <w:p>
      <w:pPr>
        <w:pStyle w:val="Heading3"/>
      </w:pPr>
      <w:r>
        <w:t xml:space="preserve">5.3.4 累计存放历史列表</w:t>
      </w:r>
    </w:p>
    <w:p>
      <w:r>
        <w:t xml:space="preserve">表格列：周期、合计、黄浦仓、闵行仓、环比变化%。</w:t>
      </w:r>
    </w:p>
    <w:p>
      <w:r>
        <w:t xml:space="preserve">筛选：按季度/按年度模式 + 年份 select + 季度 select（季度模式）。</w:t>
      </w:r>
    </w:p>
    <w:p>
      <w:r>
        <w:t xml:space="preserve">gwCumulativeHistory computed 逻辑：</w:t>
      </w:r>
    </w:p>
    <w:p>
      <w:pPr>
        <w:pStyle w:val="ListParagraph"/>
        <w:numPr>
          <w:ilvl w:val="0"/>
          <w:numId w:val="1"/>
        </w:numPr>
      </w:pPr>
      <w:r>
        <w:t xml:space="preserve">年度模式：由 yearlyTrend.labels 构建，环比 = (本期-上期)/上期*100</w:t>
      </w:r>
    </w:p>
    <w:p>
      <w:pPr>
        <w:pStyle w:val="ListParagraph"/>
        <w:numPr>
          <w:ilvl w:val="0"/>
          <w:numId w:val="1"/>
        </w:numPr>
      </w:pPr>
      <w:r>
        <w:t xml:space="preserve">季度模式：historyList 过滤 period 年份 &gt;= quarterlyStartYear(2026)</w:t>
      </w:r>
    </w:p>
    <w:p>
      <w:pPr>
        <w:pStyle w:val="ListParagraph"/>
        <w:numPr>
          <w:ilvl w:val="0"/>
          <w:numId w:val="1"/>
        </w:numPr>
      </w:pPr>
      <w:r>
        <w:t xml:space="preserve">可按 gwCumulativeHistoryYear、gwCumulativeHistoryQuarter 进一步筛选</w:t>
      </w:r>
    </w:p>
    <w:p>
      <w:r>
        <w:t xml:space="preserve">年度趋势数据（yearlyTrend）：2022–2026 年 total 3200→5280。</w:t>
      </w:r>
    </w:p>
    <w:p>
      <w:pPr>
        <w:pStyle w:val="Heading3"/>
      </w:pPr>
      <w:r>
        <w:t xml:space="preserve">5.4 区块 B — 入库</w:t>
      </w:r>
    </w:p>
    <w:p>
      <w:pPr>
        <w:pStyle w:val="Heading3"/>
      </w:pPr>
      <w:r>
        <w:t xml:space="preserve">5.4.1 指标 Tab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key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标签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单位</w:t>
            </w:r>
          </w:p>
        </w:tc>
      </w:tr>
      <w:tr>
        <w:tc>
          <w:tcPr>
            <w:tcW w:w="2400" w:type="dxa"/>
          </w:tcPr>
          <w:p>
            <w:r>
              <w:t xml:space="preserve">count</w:t>
            </w:r>
          </w:p>
        </w:tc>
        <w:tc>
          <w:tcPr>
            <w:tcW w:w="2400" w:type="dxa"/>
          </w:tcPr>
          <w:p>
            <w:r>
              <w:t xml:space="preserve">入库次数</w:t>
            </w:r>
          </w:p>
        </w:tc>
        <w:tc>
          <w:tcPr>
            <w:tcW w:w="2400" w:type="dxa"/>
          </w:tcPr>
          <w:p>
            <w:r>
              <w:t xml:space="preserve">次</w:t>
            </w:r>
          </w:p>
        </w:tc>
      </w:tr>
      <w:tr>
        <w:tc>
          <w:tcPr>
            <w:tcW w:w="2400" w:type="dxa"/>
          </w:tcPr>
          <w:p>
            <w:r>
              <w:t xml:space="preserve">quantity</w:t>
            </w:r>
          </w:p>
        </w:tc>
        <w:tc>
          <w:tcPr>
            <w:tcW w:w="2400" w:type="dxa"/>
          </w:tcPr>
          <w:p>
            <w:r>
              <w:t xml:space="preserve">入库物资数量</w:t>
            </w:r>
          </w:p>
        </w:tc>
        <w:tc>
          <w:tcPr>
            <w:tcW w:w="2400" w:type="dxa"/>
          </w:tcPr>
          <w:p>
            <w:r>
              <w:t xml:space="preserve">件</w:t>
            </w:r>
          </w:p>
        </w:tc>
      </w:tr>
      <w:tr>
        <w:tc>
          <w:tcPr>
            <w:tcW w:w="2400" w:type="dxa"/>
          </w:tcPr>
          <w:p>
            <w:r>
              <w:t xml:space="preserve">assetValue</w:t>
            </w:r>
          </w:p>
        </w:tc>
        <w:tc>
          <w:tcPr>
            <w:tcW w:w="2400" w:type="dxa"/>
          </w:tcPr>
          <w:p>
            <w:r>
              <w:t xml:space="preserve">入库固定资产价值</w:t>
            </w:r>
          </w:p>
        </w:tc>
        <w:tc>
          <w:tcPr>
            <w:tcW w:w="2400" w:type="dxa"/>
          </w:tcPr>
          <w:p>
            <w:r>
              <w:t xml:space="preserve">万元</w:t>
            </w:r>
          </w:p>
        </w:tc>
      </w:tr>
    </w:tbl>
    <w:p>
      <w:pPr>
        <w:pStyle w:val="Heading3"/>
      </w:pPr>
      <w:r>
        <w:t xml:space="preserve">5.4.2 本季度 KPI（currentQuarter）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指标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合计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黄浦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闵行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环比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趋势</w:t>
            </w:r>
          </w:p>
        </w:tc>
      </w:tr>
      <w:tr>
        <w:tc>
          <w:tcPr>
            <w:tcW w:w="2400" w:type="dxa"/>
          </w:tcPr>
          <w:p>
            <w:r>
              <w:t xml:space="preserve">入库次数</w:t>
            </w:r>
          </w:p>
        </w:tc>
        <w:tc>
          <w:tcPr>
            <w:tcW w:w="2400" w:type="dxa"/>
          </w:tcPr>
          <w:p>
            <w:r>
              <w:t xml:space="preserve">86</w:t>
            </w:r>
          </w:p>
        </w:tc>
        <w:tc>
          <w:tcPr>
            <w:tcW w:w="2400" w:type="dxa"/>
          </w:tcPr>
          <w:p>
            <w:r>
              <w:t xml:space="preserve">52</w:t>
            </w:r>
          </w:p>
        </w:tc>
        <w:tc>
          <w:tcPr>
            <w:tcW w:w="2400" w:type="dxa"/>
          </w:tcPr>
          <w:p>
            <w:r>
              <w:t xml:space="preserve">34</w:t>
            </w:r>
          </w:p>
        </w:tc>
        <w:tc>
          <w:tcPr>
            <w:tcW w:w="2400" w:type="dxa"/>
          </w:tcPr>
          <w:p>
            <w:r>
              <w:t xml:space="preserve">8.2%</w:t>
            </w:r>
          </w:p>
        </w:tc>
        <w:tc>
          <w:tcPr>
            <w:tcW w:w="2400" w:type="dxa"/>
          </w:tcPr>
          <w:p>
            <w:r>
              <w:t xml:space="preserve">up</w:t>
            </w:r>
          </w:p>
        </w:tc>
      </w:tr>
      <w:tr>
        <w:tc>
          <w:tcPr>
            <w:tcW w:w="2400" w:type="dxa"/>
          </w:tcPr>
          <w:p>
            <w:r>
              <w:t xml:space="preserve">入库物资数量</w:t>
            </w:r>
          </w:p>
        </w:tc>
        <w:tc>
          <w:tcPr>
            <w:tcW w:w="2400" w:type="dxa"/>
          </w:tcPr>
          <w:p>
            <w:r>
              <w:t xml:space="preserve">423</w:t>
            </w:r>
          </w:p>
        </w:tc>
        <w:tc>
          <w:tcPr>
            <w:tcW w:w="2400" w:type="dxa"/>
          </w:tcPr>
          <w:p>
            <w:r>
              <w:t xml:space="preserve">256</w:t>
            </w:r>
          </w:p>
        </w:tc>
        <w:tc>
          <w:tcPr>
            <w:tcW w:w="2400" w:type="dxa"/>
          </w:tcPr>
          <w:p>
            <w:r>
              <w:t xml:space="preserve">167</w:t>
            </w:r>
          </w:p>
        </w:tc>
        <w:tc>
          <w:tcPr>
            <w:tcW w:w="2400" w:type="dxa"/>
          </w:tcPr>
          <w:p>
            <w:r>
              <w:t xml:space="preserve">6.5%</w:t>
            </w:r>
          </w:p>
        </w:tc>
        <w:tc>
          <w:tcPr>
            <w:tcW w:w="2400" w:type="dxa"/>
          </w:tcPr>
          <w:p>
            <w:r>
              <w:t xml:space="preserve">up</w:t>
            </w:r>
          </w:p>
        </w:tc>
      </w:tr>
      <w:tr>
        <w:tc>
          <w:tcPr>
            <w:tcW w:w="2400" w:type="dxa"/>
          </w:tcPr>
          <w:p>
            <w:r>
              <w:t xml:space="preserve">入库固定资产价值</w:t>
            </w:r>
          </w:p>
        </w:tc>
        <w:tc>
          <w:tcPr>
            <w:tcW w:w="2400" w:type="dxa"/>
          </w:tcPr>
          <w:p>
            <w:r>
              <w:t xml:space="preserve">573</w:t>
            </w:r>
          </w:p>
        </w:tc>
        <w:tc>
          <w:tcPr>
            <w:tcW w:w="2400" w:type="dxa"/>
          </w:tcPr>
          <w:p>
            <w:r>
              <w:t xml:space="preserve">348</w:t>
            </w:r>
          </w:p>
        </w:tc>
        <w:tc>
          <w:tcPr>
            <w:tcW w:w="2400" w:type="dxa"/>
          </w:tcPr>
          <w:p>
            <w:r>
              <w:t xml:space="preserve">225</w:t>
            </w:r>
          </w:p>
        </w:tc>
        <w:tc>
          <w:tcPr>
            <w:tcW w:w="2400" w:type="dxa"/>
          </w:tcPr>
          <w:p>
            <w:r>
              <w:t xml:space="preserve">3.1%</w:t>
            </w:r>
          </w:p>
        </w:tc>
        <w:tc>
          <w:tcPr>
            <w:tcW w:w="2400" w:type="dxa"/>
          </w:tcPr>
          <w:p>
            <w:r>
              <w:t xml:space="preserve">down</w:t>
            </w:r>
          </w:p>
        </w:tc>
      </w:tr>
    </w:tbl>
    <w:p>
      <w:pPr>
        <w:pStyle w:val="Heading3"/>
      </w:pPr>
      <w:r>
        <w:t xml:space="preserve">5.4.3 入库趋势图</w:t>
      </w:r>
    </w:p>
    <w:p>
      <w:r>
        <w:t xml:space="preserve">Chart #gwInboundTrend；Toggle 按季度/按年度。</w:t>
      </w:r>
    </w:p>
    <w:p>
      <w:r>
        <w:t xml:space="preserve">getGwFlowTrendData：年度模式取 yearlyTotal 最近 3 年；季度模式取 currentYearQuarterly（2026 Q1–Q4）。</w:t>
      </w:r>
    </w:p>
    <w:p>
      <w:r>
        <w:t xml:space="preserve">双仓折线：buildGwDualWarehouseTrendOption。</w:t>
      </w:r>
    </w:p>
    <w:p>
      <w:pPr>
        <w:pStyle w:val="Heading3"/>
      </w:pPr>
      <w:r>
        <w:t xml:space="preserve">5.4.4 入库历史表</w:t>
      </w:r>
    </w:p>
    <w:p>
      <w:r>
        <w:t xml:space="preserve">列：年份、合计、黄浦仓、闵行仓、环比。</w:t>
      </w:r>
    </w:p>
    <w:p>
      <w:r>
        <w:t xml:space="preserve">数据：buildGwYearlyFlowHistory(inbound, metricKey) — 由 yearlyTotal 按年构建，倒序展示。</w:t>
      </w:r>
    </w:p>
    <w:p>
      <w:pPr>
        <w:pStyle w:val="Heading3"/>
      </w:pPr>
      <w:r>
        <w:t xml:space="preserve">5.5 区块 C — 出库</w:t>
      </w:r>
    </w:p>
    <w:p>
      <w:pPr>
        <w:pStyle w:val="Heading3"/>
      </w:pPr>
      <w:r>
        <w:t xml:space="preserve">5.5.1 指标 Tab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key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标签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单位</w:t>
            </w:r>
          </w:p>
        </w:tc>
      </w:tr>
      <w:tr>
        <w:tc>
          <w:tcPr>
            <w:tcW w:w="2400" w:type="dxa"/>
          </w:tcPr>
          <w:p>
            <w:r>
              <w:t xml:space="preserve">count</w:t>
            </w:r>
          </w:p>
        </w:tc>
        <w:tc>
          <w:tcPr>
            <w:tcW w:w="2400" w:type="dxa"/>
          </w:tcPr>
          <w:p>
            <w:r>
              <w:t xml:space="preserve">出库次数</w:t>
            </w:r>
          </w:p>
        </w:tc>
        <w:tc>
          <w:tcPr>
            <w:tcW w:w="2400" w:type="dxa"/>
          </w:tcPr>
          <w:p>
            <w:r>
              <w:t xml:space="preserve">次</w:t>
            </w:r>
          </w:p>
        </w:tc>
      </w:tr>
      <w:tr>
        <w:tc>
          <w:tcPr>
            <w:tcW w:w="2400" w:type="dxa"/>
          </w:tcPr>
          <w:p>
            <w:r>
              <w:t xml:space="preserve">quantity</w:t>
            </w:r>
          </w:p>
        </w:tc>
        <w:tc>
          <w:tcPr>
            <w:tcW w:w="2400" w:type="dxa"/>
          </w:tcPr>
          <w:p>
            <w:r>
              <w:t xml:space="preserve">出库物资数量</w:t>
            </w:r>
          </w:p>
        </w:tc>
        <w:tc>
          <w:tcPr>
            <w:tcW w:w="2400" w:type="dxa"/>
          </w:tcPr>
          <w:p>
            <w:r>
              <w:t xml:space="preserve">件</w:t>
            </w:r>
          </w:p>
        </w:tc>
      </w:tr>
      <w:tr>
        <w:tc>
          <w:tcPr>
            <w:tcW w:w="2400" w:type="dxa"/>
          </w:tcPr>
          <w:p>
            <w:r>
              <w:t xml:space="preserve">savedFunds</w:t>
            </w:r>
          </w:p>
        </w:tc>
        <w:tc>
          <w:tcPr>
            <w:tcW w:w="2400" w:type="dxa"/>
          </w:tcPr>
          <w:p>
            <w:r>
              <w:t xml:space="preserve">节约资金</w:t>
            </w:r>
          </w:p>
        </w:tc>
        <w:tc>
          <w:tcPr>
            <w:tcW w:w="2400" w:type="dxa"/>
          </w:tcPr>
          <w:p>
            <w:r>
              <w:t xml:space="preserve">万元</w:t>
            </w:r>
          </w:p>
        </w:tc>
      </w:tr>
    </w:tbl>
    <w:p>
      <w:pPr>
        <w:pStyle w:val="Heading3"/>
      </w:pPr>
      <w:r>
        <w:t xml:space="preserve">5.5.2 本季度 KPI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指标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合计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黄浦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闵行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环比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趋势</w:t>
            </w:r>
          </w:p>
        </w:tc>
      </w:tr>
      <w:tr>
        <w:tc>
          <w:tcPr>
            <w:tcW w:w="2400" w:type="dxa"/>
          </w:tcPr>
          <w:p>
            <w:r>
              <w:t xml:space="preserve">出库次数</w:t>
            </w:r>
          </w:p>
        </w:tc>
        <w:tc>
          <w:tcPr>
            <w:tcW w:w="2400" w:type="dxa"/>
          </w:tcPr>
          <w:p>
            <w:r>
              <w:t xml:space="preserve">79</w:t>
            </w:r>
          </w:p>
        </w:tc>
        <w:tc>
          <w:tcPr>
            <w:tcW w:w="2400" w:type="dxa"/>
          </w:tcPr>
          <w:p>
            <w:r>
              <w:t xml:space="preserve">48</w:t>
            </w:r>
          </w:p>
        </w:tc>
        <w:tc>
          <w:tcPr>
            <w:tcW w:w="2400" w:type="dxa"/>
          </w:tcPr>
          <w:p>
            <w:r>
              <w:t xml:space="preserve">31</w:t>
            </w:r>
          </w:p>
        </w:tc>
        <w:tc>
          <w:tcPr>
            <w:tcW w:w="2400" w:type="dxa"/>
          </w:tcPr>
          <w:p>
            <w:r>
              <w:t xml:space="preserve">4.0%</w:t>
            </w:r>
          </w:p>
        </w:tc>
        <w:tc>
          <w:tcPr>
            <w:tcW w:w="2400" w:type="dxa"/>
          </w:tcPr>
          <w:p>
            <w:r>
              <w:t xml:space="preserve">up</w:t>
            </w:r>
          </w:p>
        </w:tc>
      </w:tr>
      <w:tr>
        <w:tc>
          <w:tcPr>
            <w:tcW w:w="2400" w:type="dxa"/>
          </w:tcPr>
          <w:p>
            <w:r>
              <w:t xml:space="preserve">出库物资数量</w:t>
            </w:r>
          </w:p>
        </w:tc>
        <w:tc>
          <w:tcPr>
            <w:tcW w:w="2400" w:type="dxa"/>
          </w:tcPr>
          <w:p>
            <w:r>
              <w:t xml:space="preserve">423</w:t>
            </w:r>
          </w:p>
        </w:tc>
        <w:tc>
          <w:tcPr>
            <w:tcW w:w="2400" w:type="dxa"/>
          </w:tcPr>
          <w:p>
            <w:r>
              <w:t xml:space="preserve">257</w:t>
            </w:r>
          </w:p>
        </w:tc>
        <w:tc>
          <w:tcPr>
            <w:tcW w:w="2400" w:type="dxa"/>
          </w:tcPr>
          <w:p>
            <w:r>
              <w:t xml:space="preserve">166</w:t>
            </w:r>
          </w:p>
        </w:tc>
        <w:tc>
          <w:tcPr>
            <w:tcW w:w="2400" w:type="dxa"/>
          </w:tcPr>
          <w:p>
            <w:r>
              <w:t xml:space="preserve">5.8%</w:t>
            </w:r>
          </w:p>
        </w:tc>
        <w:tc>
          <w:tcPr>
            <w:tcW w:w="2400" w:type="dxa"/>
          </w:tcPr>
          <w:p>
            <w:r>
              <w:t xml:space="preserve">up</w:t>
            </w:r>
          </w:p>
        </w:tc>
      </w:tr>
      <w:tr>
        <w:tc>
          <w:tcPr>
            <w:tcW w:w="2400" w:type="dxa"/>
          </w:tcPr>
          <w:p>
            <w:r>
              <w:t xml:space="preserve">节约资金</w:t>
            </w:r>
          </w:p>
        </w:tc>
        <w:tc>
          <w:tcPr>
            <w:tcW w:w="2400" w:type="dxa"/>
          </w:tcPr>
          <w:p>
            <w:r>
              <w:t xml:space="preserve">128</w:t>
            </w:r>
          </w:p>
        </w:tc>
        <w:tc>
          <w:tcPr>
            <w:tcW w:w="2400" w:type="dxa"/>
          </w:tcPr>
          <w:p>
            <w:r>
              <w:t xml:space="preserve">78</w:t>
            </w:r>
          </w:p>
        </w:tc>
        <w:tc>
          <w:tcPr>
            <w:tcW w:w="2400" w:type="dxa"/>
          </w:tcPr>
          <w:p>
            <w:r>
              <w:t xml:space="preserve">50</w:t>
            </w:r>
          </w:p>
        </w:tc>
        <w:tc>
          <w:tcPr>
            <w:tcW w:w="2400" w:type="dxa"/>
          </w:tcPr>
          <w:p>
            <w:r>
              <w:t xml:space="preserve">12.3%</w:t>
            </w:r>
          </w:p>
        </w:tc>
        <w:tc>
          <w:tcPr>
            <w:tcW w:w="2400" w:type="dxa"/>
          </w:tcPr>
          <w:p>
            <w:r>
              <w:t xml:space="preserve">up</w:t>
            </w:r>
          </w:p>
        </w:tc>
      </w:tr>
    </w:tbl>
    <w:p>
      <w:pPr>
        <w:pStyle w:val="Heading3"/>
      </w:pPr>
      <w:r>
        <w:t xml:space="preserve">5.5.3 出库历史表 — 周转率</w:t>
      </w:r>
    </w:p>
    <w:p>
      <w:r>
        <w:t xml:space="preserve">出库历史表在入库历史基础上增加「周转率」列。</w:t>
      </w:r>
    </w:p>
    <w:p>
      <w:r>
        <w:t xml:space="preserve">公式（middle-platform.js calcGwTurnoverRate）：</w:t>
      </w:r>
    </w:p>
    <w:p>
      <w:r>
        <w:t xml:space="preserve">周转率 = 出库次数 ÷ ((年初在库数 + 年末在库数) / 2)</w:t>
      </w:r>
    </w:p>
    <w:p>
      <w:r>
        <w:t xml:space="preserve">年初/年末在库数 = yearlyInventory 中 w1Begin+w2Begin / w1End+w2End 按年汇总。</w:t>
      </w:r>
    </w:p>
    <w:p>
      <w:r>
        <w:t xml:space="preserve">enrichGwOutboundHistoryWithTurnover 仅对出库历史、metric=count 时 enrich；其他 metric 周转率列为 null 显示「—」。</w:t>
      </w:r>
    </w:p>
    <w:p>
      <w:r>
        <w:t xml:space="preserve">yearlyInventory 数据年份：2022–2025。</w:t>
      </w:r>
    </w:p>
    <w:p>
      <w:pPr>
        <w:pStyle w:val="Heading3"/>
      </w:pPr>
      <w:r>
        <w:t xml:space="preserve">5.5.4 出库趋势与历史</w:t>
      </w:r>
    </w:p>
    <w:p>
      <w:r>
        <w:t xml:space="preserve">结构与入库对称：#gwOutboundTrend + 出库历史表（含周转率 + 环比）。</w:t>
      </w:r>
    </w:p>
    <w:p>
      <w:pPr>
        <w:pStyle w:val="Heading3"/>
      </w:pPr>
      <w:r>
        <w:t xml:space="preserve">5.6 公物仓通用交互与格式化</w:t>
      </w:r>
    </w:p>
    <w:p>
      <w:pPr>
        <w:pStyle w:val="ListParagraph"/>
        <w:numPr>
          <w:ilvl w:val="0"/>
          <w:numId w:val="1"/>
        </w:numPr>
      </w:pPr>
      <w:r>
        <w:t xml:space="preserve">gwStockRatio(wid)：单仓占 currentStock.total 百分比</w:t>
      </w:r>
    </w:p>
    <w:p>
      <w:pPr>
        <w:pStyle w:val="ListParagraph"/>
        <w:numPr>
          <w:ilvl w:val="0"/>
          <w:numId w:val="1"/>
        </w:numPr>
      </w:pPr>
      <w:r>
        <w:t xml:space="preserve">gwCumulativeRatio(wid)：单仓占 cumulative.currentQuarter.total 百分比</w:t>
      </w:r>
    </w:p>
    <w:p>
      <w:pPr>
        <w:pStyle w:val="ListParagraph"/>
        <w:numPr>
          <w:ilvl w:val="0"/>
          <w:numId w:val="1"/>
        </w:numPr>
      </w:pPr>
      <w:r>
        <w:t xml:space="preserve">formatGwChange：↑/↓ + change%（trend up/down）</w:t>
      </w:r>
    </w:p>
    <w:p>
      <w:pPr>
        <w:pStyle w:val="ListParagraph"/>
        <w:numPr>
          <w:ilvl w:val="0"/>
          <w:numId w:val="1"/>
        </w:numPr>
      </w:pPr>
      <w:r>
        <w:t xml:space="preserve">switchGwCumulativeMode / switchGwInboundTrendMode / switchGwOutboundTrendMode：切换后 reset 筛选并 refresh 图表</w:t>
      </w:r>
    </w:p>
    <w:p>
      <w:pPr>
        <w:pStyle w:val="ListParagraph"/>
        <w:numPr>
          <w:ilvl w:val="0"/>
          <w:numId w:val="1"/>
        </w:numPr>
      </w:pPr>
      <w:r>
        <w:t xml:space="preserve">switchGwInboundMetric / switchGwOutboundMetric：切换 metric 后 refresh 趋势图</w:t>
      </w:r>
    </w:p>
    <w:p>
      <w:pPr>
        <w:pStyle w:val="Heading2"/>
      </w:pPr>
      <w:r>
        <w:t xml:space="preserve">6. 小程序 — 办公用房与公物仓（简要）</w:t>
      </w:r>
    </w:p>
    <w:p>
      <w:pPr>
        <w:pStyle w:val="Heading3"/>
      </w:pPr>
      <w:r>
        <w:t xml:space="preserve">6.1 入口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入口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跳转</w:t>
            </w:r>
          </w:p>
        </w:tc>
      </w:tr>
      <w:tr>
        <w:tc>
          <w:tcPr>
            <w:tcW w:w="2400" w:type="dxa"/>
          </w:tcPr>
          <w:p>
            <w:r>
              <w:t xml:space="preserve">首页 → 资产管理 → 公物仓</w:t>
            </w:r>
          </w:p>
        </w:tc>
        <w:tc>
          <w:tcPr>
            <w:tcW w:w="2400" w:type="dxa"/>
          </w:tcPr>
          <w:p>
            <w:r>
              <w:t xml:space="preserve">goToAssetSection('asset-warehouse') → assetData 子页滚动至公物仓区</w:t>
            </w:r>
          </w:p>
        </w:tc>
      </w:tr>
      <w:tr>
        <w:tc>
          <w:tcPr>
            <w:tcW w:w="2400" w:type="dxa"/>
          </w:tcPr>
          <w:p>
            <w:r>
              <w:t xml:space="preserve">首页 → 资产管理 → 空间/设备</w:t>
            </w:r>
          </w:p>
        </w:tc>
        <w:tc>
          <w:tcPr>
            <w:tcW w:w="2400" w:type="dxa"/>
          </w:tcPr>
          <w:p>
            <w:r>
              <w:t xml:space="preserve">goToAssetSection → asset-data-type-section</w:t>
            </w:r>
          </w:p>
        </w:tc>
      </w:tr>
      <w:tr>
        <w:tc>
          <w:tcPr>
            <w:tcW w:w="2400" w:type="dxa"/>
          </w:tcPr>
          <w:p>
            <w:r>
              <w:t xml:space="preserve">首页 → 资产管理 → 查看更多</w:t>
            </w:r>
          </w:p>
        </w:tc>
        <w:tc>
          <w:tcPr>
            <w:tcW w:w="2400" w:type="dxa"/>
          </w:tcPr>
          <w:p>
            <w:r>
              <w:t xml:space="preserve">openAssetData('space')</w:t>
            </w:r>
          </w:p>
        </w:tc>
      </w:tr>
      <w:tr>
        <w:tc>
          <w:tcPr>
            <w:tcW w:w="2400" w:type="dxa"/>
          </w:tcPr>
          <w:p>
            <w:r>
              <w:t xml:space="preserve">数据 Tab → 办公用房/公物仓 card</w:t>
            </w:r>
          </w:p>
        </w:tc>
        <w:tc>
          <w:tcPr>
            <w:tcW w:w="2400" w:type="dxa"/>
          </w:tcPr>
          <w:p>
            <w:r>
              <w:t xml:space="preserve">内嵌 renderOfficeSpaceSection / renderPublicWarehouseSection</w:t>
            </w:r>
          </w:p>
        </w:tc>
      </w:tr>
      <w:tr>
        <w:tc>
          <w:tcPr>
            <w:tcW w:w="2400" w:type="dxa"/>
          </w:tcPr>
          <w:p>
            <w:r>
              <w:t xml:space="preserve">资产数据子页 assetData</w:t>
            </w:r>
          </w:p>
        </w:tc>
        <w:tc>
          <w:tcPr>
            <w:tcW w:w="2400" w:type="dxa"/>
          </w:tcPr>
          <w:p>
            <w:r>
              <w:t xml:space="preserve">独立 card：分仓 pie、办公用房、公物仓</w:t>
            </w:r>
          </w:p>
        </w:tc>
      </w:tr>
    </w:tbl>
    <w:p>
      <w:pPr>
        <w:pStyle w:val="Heading3"/>
      </w:pPr>
      <w:r>
        <w:t xml:space="preserve">6.2 办公用房（MOCK.officeSpace）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标签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值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单位</w:t>
            </w:r>
          </w:p>
        </w:tc>
      </w:tr>
      <w:tr>
        <w:tc>
          <w:tcPr>
            <w:tcW w:w="2400" w:type="dxa"/>
          </w:tcPr>
          <w:p>
            <w:r>
              <w:t xml:space="preserve">楼栋总数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个</w:t>
            </w:r>
          </w:p>
        </w:tc>
      </w:tr>
      <w:tr>
        <w:tc>
          <w:tcPr>
            <w:tcW w:w="2400" w:type="dxa"/>
          </w:tcPr>
          <w:p>
            <w:r>
              <w:t xml:space="preserve">房间总数</w:t>
            </w:r>
          </w:p>
        </w:tc>
        <w:tc>
          <w:tcPr>
            <w:tcW w:w="2400" w:type="dxa"/>
          </w:tcPr>
          <w:p>
            <w:r>
              <w:t xml:space="preserve">1373</w:t>
            </w:r>
          </w:p>
        </w:tc>
        <w:tc>
          <w:tcPr>
            <w:tcW w:w="2400" w:type="dxa"/>
          </w:tcPr>
          <w:p>
            <w:r>
              <w:t xml:space="preserve">间</w:t>
            </w:r>
          </w:p>
        </w:tc>
      </w:tr>
      <w:tr>
        <w:tc>
          <w:tcPr>
            <w:tcW w:w="2400" w:type="dxa"/>
          </w:tcPr>
          <w:p>
            <w:r>
              <w:t xml:space="preserve">楼层数量</w:t>
            </w:r>
          </w:p>
        </w:tc>
        <w:tc>
          <w:tcPr>
            <w:tcW w:w="2400" w:type="dxa"/>
          </w:tcPr>
          <w:p>
            <w:r>
              <w:t xml:space="preserve">51</w:t>
            </w:r>
          </w:p>
        </w:tc>
        <w:tc>
          <w:tcPr>
            <w:tcW w:w="2400" w:type="dxa"/>
          </w:tcPr>
          <w:p>
            <w:r>
              <w:t xml:space="preserve">个</w:t>
            </w:r>
          </w:p>
        </w:tc>
      </w:tr>
      <w:tr>
        <w:tc>
          <w:tcPr>
            <w:tcW w:w="2400" w:type="dxa"/>
          </w:tcPr>
          <w:p>
            <w:r>
              <w:t xml:space="preserve">建筑面积</w:t>
            </w:r>
          </w:p>
        </w:tc>
        <w:tc>
          <w:tcPr>
            <w:tcW w:w="2400" w:type="dxa"/>
          </w:tcPr>
          <w:p>
            <w:r>
              <w:t xml:space="preserve">74620.44</w:t>
            </w:r>
          </w:p>
        </w:tc>
        <w:tc>
          <w:tcPr>
            <w:tcW w:w="2400" w:type="dxa"/>
          </w:tcPr>
          <w:p>
            <w:r>
              <w:t xml:space="preserve">㎡</w:t>
            </w:r>
          </w:p>
        </w:tc>
      </w:tr>
      <w:tr>
        <w:tc>
          <w:tcPr>
            <w:tcW w:w="2400" w:type="dxa"/>
          </w:tcPr>
          <w:p>
            <w:r>
              <w:t xml:space="preserve">总使用面积</w:t>
            </w:r>
          </w:p>
        </w:tc>
        <w:tc>
          <w:tcPr>
            <w:tcW w:w="2400" w:type="dxa"/>
          </w:tcPr>
          <w:p>
            <w:r>
              <w:t xml:space="preserve">52739.42</w:t>
            </w:r>
          </w:p>
        </w:tc>
        <w:tc>
          <w:tcPr>
            <w:tcW w:w="2400" w:type="dxa"/>
          </w:tcPr>
          <w:p>
            <w:r>
              <w:t xml:space="preserve">㎡</w:t>
            </w:r>
          </w:p>
        </w:tc>
      </w:tr>
    </w:tbl>
    <w:p>
      <w:r>
        <w:t xml:space="preserve">renderOfficeSpaceSection：5 项横向卡片，无占比图、无单位列表。</w:t>
      </w:r>
    </w:p>
    <w:p>
      <w:pPr>
        <w:pStyle w:val="Heading3"/>
      </w:pPr>
      <w:r>
        <w:t xml:space="preserve">6.3 公物仓（MOCK.publicWarehouse + warehouseStock）</w:t>
      </w:r>
    </w:p>
    <w:p>
      <w:r>
        <w:t xml:space="preserve">汇总 KPI：物品总数 822、入仓 249、出仓 573、暂存 0。</w:t>
      </w:r>
    </w:p>
    <w:p>
      <w:r>
        <w:t xml:space="preserve">三仓堆叠条（与大屏两仓不同）：中仓（莲岸家园）184、外仓（尚海湾）226、近仓（1号楼B2）163。</w:t>
      </w:r>
    </w:p>
    <w:p>
      <w:r>
        <w:t xml:space="preserve">分类 donut：会务用品 28%、办公家具 65%、装饰品 8%。</w:t>
      </w:r>
    </w:p>
    <w:p>
      <w:r>
        <w:t xml:space="preserve">本季分仓 pie（warehouseStock）：黄浦仓 484、闵行仓 338，与大屏/中台一致。</w:t>
      </w:r>
    </w:p>
    <w:p>
      <w:pPr>
        <w:pStyle w:val="Heading3"/>
      </w:pPr>
      <w:r>
        <w:t xml:space="preserve">6.4 小程序缺失能力</w:t>
      </w:r>
    </w:p>
    <w:p>
      <w:pPr>
        <w:pStyle w:val="ListParagraph"/>
        <w:numPr>
          <w:ilvl w:val="0"/>
          <w:numId w:val="1"/>
        </w:numPr>
      </w:pPr>
      <w:r>
        <w:t xml:space="preserve">无入库/出库/周转率/累计存放历史</w:t>
      </w:r>
    </w:p>
    <w:p>
      <w:pPr>
        <w:pStyle w:val="ListParagraph"/>
        <w:numPr>
          <w:ilvl w:val="0"/>
          <w:numId w:val="1"/>
        </w:numPr>
      </w:pPr>
      <w:r>
        <w:t xml:space="preserve">无办公用房使用面积占比图、单位列表、变更明细</w:t>
      </w:r>
    </w:p>
    <w:p>
      <w:pPr>
        <w:pStyle w:val="ListParagraph"/>
        <w:numPr>
          <w:ilvl w:val="0"/>
          <w:numId w:val="1"/>
        </w:numPr>
      </w:pPr>
      <w:r>
        <w:t xml:space="preserve">公物仓三仓命名与数量与大屏/中台不一致</w:t>
      </w:r>
    </w:p>
    <w:p>
      <w:pPr>
        <w:pStyle w:val="Heading2"/>
      </w:pPr>
      <w:r>
        <w:t xml:space="preserve">7. 跨系统能力对照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能力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大屏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中台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小程序</w:t>
            </w:r>
          </w:p>
        </w:tc>
      </w:tr>
      <w:tr>
        <w:tc>
          <w:tcPr>
            <w:tcW w:w="2400" w:type="dxa"/>
          </w:tcPr>
          <w:p>
            <w:r>
              <w:t xml:space="preserve">本季在仓分仓占比</w:t>
            </w:r>
          </w:p>
        </w:tc>
        <w:tc>
          <w:tcPr>
            <w:tcW w:w="2400" w:type="dxa"/>
          </w:tcPr>
          <w:p>
            <w:r>
              <w:t xml:space="preserve">✅ 右栏 panel2</w:t>
            </w:r>
          </w:p>
        </w:tc>
        <w:tc>
          <w:tcPr>
            <w:tcW w:w="2400" w:type="dxa"/>
          </w:tcPr>
          <w:p>
            <w:r>
              <w:t xml:space="preserve">✅ 公物仓 section</w:t>
            </w:r>
          </w:p>
        </w:tc>
        <w:tc>
          <w:tcPr>
            <w:tcW w:w="2400" w:type="dxa"/>
          </w:tcPr>
          <w:p>
            <w:r>
              <w:t xml:space="preserve">✅ pie + 公物仓区块</w:t>
            </w:r>
          </w:p>
        </w:tc>
      </w:tr>
      <w:tr>
        <w:tc>
          <w:tcPr>
            <w:tcW w:w="2400" w:type="dxa"/>
          </w:tcPr>
          <w:p>
            <w:r>
              <w:t xml:space="preserve">累计存放历史趋势</w:t>
            </w:r>
          </w:p>
        </w:tc>
        <w:tc>
          <w:tcPr>
            <w:tcW w:w="2400" w:type="dxa"/>
          </w:tcPr>
          <w:p>
            <w:r>
              <w:t xml:space="preserve">✅ 右栏 panel3（非 park）</w:t>
            </w:r>
          </w:p>
        </w:tc>
        <w:tc>
          <w:tcPr>
            <w:tcW w:w="2400" w:type="dxa"/>
          </w:tcPr>
          <w:p>
            <w:r>
              <w:t xml:space="preserve">✅ 趋势+列表+筛选</w:t>
            </w:r>
          </w:p>
        </w:tc>
        <w:tc>
          <w:tcPr>
            <w:tcW w:w="2400" w:type="dxa"/>
          </w:tcPr>
          <w:p>
            <w:r>
              <w:t xml:space="preserve">❌</w:t>
            </w:r>
          </w:p>
        </w:tc>
      </w:tr>
      <w:tr>
        <w:tc>
          <w:tcPr>
            <w:tcW w:w="2400" w:type="dxa"/>
          </w:tcPr>
          <w:p>
            <w:r>
              <w:t xml:space="preserve">办公用房总面积占比</w:t>
            </w:r>
          </w:p>
        </w:tc>
        <w:tc>
          <w:tcPr>
            <w:tcW w:w="2400" w:type="dxa"/>
          </w:tcPr>
          <w:p>
            <w:r>
              <w:t xml:space="preserve">✅ 右栏 panel3（park/弹窗）</w:t>
            </w:r>
          </w:p>
        </w:tc>
        <w:tc>
          <w:tcPr>
            <w:tcW w:w="2400" w:type="dxa"/>
          </w:tcPr>
          <w:p>
            <w:r>
              <w:t xml:space="preserve">✅ stacked bar 下钻</w:t>
            </w:r>
          </w:p>
        </w:tc>
        <w:tc>
          <w:tcPr>
            <w:tcW w:w="2400" w:type="dxa"/>
          </w:tcPr>
          <w:p>
            <w:r>
              <w:t xml:space="preserve">❌（仅 KPI 卡片）</w:t>
            </w:r>
          </w:p>
        </w:tc>
      </w:tr>
      <w:tr>
        <w:tc>
          <w:tcPr>
            <w:tcW w:w="2400" w:type="dxa"/>
          </w:tcPr>
          <w:p>
            <w:r>
              <w:t xml:space="preserve">单位列表/变更明细</w:t>
            </w:r>
          </w:p>
        </w:tc>
        <w:tc>
          <w:tcPr>
            <w:tcW w:w="2400" w:type="dxa"/>
          </w:tcPr>
          <w:p>
            <w:r>
              <w:t xml:space="preserve">❌</w:t>
            </w:r>
          </w:p>
        </w:tc>
        <w:tc>
          <w:tcPr>
            <w:tcW w:w="2400" w:type="dxa"/>
          </w:tcPr>
          <w:p>
            <w:r>
              <w:t xml:space="preserve">✅</w:t>
            </w:r>
          </w:p>
        </w:tc>
        <w:tc>
          <w:tcPr>
            <w:tcW w:w="2400" w:type="dxa"/>
          </w:tcPr>
          <w:p>
            <w:r>
              <w:t xml:space="preserve">❌</w:t>
            </w:r>
          </w:p>
        </w:tc>
      </w:tr>
      <w:tr>
        <w:tc>
          <w:tcPr>
            <w:tcW w:w="2400" w:type="dxa"/>
          </w:tcPr>
          <w:p>
            <w:r>
              <w:t xml:space="preserve">入库/出库/周转率</w:t>
            </w:r>
          </w:p>
        </w:tc>
        <w:tc>
          <w:tcPr>
            <w:tcW w:w="2400" w:type="dxa"/>
          </w:tcPr>
          <w:p>
            <w:r>
              <w:t xml:space="preserve">❌</w:t>
            </w:r>
          </w:p>
        </w:tc>
        <w:tc>
          <w:tcPr>
            <w:tcW w:w="2400" w:type="dxa"/>
          </w:tcPr>
          <w:p>
            <w:r>
              <w:t xml:space="preserve">✅</w:t>
            </w:r>
          </w:p>
        </w:tc>
        <w:tc>
          <w:tcPr>
            <w:tcW w:w="2400" w:type="dxa"/>
          </w:tcPr>
          <w:p>
            <w:r>
              <w:t xml:space="preserve">❌</w:t>
            </w:r>
          </w:p>
        </w:tc>
      </w:tr>
      <w:tr>
        <w:tc>
          <w:tcPr>
            <w:tcW w:w="2400" w:type="dxa"/>
          </w:tcPr>
          <w:p>
            <w:r>
              <w:t xml:space="preserve">楼栋/房间/楼层 KPI</w:t>
            </w:r>
          </w:p>
        </w:tc>
        <w:tc>
          <w:tcPr>
            <w:tcW w:w="2400" w:type="dxa"/>
          </w:tcPr>
          <w:p>
            <w:r>
              <w:t xml:space="preserve">园区 KPI 简化</w:t>
            </w:r>
          </w:p>
        </w:tc>
        <w:tc>
          <w:tcPr>
            <w:tcW w:w="2400" w:type="dxa"/>
          </w:tcPr>
          <w:p>
            <w:r>
              <w:t xml:space="preserve">summaryCards 4 项</w:t>
            </w:r>
          </w:p>
        </w:tc>
        <w:tc>
          <w:tcPr>
            <w:tcW w:w="2400" w:type="dxa"/>
          </w:tcPr>
          <w:p>
            <w:r>
              <w:t xml:space="preserve">officeSpace 5 项</w:t>
            </w:r>
          </w:p>
        </w:tc>
      </w:tr>
      <w:tr>
        <w:tc>
          <w:tcPr>
            <w:tcW w:w="2400" w:type="dxa"/>
          </w:tcPr>
          <w:p>
            <w:r>
              <w:t xml:space="preserve">双仓（黄浦/闵行）</w:t>
            </w:r>
          </w:p>
        </w:tc>
        <w:tc>
          <w:tcPr>
            <w:tcW w:w="2400" w:type="dxa"/>
          </w:tcPr>
          <w:p>
            <w:r>
              <w:t xml:space="preserve">✅</w:t>
            </w:r>
          </w:p>
        </w:tc>
        <w:tc>
          <w:tcPr>
            <w:tcW w:w="2400" w:type="dxa"/>
          </w:tcPr>
          <w:p>
            <w:r>
              <w:t xml:space="preserve">✅</w:t>
            </w:r>
          </w:p>
        </w:tc>
        <w:tc>
          <w:tcPr>
            <w:tcW w:w="2400" w:type="dxa"/>
          </w:tcPr>
          <w:p>
            <w:r>
              <w:t xml:space="preserve">pie ✅ / 详情三仓 ❌</w:t>
            </w:r>
          </w:p>
        </w:tc>
      </w:tr>
    </w:tbl>
    <w:p>
      <w:pPr>
        <w:pStyle w:val="Heading2"/>
      </w:pPr>
      <w:r>
        <w:t xml:space="preserve">8. 数据流与共享关系</w:t>
      </w:r>
    </w:p>
    <w:p>
      <w:r>
        <w:t xml:space="preserve">大屏公物仓图表直接引用 MIDDLE_PLATFORM_DATA.publicWarehouse（dashboard.js 导入 middle-platform-data.js）。</w:t>
      </w:r>
    </w:p>
    <w:p>
      <w:r>
        <w:t xml:space="preserve">大屏办公面积使用独立 DASHBOARD_DATA.parkOfficeAreaChart（data.js），按项目维度，单位聚合为 top3+其他（非中台 19 单位明细）。</w:t>
      </w:r>
    </w:p>
    <w:p>
      <w:r>
        <w:t xml:space="preserve">中台办公用房与中台公物仓数据均定义于 middle-platform-data.js 的 summaryCards、officeAreaChart、unitList、publicWarehouse。</w:t>
      </w:r>
    </w:p>
    <w:p>
      <w:r>
        <w:t xml:space="preserve">图表 option 构建：大屏 dashboard.js 内联 + warehouse-charts.js；中台 middle-platform.js + warehouse-charts.js。</w:t>
      </w:r>
    </w:p>
    <w:p>
      <w:pPr>
        <w:pStyle w:val="Heading2"/>
      </w:pPr>
      <w:r>
        <w:t xml:space="preserve">9. 核心用户流程</w:t>
      </w:r>
    </w:p>
    <w:p>
      <w:pPr>
        <w:pStyle w:val="Heading3"/>
      </w:pPr>
      <w:r>
        <w:t xml:space="preserve">9.1 大屏 — 查看项目办公面积占比</w:t>
      </w:r>
    </w:p>
    <w:p>
      <w:r>
        <w:t xml:space="preserve">资产管理 Tab → 地图模式点击项目 / 或进入园区模式 → 右栏第三面板显示「办公用房总使用面积占比」Donut → 切换项目更新数据。</w:t>
      </w:r>
    </w:p>
    <w:p>
      <w:pPr>
        <w:pStyle w:val="Heading3"/>
      </w:pPr>
      <w:r>
        <w:t xml:space="preserve">9.2 大屏 — 查看公物仓分仓与累计趋势</w:t>
      </w:r>
    </w:p>
    <w:p>
      <w:r>
        <w:t xml:space="preserve">资产管理 Tab → 地图模式（无弹窗）→ 右栏 panel2 分仓 pie + panel3 累计趋势 → 切换按季度/按年度。</w:t>
      </w:r>
    </w:p>
    <w:p>
      <w:pPr>
        <w:pStyle w:val="Heading3"/>
      </w:pPr>
      <w:r>
        <w:t xml:space="preserve">9.3 中台 — 办公用房下钻与变更查询</w:t>
      </w:r>
    </w:p>
    <w:p>
      <w:r>
        <w:t xml:space="preserve">侧边栏 办公用房 → 查看 summaryCards → 面积占比 bar → 点击「其他」下钻 → 单位列表 → 日期筛选 → 查看变更弹窗。</w:t>
      </w:r>
    </w:p>
    <w:p>
      <w:pPr>
        <w:pStyle w:val="Heading3"/>
      </w:pPr>
      <w:r>
        <w:t xml:space="preserve">9.4 中台 — 公物仓入库出库分析</w:t>
      </w:r>
    </w:p>
    <w:p>
      <w:r>
        <w:t xml:space="preserve">侧边栏 公物仓 → 库存区块查看在仓/累计 → 入库区块切换 metric → 查看趋势与历史 → 出库区块查看周转率。</w:t>
      </w:r>
    </w:p>
    <w:p>
      <w:pPr>
        <w:pStyle w:val="Heading3"/>
      </w:pPr>
      <w:r>
        <w:t xml:space="preserve">9.5 小程序 — 资产数据浏览</w:t>
      </w:r>
    </w:p>
    <w:p>
      <w:r>
        <w:t xml:space="preserve">首页公物仓入口 → assetData 子页 → 滚动至办公用房/公物仓/分仓 pie 区块。</w:t>
      </w:r>
    </w:p>
    <w:p>
      <w:pPr>
        <w:pStyle w:val="Heading2"/>
      </w:pPr>
      <w:r>
        <w:t xml:space="preserve">10. 原型局限与待完善项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项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纯前端 Mock</w:t>
            </w:r>
          </w:p>
        </w:tc>
        <w:tc>
          <w:tcPr>
            <w:tcW w:w="2400" w:type="dxa"/>
          </w:tcPr>
          <w:p>
            <w:r>
              <w:t xml:space="preserve">无 API，数据静态定义</w:t>
            </w:r>
          </w:p>
        </w:tc>
      </w:tr>
      <w:tr>
        <w:tc>
          <w:tcPr>
            <w:tcW w:w="2400" w:type="dxa"/>
          </w:tcPr>
          <w:p>
            <w:r>
              <w:t xml:space="preserve">大屏无入库出库</w:t>
            </w:r>
          </w:p>
        </w:tc>
        <w:tc>
          <w:tcPr>
            <w:tcW w:w="2400" w:type="dxa"/>
          </w:tcPr>
          <w:p>
            <w:r>
              <w:t xml:space="preserve">完整流转仅中台</w:t>
            </w:r>
          </w:p>
        </w:tc>
      </w:tr>
      <w:tr>
        <w:tc>
          <w:tcPr>
            <w:tcW w:w="2400" w:type="dxa"/>
          </w:tcPr>
          <w:p>
            <w:r>
              <w:t xml:space="preserve">小程序三仓 vs 两仓</w:t>
            </w:r>
          </w:p>
        </w:tc>
        <w:tc>
          <w:tcPr>
            <w:tcW w:w="2400" w:type="dxa"/>
          </w:tcPr>
          <w:p>
            <w:r>
              <w:t xml:space="preserve">publicWarehouse 三仓与 warehouseStock 两仓并存</w:t>
            </w:r>
          </w:p>
        </w:tc>
      </w:tr>
      <w:tr>
        <w:tc>
          <w:tcPr>
            <w:tcW w:w="2400" w:type="dxa"/>
          </w:tcPr>
          <w:p>
            <w:r>
              <w:t xml:space="preserve">officeAreaProportion</w:t>
            </w:r>
          </w:p>
        </w:tc>
        <w:tc>
          <w:tcPr>
            <w:tcW w:w="2400" w:type="dxa"/>
          </w:tcPr>
          <w:p>
            <w:r>
              <w:t xml:space="preserve">middle-platform-data.js 标记 @deprecated，图表已改用 officeAreaChart</w:t>
            </w:r>
          </w:p>
        </w:tc>
      </w:tr>
      <w:tr>
        <w:tc>
          <w:tcPr>
            <w:tcW w:w="2400" w:type="dxa"/>
          </w:tcPr>
          <w:p>
            <w:r>
              <w:t xml:space="preserve">备件入库/出库</w:t>
            </w:r>
          </w:p>
        </w:tc>
        <w:tc>
          <w:tcPr>
            <w:tcW w:w="2400" w:type="dxa"/>
          </w:tcPr>
          <w:p>
            <w:r>
              <w:t xml:space="preserve">middle-platform-property-ext-data.js 为物业管理备件模块，与公物仓无关</w:t>
            </w:r>
          </w:p>
        </w:tc>
      </w:tr>
      <w:tr>
        <w:tc>
          <w:tcPr>
            <w:tcW w:w="2400" w:type="dxa"/>
          </w:tcPr>
          <w:p>
            <w:r>
              <w:t xml:space="preserve">底座平台</w:t>
            </w:r>
          </w:p>
        </w:tc>
        <w:tc>
          <w:tcPr>
            <w:tcW w:w="2400" w:type="dxa"/>
          </w:tcPr>
          <w:p>
            <w:r>
              <w:t xml:space="preserve">warehouse-mgmt / office-mgmt 为主数据配置，无统计图表</w:t>
            </w:r>
          </w:p>
        </w:tc>
      </w:tr>
      <w:tr>
        <w:tc>
          <w:tcPr>
            <w:tcW w:w="2400" w:type="dxa"/>
          </w:tcPr>
          <w:p>
            <w:r>
              <w:t xml:space="preserve">季度数据起始年</w:t>
            </w:r>
          </w:p>
        </w:tc>
        <w:tc>
          <w:tcPr>
            <w:tcW w:w="2400" w:type="dxa"/>
          </w:tcPr>
          <w:p>
            <w:r>
              <w:t xml:space="preserve">quarterlyStartYear=2026，2026 年前无季度明细</w:t>
            </w:r>
          </w:p>
        </w:tc>
      </w:tr>
    </w:tbl>
    <w:p>
      <w:pPr>
        <w:pStyle w:val="Heading2"/>
      </w:pPr>
      <w:r>
        <w:t xml:space="preserve">11. 附录 — officeAreaChart.otherUnits 完整列表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单位名称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占比%</w:t>
            </w:r>
          </w:p>
        </w:tc>
      </w:tr>
      <w:tr>
        <w:tc>
          <w:tcPr>
            <w:tcW w:w="2400" w:type="dxa"/>
          </w:tcPr>
          <w:p>
            <w:r>
              <w:t xml:space="preserve">区府办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</w:tr>
      <w:tr>
        <w:tc>
          <w:tcPr>
            <w:tcW w:w="2400" w:type="dxa"/>
          </w:tcPr>
          <w:p>
            <w:r>
              <w:t xml:space="preserve">区发展改革委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</w:tr>
      <w:tr>
        <w:tc>
          <w:tcPr>
            <w:tcW w:w="2400" w:type="dxa"/>
          </w:tcPr>
          <w:p>
            <w:r>
              <w:t xml:space="preserve">区委组织部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</w:tr>
      <w:tr>
        <w:tc>
          <w:tcPr>
            <w:tcW w:w="2400" w:type="dxa"/>
          </w:tcPr>
          <w:p>
            <w:r>
              <w:t xml:space="preserve">区人力资源社会保障局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</w:tr>
      <w:tr>
        <w:tc>
          <w:tcPr>
            <w:tcW w:w="2400" w:type="dxa"/>
          </w:tcPr>
          <w:p>
            <w:r>
              <w:t xml:space="preserve">区国资委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</w:tr>
      <w:tr>
        <w:tc>
          <w:tcPr>
            <w:tcW w:w="2400" w:type="dxa"/>
          </w:tcPr>
          <w:p>
            <w:r>
              <w:t xml:space="preserve">区级统筹闲置办公室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</w:tr>
      <w:tr>
        <w:tc>
          <w:tcPr>
            <w:tcW w:w="2400" w:type="dxa"/>
          </w:tcPr>
          <w:p>
            <w:r>
              <w:t xml:space="preserve">大数据中心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t xml:space="preserve">城运中心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t xml:space="preserve">区地区办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t xml:space="preserve">区商务委</w:t>
            </w:r>
          </w:p>
        </w:tc>
        <w:tc>
          <w:tcPr>
            <w:tcW w:w="2400" w:type="dxa"/>
          </w:tcPr>
          <w:p>
            <w:r>
              <w:t xml:space="preserve">1.84</w:t>
            </w:r>
          </w:p>
        </w:tc>
      </w:tr>
      <w:tr>
        <w:tc>
          <w:tcPr>
            <w:tcW w:w="2400" w:type="dxa"/>
          </w:tcPr>
          <w:p>
            <w:r>
              <w:t xml:space="preserve">区金融办</w:t>
            </w:r>
          </w:p>
        </w:tc>
        <w:tc>
          <w:tcPr>
            <w:tcW w:w="2400" w:type="dxa"/>
          </w:tcPr>
          <w:p>
            <w:r>
              <w:t xml:space="preserve">1.19</w:t>
            </w:r>
          </w:p>
        </w:tc>
      </w:tr>
      <w:tr>
        <w:tc>
          <w:tcPr>
            <w:tcW w:w="2400" w:type="dxa"/>
          </w:tcPr>
          <w:p>
            <w:r>
              <w:t xml:space="preserve">人武部</w:t>
            </w:r>
          </w:p>
        </w:tc>
        <w:tc>
          <w:tcPr>
            <w:tcW w:w="2400" w:type="dxa"/>
          </w:tcPr>
          <w:p>
            <w:r>
              <w:t xml:space="preserve">1.15</w:t>
            </w:r>
          </w:p>
        </w:tc>
      </w:tr>
      <w:tr>
        <w:tc>
          <w:tcPr>
            <w:tcW w:w="2400" w:type="dxa"/>
          </w:tcPr>
          <w:p>
            <w:r>
              <w:t xml:space="preserve">区人社局</w:t>
            </w:r>
          </w:p>
        </w:tc>
        <w:tc>
          <w:tcPr>
            <w:tcW w:w="2400" w:type="dxa"/>
          </w:tcPr>
          <w:p>
            <w:r>
              <w:t xml:space="preserve">0.38</w:t>
            </w:r>
          </w:p>
        </w:tc>
      </w:tr>
      <w:tr>
        <w:tc>
          <w:tcPr>
            <w:tcW w:w="2400" w:type="dxa"/>
          </w:tcPr>
          <w:p>
            <w:r>
              <w:t xml:space="preserve">区退役军人局</w:t>
            </w:r>
          </w:p>
        </w:tc>
        <w:tc>
          <w:tcPr>
            <w:tcW w:w="2400" w:type="dxa"/>
          </w:tcPr>
          <w:p>
            <w:r>
              <w:t xml:space="preserve">0.46</w:t>
            </w:r>
          </w:p>
        </w:tc>
      </w:tr>
      <w:tr>
        <w:tc>
          <w:tcPr>
            <w:tcW w:w="2400" w:type="dxa"/>
          </w:tcPr>
          <w:p>
            <w:r>
              <w:t xml:space="preserve">区机关党工委</w:t>
            </w:r>
          </w:p>
        </w:tc>
        <w:tc>
          <w:tcPr>
            <w:tcW w:w="2400" w:type="dxa"/>
          </w:tcPr>
          <w:p>
            <w:r>
              <w:t xml:space="preserve">0.35</w:t>
            </w:r>
          </w:p>
        </w:tc>
      </w:tr>
      <w:tr>
        <w:tc>
          <w:tcPr>
            <w:tcW w:w="2400" w:type="dxa"/>
          </w:tcPr>
          <w:p>
            <w:r>
              <w:t xml:space="preserve">保密办</w:t>
            </w:r>
          </w:p>
        </w:tc>
        <w:tc>
          <w:tcPr>
            <w:tcW w:w="2400" w:type="dxa"/>
          </w:tcPr>
          <w:p>
            <w:r>
              <w:t xml:space="preserve">0.08</w:t>
            </w:r>
          </w:p>
        </w:tc>
      </w:tr>
      <w:tr>
        <w:tc>
          <w:tcPr>
            <w:tcW w:w="2400" w:type="dxa"/>
          </w:tcPr>
          <w:p>
            <w:r>
              <w:t xml:space="preserve">人大领导</w:t>
            </w:r>
          </w:p>
        </w:tc>
        <w:tc>
          <w:tcPr>
            <w:tcW w:w="2400" w:type="dxa"/>
          </w:tcPr>
          <w:p>
            <w:r>
              <w:t xml:space="preserve">0.08</w:t>
            </w:r>
          </w:p>
        </w:tc>
      </w:tr>
      <w:tr>
        <w:tc>
          <w:tcPr>
            <w:tcW w:w="2400" w:type="dxa"/>
          </w:tcPr>
          <w:p>
            <w:r>
              <w:t xml:space="preserve">审改办</w:t>
            </w:r>
          </w:p>
        </w:tc>
        <w:tc>
          <w:tcPr>
            <w:tcW w:w="2400" w:type="dxa"/>
          </w:tcPr>
          <w:p>
            <w:r>
              <w:t xml:space="preserve">0.02</w:t>
            </w:r>
          </w:p>
        </w:tc>
      </w:tr>
      <w:tr>
        <w:tc>
          <w:tcPr>
            <w:tcW w:w="2400" w:type="dxa"/>
          </w:tcPr>
          <w:p>
            <w:r>
              <w:t xml:space="preserve">区人武部</w:t>
            </w:r>
          </w:p>
        </w:tc>
        <w:tc>
          <w:tcPr>
            <w:tcW w:w="2400" w:type="dxa"/>
          </w:tcPr>
          <w:p>
            <w:r>
              <w:t xml:space="preserve">0.07</w:t>
            </w:r>
          </w:p>
        </w:tc>
      </w:tr>
    </w:tbl>
    <w:p>
      <w:r>
        <w:t xml:space="preserve">— 文档结束 —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pPr>
      <w:keepNext/>
      <w:spacing w:before="480" w:after="120"/>
    </w:pPr>
    <w:rPr>
      <w:b/>
      <w:sz w:val="32"/>
      <w:szCs w:val="32"/>
    </w:rPr>
  </w:style>
  <w:style w:type="paragraph" w:styleId="Heading2">
    <w:name w:val="heading 2"/>
    <w:basedOn w:val="Normal"/>
    <w:pPr>
      <w:keepNext/>
      <w:spacing w:before="360" w:after="80"/>
    </w:pPr>
    <w:rPr>
      <w:b/>
      <w:sz w:val="28"/>
      <w:szCs w:val="28"/>
    </w:rPr>
  </w:style>
  <w:style w:type="paragraph" w:styleId="Heading3">
    <w:name w:val="heading 3"/>
    <w:basedOn w:val="Normal"/>
    <w:pPr>
      <w:keepNext/>
      <w:spacing w:before="240" w:after="60"/>
    </w:pPr>
    <w:rPr>
      <w:b/>
      <w:sz w:val="24"/>
      <w:szCs w:val="24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