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54D7" w14:textId="67AC6AD2" w:rsidR="00C260EB" w:rsidRPr="00F42B1D" w:rsidRDefault="00C260EB" w:rsidP="00B40703">
      <w:pPr>
        <w:shd w:val="clear" w:color="auto" w:fill="FFFFFF"/>
        <w:contextualSpacing/>
        <w:outlineLvl w:val="0"/>
        <w:rPr>
          <w:rFonts w:ascii="Arial" w:hAnsi="Arial" w:cs="Arial"/>
          <w:b/>
          <w:color w:val="990000"/>
          <w:kern w:val="36"/>
          <w:sz w:val="20"/>
          <w:szCs w:val="20"/>
        </w:rPr>
      </w:pPr>
      <w:r w:rsidRPr="00F42B1D">
        <w:rPr>
          <w:rFonts w:ascii="Arial" w:eastAsia="Times New Roman" w:hAnsi="Arial" w:cs="Arial"/>
          <w:b/>
          <w:color w:val="990000"/>
          <w:kern w:val="36"/>
          <w:sz w:val="20"/>
          <w:szCs w:val="20"/>
        </w:rPr>
        <w:t xml:space="preserve">Oregon Health and Science University (OHSU-1): </w:t>
      </w:r>
      <w:r w:rsidRPr="00F42B1D">
        <w:rPr>
          <w:rFonts w:ascii="Arial" w:hAnsi="Arial" w:cs="Arial"/>
          <w:b/>
          <w:color w:val="990000"/>
          <w:kern w:val="36"/>
          <w:sz w:val="20"/>
          <w:szCs w:val="20"/>
        </w:rPr>
        <w:t xml:space="preserve">Functional </w:t>
      </w:r>
      <w:r w:rsidR="00B9078D" w:rsidRPr="00F42B1D">
        <w:rPr>
          <w:rFonts w:ascii="Arial" w:hAnsi="Arial" w:cs="Arial"/>
          <w:b/>
          <w:color w:val="990000"/>
          <w:kern w:val="36"/>
          <w:sz w:val="20"/>
          <w:szCs w:val="20"/>
        </w:rPr>
        <w:t>G</w:t>
      </w:r>
      <w:r w:rsidRPr="00F42B1D">
        <w:rPr>
          <w:rFonts w:ascii="Arial" w:hAnsi="Arial" w:cs="Arial"/>
          <w:b/>
          <w:color w:val="990000"/>
          <w:kern w:val="36"/>
          <w:sz w:val="20"/>
          <w:szCs w:val="20"/>
        </w:rPr>
        <w:t xml:space="preserve">enomic </w:t>
      </w:r>
      <w:r w:rsidR="00B9078D" w:rsidRPr="00F42B1D">
        <w:rPr>
          <w:rFonts w:ascii="Arial" w:hAnsi="Arial" w:cs="Arial"/>
          <w:b/>
          <w:color w:val="990000"/>
          <w:kern w:val="36"/>
          <w:sz w:val="20"/>
          <w:szCs w:val="20"/>
        </w:rPr>
        <w:t>L</w:t>
      </w:r>
      <w:r w:rsidRPr="00F42B1D">
        <w:rPr>
          <w:rFonts w:ascii="Arial" w:hAnsi="Arial" w:cs="Arial"/>
          <w:b/>
          <w:color w:val="990000"/>
          <w:kern w:val="36"/>
          <w:sz w:val="20"/>
          <w:szCs w:val="20"/>
        </w:rPr>
        <w:t xml:space="preserve">andscape of </w:t>
      </w:r>
      <w:r w:rsidR="00B9078D" w:rsidRPr="00F42B1D">
        <w:rPr>
          <w:rFonts w:ascii="Arial" w:hAnsi="Arial" w:cs="Arial"/>
          <w:b/>
          <w:color w:val="990000"/>
          <w:kern w:val="36"/>
          <w:sz w:val="20"/>
          <w:szCs w:val="20"/>
        </w:rPr>
        <w:t>A</w:t>
      </w:r>
      <w:r w:rsidRPr="00F42B1D">
        <w:rPr>
          <w:rFonts w:ascii="Arial" w:hAnsi="Arial" w:cs="Arial"/>
          <w:b/>
          <w:color w:val="990000"/>
          <w:kern w:val="36"/>
          <w:sz w:val="20"/>
          <w:szCs w:val="20"/>
        </w:rPr>
        <w:t xml:space="preserve">cute </w:t>
      </w:r>
      <w:r w:rsidR="00B9078D" w:rsidRPr="00F42B1D">
        <w:rPr>
          <w:rFonts w:ascii="Arial" w:hAnsi="Arial" w:cs="Arial"/>
          <w:b/>
          <w:color w:val="990000"/>
          <w:kern w:val="36"/>
          <w:sz w:val="20"/>
          <w:szCs w:val="20"/>
        </w:rPr>
        <w:t>M</w:t>
      </w:r>
      <w:r w:rsidRPr="00F42B1D">
        <w:rPr>
          <w:rFonts w:ascii="Arial" w:hAnsi="Arial" w:cs="Arial"/>
          <w:b/>
          <w:color w:val="990000"/>
          <w:kern w:val="36"/>
          <w:sz w:val="20"/>
          <w:szCs w:val="20"/>
        </w:rPr>
        <w:t xml:space="preserve">yeloid </w:t>
      </w:r>
      <w:proofErr w:type="spellStart"/>
      <w:r w:rsidR="00B9078D" w:rsidRPr="00F42B1D">
        <w:rPr>
          <w:rFonts w:ascii="Arial" w:hAnsi="Arial" w:cs="Arial"/>
          <w:b/>
          <w:color w:val="990000"/>
          <w:kern w:val="36"/>
          <w:sz w:val="20"/>
          <w:szCs w:val="20"/>
        </w:rPr>
        <w:t>L</w:t>
      </w:r>
      <w:r w:rsidRPr="00F42B1D">
        <w:rPr>
          <w:rFonts w:ascii="Arial" w:hAnsi="Arial" w:cs="Arial"/>
          <w:b/>
          <w:color w:val="990000"/>
          <w:kern w:val="36"/>
          <w:sz w:val="20"/>
          <w:szCs w:val="20"/>
        </w:rPr>
        <w:t>eukaemia</w:t>
      </w:r>
      <w:proofErr w:type="spellEnd"/>
    </w:p>
    <w:p w14:paraId="39784C5D" w14:textId="3F86AA95" w:rsidR="00AC4B9D" w:rsidRPr="00F42B1D" w:rsidRDefault="00AC4B9D">
      <w:pPr>
        <w:contextualSpacing/>
        <w:rPr>
          <w:rFonts w:ascii="Arial" w:hAnsi="Arial" w:cs="Arial"/>
          <w:color w:val="000000"/>
          <w:sz w:val="20"/>
          <w:szCs w:val="20"/>
        </w:rPr>
      </w:pPr>
    </w:p>
    <w:p w14:paraId="1D5717C5" w14:textId="00BF4610" w:rsidR="00AC4B9D" w:rsidRPr="00F42B1D" w:rsidRDefault="00AC4B9D">
      <w:pPr>
        <w:contextualSpacing/>
        <w:rPr>
          <w:rFonts w:ascii="Arial" w:hAnsi="Arial" w:cs="Arial"/>
          <w:color w:val="000000"/>
          <w:sz w:val="20"/>
          <w:szCs w:val="20"/>
        </w:rPr>
      </w:pPr>
    </w:p>
    <w:p w14:paraId="37B626C0" w14:textId="38AB839F" w:rsidR="00C260EB" w:rsidRPr="00F42B1D" w:rsidRDefault="00C260EB" w:rsidP="00B40703">
      <w:pPr>
        <w:contextualSpacing/>
        <w:rPr>
          <w:rFonts w:ascii="Arial" w:hAnsi="Arial" w:cs="Arial"/>
          <w:color w:val="000000"/>
          <w:sz w:val="20"/>
          <w:szCs w:val="20"/>
        </w:rPr>
      </w:pPr>
      <w:r w:rsidRPr="00F42B1D">
        <w:rPr>
          <w:rFonts w:ascii="Arial" w:hAnsi="Arial" w:cs="Arial"/>
          <w:color w:val="000000"/>
          <w:sz w:val="20"/>
          <w:szCs w:val="20"/>
        </w:rPr>
        <w:t xml:space="preserve">Beat AML program </w:t>
      </w:r>
      <w:r w:rsidR="006E1A8F" w:rsidRPr="00F42B1D">
        <w:rPr>
          <w:rFonts w:ascii="Arial" w:hAnsi="Arial" w:cs="Arial"/>
          <w:color w:val="000000"/>
          <w:sz w:val="20"/>
          <w:szCs w:val="20"/>
        </w:rPr>
        <w:t xml:space="preserve">is 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a cohort of 672 tumor specimens collected from 562 patients. </w:t>
      </w:r>
      <w:r w:rsidR="006E1A8F" w:rsidRPr="00F42B1D">
        <w:rPr>
          <w:rFonts w:ascii="Arial" w:hAnsi="Arial" w:cs="Arial"/>
          <w:color w:val="000000"/>
          <w:sz w:val="20"/>
          <w:szCs w:val="20"/>
        </w:rPr>
        <w:t xml:space="preserve">The study summarizes the initial findings of the 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analyses of </w:t>
      </w:r>
      <w:r w:rsidRPr="00F42B1D">
        <w:rPr>
          <w:rFonts w:ascii="Arial" w:hAnsi="Arial" w:cs="Arial"/>
          <w:i/>
          <w:color w:val="000000"/>
          <w:sz w:val="20"/>
          <w:szCs w:val="20"/>
        </w:rPr>
        <w:t>ex vivo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 drug sensitivity</w:t>
      </w:r>
      <w:r w:rsidR="006E1A8F" w:rsidRPr="00F42B1D">
        <w:rPr>
          <w:rFonts w:ascii="Arial" w:hAnsi="Arial" w:cs="Arial"/>
          <w:color w:val="000000"/>
          <w:sz w:val="20"/>
          <w:szCs w:val="20"/>
        </w:rPr>
        <w:t>.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 </w:t>
      </w:r>
      <w:r w:rsidR="006E1A8F" w:rsidRPr="00F42B1D">
        <w:rPr>
          <w:rFonts w:ascii="Arial" w:hAnsi="Arial" w:cs="Arial"/>
          <w:color w:val="000000"/>
          <w:sz w:val="20"/>
          <w:szCs w:val="20"/>
        </w:rPr>
        <w:t>Samples were characterized using whole-exome sequencing</w:t>
      </w:r>
      <w:r w:rsidR="007F16B6" w:rsidRPr="00F42B1D">
        <w:rPr>
          <w:rFonts w:ascii="Arial" w:hAnsi="Arial" w:cs="Arial"/>
          <w:color w:val="000000"/>
          <w:sz w:val="20"/>
          <w:szCs w:val="20"/>
        </w:rPr>
        <w:t>,</w:t>
      </w:r>
      <w:r w:rsidR="006E1A8F" w:rsidRPr="00F42B1D">
        <w:rPr>
          <w:rFonts w:ascii="Arial" w:hAnsi="Arial" w:cs="Arial"/>
          <w:color w:val="000000"/>
          <w:sz w:val="20"/>
          <w:szCs w:val="20"/>
        </w:rPr>
        <w:t xml:space="preserve"> RNA sequencing a</w:t>
      </w:r>
      <w:r w:rsidR="00404BA5" w:rsidRPr="00F42B1D">
        <w:rPr>
          <w:rFonts w:ascii="Arial" w:hAnsi="Arial" w:cs="Arial"/>
          <w:color w:val="000000"/>
          <w:sz w:val="20"/>
          <w:szCs w:val="20"/>
        </w:rPr>
        <w:t xml:space="preserve">nd this </w:t>
      </w:r>
      <w:r w:rsidR="006E1A8F" w:rsidRPr="00F42B1D">
        <w:rPr>
          <w:rFonts w:ascii="Arial" w:hAnsi="Arial" w:cs="Arial"/>
          <w:color w:val="000000"/>
          <w:sz w:val="20"/>
          <w:szCs w:val="20"/>
        </w:rPr>
        <w:t xml:space="preserve">data is available through </w:t>
      </w:r>
      <w:hyperlink r:id="rId7" w:history="1">
        <w:r w:rsidR="006E1A8F" w:rsidRPr="00F42B1D">
          <w:rPr>
            <w:rStyle w:val="Hyperlink"/>
            <w:rFonts w:ascii="Arial" w:hAnsi="Arial" w:cs="Arial"/>
            <w:sz w:val="20"/>
            <w:szCs w:val="20"/>
          </w:rPr>
          <w:t>NCI Genomics Data Commons</w:t>
        </w:r>
      </w:hyperlink>
      <w:r w:rsidR="00404BA5" w:rsidRPr="00F42B1D">
        <w:rPr>
          <w:rFonts w:ascii="Arial" w:hAnsi="Arial" w:cs="Arial"/>
          <w:color w:val="000000"/>
          <w:sz w:val="20"/>
          <w:szCs w:val="20"/>
        </w:rPr>
        <w:t>.</w:t>
      </w:r>
      <w:r w:rsidR="006E1A8F" w:rsidRPr="00F42B1D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2B1D">
        <w:rPr>
          <w:rFonts w:ascii="Arial" w:hAnsi="Arial" w:cs="Arial"/>
          <w:color w:val="000000"/>
          <w:sz w:val="20"/>
          <w:szCs w:val="20"/>
        </w:rPr>
        <w:t>Th</w:t>
      </w:r>
      <w:r w:rsidR="00ED4074" w:rsidRPr="00F42B1D">
        <w:rPr>
          <w:rFonts w:ascii="Arial" w:hAnsi="Arial" w:cs="Arial"/>
          <w:color w:val="000000"/>
          <w:sz w:val="20"/>
          <w:szCs w:val="20"/>
        </w:rPr>
        <w:t>ese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 dataset</w:t>
      </w:r>
      <w:r w:rsidR="00404BA5" w:rsidRPr="00F42B1D">
        <w:rPr>
          <w:rFonts w:ascii="Arial" w:hAnsi="Arial" w:cs="Arial"/>
          <w:color w:val="000000"/>
          <w:sz w:val="20"/>
          <w:szCs w:val="20"/>
        </w:rPr>
        <w:t>s</w:t>
      </w:r>
      <w:r w:rsidRPr="00F42B1D">
        <w:rPr>
          <w:rFonts w:ascii="Arial" w:hAnsi="Arial" w:cs="Arial"/>
          <w:color w:val="000000"/>
          <w:sz w:val="20"/>
          <w:szCs w:val="20"/>
        </w:rPr>
        <w:t> can be leveraged to address clinical, genomic, transcriptomic</w:t>
      </w:r>
      <w:r w:rsidR="008E1C38" w:rsidRPr="00F42B1D">
        <w:rPr>
          <w:rFonts w:ascii="Arial" w:hAnsi="Arial" w:cs="Arial"/>
          <w:color w:val="000000"/>
          <w:sz w:val="20"/>
          <w:szCs w:val="20"/>
        </w:rPr>
        <w:t>,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 and functional analyses of the biology of AML.</w:t>
      </w:r>
    </w:p>
    <w:p w14:paraId="33E28818" w14:textId="77777777" w:rsidR="0043439C" w:rsidRPr="00F42B1D" w:rsidRDefault="0043439C" w:rsidP="0043439C">
      <w:pPr>
        <w:contextualSpacing/>
        <w:rPr>
          <w:rFonts w:ascii="Arial" w:hAnsi="Arial" w:cs="Arial"/>
          <w:color w:val="000000"/>
          <w:sz w:val="20"/>
          <w:szCs w:val="20"/>
        </w:rPr>
      </w:pPr>
    </w:p>
    <w:p w14:paraId="35A55367" w14:textId="54C586FA" w:rsidR="00C260EB" w:rsidRPr="00F42B1D" w:rsidRDefault="0043439C" w:rsidP="001021C0">
      <w:pPr>
        <w:contextualSpacing/>
        <w:rPr>
          <w:rFonts w:ascii="Arial" w:hAnsi="Arial" w:cs="Arial"/>
          <w:color w:val="323232"/>
          <w:sz w:val="20"/>
          <w:szCs w:val="20"/>
        </w:rPr>
      </w:pPr>
      <w:r w:rsidRPr="00F42B1D">
        <w:rPr>
          <w:rFonts w:ascii="Arial" w:hAnsi="Arial" w:cs="Arial"/>
          <w:color w:val="000000"/>
          <w:sz w:val="20"/>
          <w:szCs w:val="20"/>
        </w:rPr>
        <w:t xml:space="preserve">Read the </w:t>
      </w:r>
      <w:hyperlink r:id="rId8" w:history="1">
        <w:r w:rsidRPr="00F42B1D">
          <w:rPr>
            <w:rStyle w:val="Hyperlink"/>
            <w:rFonts w:ascii="Arial" w:eastAsiaTheme="majorEastAsia" w:hAnsi="Arial" w:cs="Arial"/>
            <w:color w:val="774928"/>
            <w:sz w:val="20"/>
            <w:szCs w:val="20"/>
          </w:rPr>
          <w:t>abstract</w:t>
        </w:r>
      </w:hyperlink>
    </w:p>
    <w:p w14:paraId="227D6745" w14:textId="77777777" w:rsidR="00C260EB" w:rsidRPr="00F42B1D" w:rsidRDefault="00C260EB" w:rsidP="00B40703">
      <w:pPr>
        <w:pStyle w:val="Heading3"/>
        <w:keepNext w:val="0"/>
        <w:keepLines w:val="0"/>
        <w:shd w:val="clear" w:color="auto" w:fill="FFFFFF"/>
        <w:spacing w:before="0" w:line="240" w:lineRule="auto"/>
        <w:contextualSpacing/>
        <w:rPr>
          <w:rFonts w:ascii="Arial" w:hAnsi="Arial" w:cs="Arial"/>
          <w:color w:val="990000"/>
          <w:sz w:val="20"/>
          <w:szCs w:val="20"/>
        </w:rPr>
      </w:pPr>
    </w:p>
    <w:p w14:paraId="3FEF752B" w14:textId="26E539F6" w:rsidR="00C260EB" w:rsidRPr="00F42B1D" w:rsidRDefault="00C260EB" w:rsidP="00B40703">
      <w:pPr>
        <w:pStyle w:val="Heading3"/>
        <w:keepNext w:val="0"/>
        <w:keepLines w:val="0"/>
        <w:shd w:val="clear" w:color="auto" w:fill="FFFFFF"/>
        <w:spacing w:before="0" w:line="240" w:lineRule="auto"/>
        <w:contextualSpacing/>
        <w:rPr>
          <w:rFonts w:ascii="Arial" w:hAnsi="Arial" w:cs="Arial"/>
          <w:b/>
          <w:color w:val="990000"/>
          <w:sz w:val="20"/>
          <w:szCs w:val="20"/>
        </w:rPr>
      </w:pPr>
      <w:r w:rsidRPr="00F42B1D">
        <w:rPr>
          <w:rFonts w:ascii="Arial" w:hAnsi="Arial" w:cs="Arial"/>
          <w:b/>
          <w:color w:val="990000"/>
          <w:sz w:val="20"/>
          <w:szCs w:val="20"/>
        </w:rPr>
        <w:t>Experimental Approaches</w:t>
      </w:r>
    </w:p>
    <w:p w14:paraId="6BC9C66E" w14:textId="18FED85E" w:rsidR="00ED082C" w:rsidRPr="00F42B1D" w:rsidRDefault="00ED082C" w:rsidP="00B40703">
      <w:pPr>
        <w:contextualSpacing/>
        <w:rPr>
          <w:rFonts w:ascii="Arial" w:hAnsi="Arial" w:cs="Arial"/>
          <w:color w:val="000000"/>
          <w:sz w:val="20"/>
          <w:szCs w:val="20"/>
        </w:rPr>
      </w:pPr>
      <w:r w:rsidRPr="00F42B1D">
        <w:rPr>
          <w:rFonts w:ascii="Arial" w:hAnsi="Arial" w:cs="Arial"/>
          <w:i/>
          <w:color w:val="000000"/>
          <w:sz w:val="20"/>
          <w:szCs w:val="20"/>
        </w:rPr>
        <w:t>Ex vivo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 functional drug screens were performed on freshly isolated mononuclear cells. In brief, 10,000 cells per well were arrayed into three, 384-well plates containing 122 small-molecule inhibitors. This panel contained graded concentrations of drugs with activit</w:t>
      </w:r>
      <w:r w:rsidR="005B74FC" w:rsidRPr="00F42B1D">
        <w:rPr>
          <w:rFonts w:ascii="Arial" w:hAnsi="Arial" w:cs="Arial"/>
          <w:color w:val="000000"/>
          <w:sz w:val="20"/>
          <w:szCs w:val="20"/>
        </w:rPr>
        <w:t>ies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 against two-thirds of the tyrosine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kinome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 as well as other non-tyrosine kinase pathways, including mitogen-activated protein kinases (MAPKs), the pathway involving phosphatidylinositol-4,5-bisphosphate 3-kinase, AKT serine/threonine kinase 1</w:t>
      </w:r>
      <w:r w:rsidR="005B74FC" w:rsidRPr="00F42B1D">
        <w:rPr>
          <w:rFonts w:ascii="Arial" w:hAnsi="Arial" w:cs="Arial"/>
          <w:color w:val="000000"/>
          <w:sz w:val="20"/>
          <w:szCs w:val="20"/>
        </w:rPr>
        <w:t>,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 and mechanistic target of rapamycin kinase (PIK3C–AKT–MTOR); protein kinase AMP-activated (AMPK, also known as PRKAA1), ATM serine/threonine kinase (ATM), </w:t>
      </w:r>
      <w:r w:rsidR="00404BA5" w:rsidRPr="00F42B1D">
        <w:rPr>
          <w:rFonts w:ascii="Arial" w:hAnsi="Arial" w:cs="Arial"/>
          <w:color w:val="000000"/>
          <w:sz w:val="20"/>
          <w:szCs w:val="20"/>
        </w:rPr>
        <w:t>a</w:t>
      </w:r>
      <w:r w:rsidRPr="00F42B1D">
        <w:rPr>
          <w:rFonts w:ascii="Arial" w:hAnsi="Arial" w:cs="Arial"/>
          <w:color w:val="000000"/>
          <w:sz w:val="20"/>
          <w:szCs w:val="20"/>
        </w:rPr>
        <w:t>urora kinases, calcium/calmodulin-dependent protein kinases (CAMKs), cyclin-dependent kinases (CDKs), serine/</w:t>
      </w:r>
      <w:r w:rsidR="005B74FC" w:rsidRPr="00F42B1D">
        <w:rPr>
          <w:rFonts w:ascii="Arial" w:hAnsi="Arial" w:cs="Arial"/>
          <w:color w:val="000000"/>
          <w:sz w:val="20"/>
          <w:szCs w:val="20"/>
        </w:rPr>
        <w:t>threonine-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protein kinase 3 (GSK3),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IκB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 kinase (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IκK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>), cAMP-dependent protein kinase (PKA), protein kinase C (PKC), polo-like kinase 1 (PLK1)</w:t>
      </w:r>
      <w:r w:rsidR="005B74FC" w:rsidRPr="00F42B1D">
        <w:rPr>
          <w:rFonts w:ascii="Arial" w:hAnsi="Arial" w:cs="Arial"/>
          <w:color w:val="000000"/>
          <w:sz w:val="20"/>
          <w:szCs w:val="20"/>
        </w:rPr>
        <w:t>,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 and RAF proto-oncogene serine/threonine kinase (RAF). In addition, the library contained small-molecule inhibitors with activity against the BCL2 family, bromodomain containing 4 (BRD4), </w:t>
      </w:r>
      <w:r w:rsidR="00404BA5" w:rsidRPr="00F42B1D">
        <w:rPr>
          <w:rFonts w:ascii="Arial" w:hAnsi="Arial" w:cs="Arial"/>
          <w:color w:val="000000"/>
          <w:sz w:val="20"/>
          <w:szCs w:val="20"/>
        </w:rPr>
        <w:t>h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edgehog heat shock protein 90 (HSP90), NOTCH/γ-secretase, proteasome,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survivin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, signal transducer and activator of transcription 3 (STAT3), histone deacetylase (HDAC), and WNT/β-catenin. Drug plates were created using inhibitors purchased from LC Laboratories and Selleck Chemicals and master stocks were reconstituted in dimethyl sulfoxide (DMSO) and stored at −80 °C. Master plates were created by distributing a single agent per well in a seven-point concentration series, created from threefold dilutions of the most concentrated stock resulting in a range of 10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μM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 to 0.0137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μM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 for each drug (except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dasatinib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, ponatinib, sunitinib and YM-155, which were plated at a concentration range of 1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μM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 to 0.00137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μM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). DMSO-control wells and positive-control wells containing a drug combination of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flavopiridol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staurosporine</w:t>
      </w:r>
      <w:proofErr w:type="spellEnd"/>
      <w:r w:rsidR="005B74FC" w:rsidRPr="00F42B1D">
        <w:rPr>
          <w:rFonts w:ascii="Arial" w:hAnsi="Arial" w:cs="Arial"/>
          <w:color w:val="000000"/>
          <w:sz w:val="20"/>
          <w:szCs w:val="20"/>
        </w:rPr>
        <w:t>,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5B74FC" w:rsidRPr="00F42B1D">
        <w:rPr>
          <w:rFonts w:ascii="Arial" w:hAnsi="Arial" w:cs="Arial"/>
          <w:color w:val="000000"/>
          <w:sz w:val="20"/>
          <w:szCs w:val="20"/>
        </w:rPr>
        <w:t>Velcade</w:t>
      </w:r>
      <w:proofErr w:type="spellEnd"/>
      <w:r w:rsidR="005B74FC" w:rsidRPr="00F42B1D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were placed on each plate, with the final concentration of DMSO ≤0.1% in all wells. Daughter plates were created using a V&amp;P Scientific 384-well pin tool head operated by the Caliper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Sciclone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 ALH 3000 and equipped with 0.457-mm diameter, 30-n</w:t>
      </w:r>
      <w:r w:rsidR="005B74FC" w:rsidRPr="00F42B1D">
        <w:rPr>
          <w:rFonts w:ascii="Arial" w:hAnsi="Arial" w:cs="Arial"/>
          <w:color w:val="000000"/>
          <w:sz w:val="20"/>
          <w:szCs w:val="20"/>
        </w:rPr>
        <w:t>L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, slotted stainless-steel pins (FP1NS30). Daughter and destination plates were sealed with </w:t>
      </w:r>
      <w:proofErr w:type="spellStart"/>
      <w:r w:rsidR="005B74FC" w:rsidRPr="00F42B1D">
        <w:rPr>
          <w:rFonts w:ascii="Arial" w:hAnsi="Arial" w:cs="Arial"/>
          <w:color w:val="000000"/>
          <w:sz w:val="20"/>
          <w:szCs w:val="20"/>
        </w:rPr>
        <w:t>peelable</w:t>
      </w:r>
      <w:proofErr w:type="spellEnd"/>
      <w:r w:rsidR="005B74FC" w:rsidRPr="00F42B1D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thermal seals using a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PlateLoc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 thermal sealer. Destination plates were stored at −20 °C for no more than three months and thawed immediately before use. Primary mononuclear cells were plated across single-agent inhibitor panels within 24 h of collection. Cells were seeded into 384-well assay plates at 10,000 cells per well in Roswell Park Memorial Institute (RPMI) 1640 medium supplemented with fetal bovine serum (FBS) (10%), L-glutamine, penicillin</w:t>
      </w:r>
      <w:r w:rsidR="005B74FC" w:rsidRPr="00F42B1D">
        <w:rPr>
          <w:rFonts w:ascii="Arial" w:hAnsi="Arial" w:cs="Arial"/>
          <w:color w:val="000000"/>
          <w:sz w:val="20"/>
          <w:szCs w:val="20"/>
        </w:rPr>
        <w:t>-</w:t>
      </w:r>
      <w:r w:rsidRPr="00F42B1D">
        <w:rPr>
          <w:rFonts w:ascii="Arial" w:hAnsi="Arial" w:cs="Arial"/>
          <w:color w:val="000000"/>
          <w:sz w:val="20"/>
          <w:szCs w:val="20"/>
        </w:rPr>
        <w:t>streptomycin, and β-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mercaptoethanol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 (10–4 M). After three days of culture at 37 °C in 5% CO2, MTS reagent (CellTiter96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AQueous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 One; Promega) was added, the optical density was measured at 490 nm, and raw absorbance values were adjusted to a reference blank value and then used to determine cell viability (normalized to untreated control wells).</w:t>
      </w:r>
    </w:p>
    <w:p w14:paraId="36CE4C45" w14:textId="77777777" w:rsidR="00ED082C" w:rsidRPr="00F42B1D" w:rsidRDefault="00ED082C" w:rsidP="00B40703">
      <w:pPr>
        <w:contextualSpacing/>
        <w:rPr>
          <w:rFonts w:ascii="Arial" w:hAnsi="Arial" w:cs="Arial"/>
          <w:color w:val="000000"/>
          <w:sz w:val="20"/>
          <w:szCs w:val="20"/>
        </w:rPr>
      </w:pPr>
    </w:p>
    <w:p w14:paraId="2350B288" w14:textId="5A98F08E" w:rsidR="00ED082C" w:rsidRPr="00F42B1D" w:rsidRDefault="00ED082C" w:rsidP="00B40703">
      <w:pPr>
        <w:contextualSpacing/>
        <w:rPr>
          <w:rFonts w:ascii="Arial" w:hAnsi="Arial" w:cs="Arial"/>
          <w:color w:val="000000"/>
          <w:sz w:val="20"/>
          <w:szCs w:val="20"/>
        </w:rPr>
      </w:pPr>
      <w:proofErr w:type="gramStart"/>
      <w:r w:rsidRPr="00F42B1D">
        <w:rPr>
          <w:rFonts w:ascii="Arial" w:hAnsi="Arial" w:cs="Arial"/>
          <w:color w:val="000000"/>
          <w:sz w:val="20"/>
          <w:szCs w:val="20"/>
        </w:rPr>
        <w:t>With regard to</w:t>
      </w:r>
      <w:proofErr w:type="gramEnd"/>
      <w:r w:rsidRPr="00F42B1D">
        <w:rPr>
          <w:rFonts w:ascii="Arial" w:hAnsi="Arial" w:cs="Arial"/>
          <w:color w:val="000000"/>
          <w:sz w:val="20"/>
          <w:szCs w:val="20"/>
        </w:rPr>
        <w:t xml:space="preserve"> data processing, a workflow in which the data normalization, curve</w:t>
      </w:r>
      <w:r w:rsidR="005B74FC" w:rsidRPr="00F42B1D">
        <w:rPr>
          <w:rFonts w:ascii="Arial" w:hAnsi="Arial" w:cs="Arial"/>
          <w:color w:val="000000"/>
          <w:sz w:val="20"/>
          <w:szCs w:val="20"/>
        </w:rPr>
        <w:t>-</w:t>
      </w:r>
      <w:r w:rsidRPr="00F42B1D">
        <w:rPr>
          <w:rFonts w:ascii="Arial" w:hAnsi="Arial" w:cs="Arial"/>
          <w:color w:val="000000"/>
          <w:sz w:val="20"/>
          <w:szCs w:val="20"/>
        </w:rPr>
        <w:t>fit parameters</w:t>
      </w:r>
      <w:r w:rsidR="008E1C38" w:rsidRPr="00F42B1D">
        <w:rPr>
          <w:rFonts w:ascii="Arial" w:hAnsi="Arial" w:cs="Arial"/>
          <w:color w:val="000000"/>
          <w:sz w:val="20"/>
          <w:szCs w:val="20"/>
        </w:rPr>
        <w:t>,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 and quality assurance/quality control steps are summarized </w:t>
      </w:r>
      <w:r w:rsidR="005B74FC" w:rsidRPr="00F42B1D">
        <w:rPr>
          <w:rFonts w:ascii="Arial" w:eastAsia="Times New Roman" w:hAnsi="Arial" w:cs="Arial"/>
          <w:color w:val="000000"/>
          <w:sz w:val="20"/>
          <w:szCs w:val="20"/>
        </w:rPr>
        <w:t xml:space="preserve">is shown </w:t>
      </w:r>
      <w:r w:rsidR="00F81EF5" w:rsidRPr="00F42B1D">
        <w:rPr>
          <w:rFonts w:ascii="Arial" w:hAnsi="Arial" w:cs="Arial"/>
          <w:color w:val="000000"/>
          <w:sz w:val="20"/>
          <w:szCs w:val="20"/>
        </w:rPr>
        <w:t>below</w:t>
      </w:r>
      <w:r w:rsidR="00460419" w:rsidRPr="00F42B1D">
        <w:rPr>
          <w:rFonts w:ascii="Arial" w:hAnsi="Arial" w:cs="Arial"/>
          <w:color w:val="000000"/>
          <w:sz w:val="20"/>
          <w:szCs w:val="20"/>
        </w:rPr>
        <w:t xml:space="preserve"> (Figure 1)</w:t>
      </w:r>
      <w:r w:rsidR="00F81EF5" w:rsidRPr="00F42B1D">
        <w:rPr>
          <w:rFonts w:ascii="Arial" w:hAnsi="Arial" w:cs="Arial"/>
          <w:color w:val="000000"/>
          <w:sz w:val="20"/>
          <w:szCs w:val="20"/>
        </w:rPr>
        <w:t>.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 A given sample was run on one or more panels and within each panel, </w:t>
      </w:r>
      <w:proofErr w:type="gramStart"/>
      <w:r w:rsidRPr="00F42B1D">
        <w:rPr>
          <w:rFonts w:ascii="Arial" w:hAnsi="Arial" w:cs="Arial"/>
          <w:color w:val="000000"/>
          <w:sz w:val="20"/>
          <w:szCs w:val="20"/>
        </w:rPr>
        <w:t>the majority of</w:t>
      </w:r>
      <w:proofErr w:type="gramEnd"/>
      <w:r w:rsidRPr="00F42B1D">
        <w:rPr>
          <w:rFonts w:ascii="Arial" w:hAnsi="Arial" w:cs="Arial"/>
          <w:color w:val="000000"/>
          <w:sz w:val="20"/>
          <w:szCs w:val="20"/>
        </w:rPr>
        <w:t xml:space="preserve"> drugs were run without within-panel replicates. Two steps were performed to harmonize these data before model fitting.</w:t>
      </w:r>
    </w:p>
    <w:p w14:paraId="7765FD06" w14:textId="77777777" w:rsidR="00ED082C" w:rsidRPr="00F42B1D" w:rsidRDefault="00ED082C" w:rsidP="00B40703">
      <w:pPr>
        <w:contextualSpacing/>
        <w:rPr>
          <w:rFonts w:ascii="Arial" w:hAnsi="Arial" w:cs="Arial"/>
          <w:color w:val="000000"/>
          <w:sz w:val="20"/>
          <w:szCs w:val="20"/>
        </w:rPr>
      </w:pPr>
    </w:p>
    <w:p w14:paraId="61102B91" w14:textId="06346826" w:rsidR="00AC4B9D" w:rsidRPr="00F42B1D" w:rsidRDefault="00ED082C" w:rsidP="00B40703">
      <w:pPr>
        <w:contextualSpacing/>
        <w:rPr>
          <w:rFonts w:ascii="Arial" w:hAnsi="Arial" w:cs="Arial"/>
          <w:color w:val="000000"/>
          <w:sz w:val="20"/>
          <w:szCs w:val="20"/>
        </w:rPr>
      </w:pPr>
      <w:r w:rsidRPr="00F42B1D">
        <w:rPr>
          <w:rFonts w:ascii="Arial" w:hAnsi="Arial" w:cs="Arial"/>
          <w:color w:val="000000"/>
          <w:sz w:val="20"/>
          <w:szCs w:val="20"/>
        </w:rPr>
        <w:t>First, a ‘curve-free’ AUC (integration based on fine linear interpolation between the seven data points themselves) was calculated for those runs with within-panel replicates after applying a ceiling of 100 and a floor of 0 for the normalized viability. The maximum change in AUC among the replicates was noted and those runs with differences &gt;100 were removed. Second, the remaining within-plate replicates had their normalized viability averaged subject to a ceiling of 100 and floor of 0. An additional set of ‘curve-free’ AUCs was computed for sample</w:t>
      </w:r>
      <w:r w:rsidR="008E1C38" w:rsidRPr="00F42B1D">
        <w:rPr>
          <w:rFonts w:ascii="Arial" w:hAnsi="Arial" w:cs="Arial"/>
          <w:color w:val="000000"/>
          <w:sz w:val="20"/>
          <w:szCs w:val="20"/>
        </w:rPr>
        <w:t>-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inhibitor pairs run on multiple panels. The maximum change in AUC </w:t>
      </w:r>
      <w:r w:rsidRPr="00F42B1D">
        <w:rPr>
          <w:rFonts w:ascii="Arial" w:hAnsi="Arial" w:cs="Arial"/>
          <w:color w:val="000000"/>
          <w:sz w:val="20"/>
          <w:szCs w:val="20"/>
        </w:rPr>
        <w:lastRenderedPageBreak/>
        <w:t xml:space="preserve">among the across-panel replicates was noted and those runs with differences &gt;75 were removed. At this point, the within- and across-plate replicates for the normalized viability were averaged together and a ceiling of 100 was applied. From the steps above, the floor was already at 0. </w:t>
      </w:r>
      <w:proofErr w:type="gramStart"/>
      <w:r w:rsidRPr="00F42B1D">
        <w:rPr>
          <w:rFonts w:ascii="Arial" w:hAnsi="Arial" w:cs="Arial"/>
          <w:color w:val="000000"/>
          <w:sz w:val="20"/>
          <w:szCs w:val="20"/>
        </w:rPr>
        <w:t>On the basis of</w:t>
      </w:r>
      <w:proofErr w:type="gramEnd"/>
      <w:r w:rsidRPr="00F42B1D">
        <w:rPr>
          <w:rFonts w:ascii="Arial" w:hAnsi="Arial" w:cs="Arial"/>
          <w:color w:val="000000"/>
          <w:sz w:val="20"/>
          <w:szCs w:val="20"/>
        </w:rPr>
        <w:t xml:space="preserve"> the methodology used in </w:t>
      </w:r>
      <w:r w:rsidR="00460419" w:rsidRPr="00F42B1D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42B1D">
        <w:rPr>
          <w:rFonts w:ascii="Arial" w:hAnsi="Arial" w:cs="Arial"/>
          <w:color w:val="000000"/>
          <w:sz w:val="20"/>
          <w:szCs w:val="20"/>
        </w:rPr>
        <w:t>prior drug-combination study</w:t>
      </w:r>
      <w:r w:rsidR="00460419" w:rsidRPr="00F42B1D">
        <w:rPr>
          <w:rFonts w:ascii="Arial" w:hAnsi="Arial" w:cs="Arial"/>
          <w:color w:val="000000"/>
          <w:sz w:val="20"/>
          <w:szCs w:val="20"/>
          <w:vertAlign w:val="superscript"/>
        </w:rPr>
        <w:t>1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, a </w:t>
      </w:r>
      <w:proofErr w:type="spellStart"/>
      <w:r w:rsidRPr="00F42B1D">
        <w:rPr>
          <w:rFonts w:ascii="Arial" w:hAnsi="Arial" w:cs="Arial"/>
          <w:color w:val="000000"/>
          <w:sz w:val="20"/>
          <w:szCs w:val="20"/>
        </w:rPr>
        <w:t>probit</w:t>
      </w:r>
      <w:proofErr w:type="spellEnd"/>
      <w:r w:rsidRPr="00F42B1D">
        <w:rPr>
          <w:rFonts w:ascii="Arial" w:hAnsi="Arial" w:cs="Arial"/>
          <w:color w:val="000000"/>
          <w:sz w:val="20"/>
          <w:szCs w:val="20"/>
        </w:rPr>
        <w:t xml:space="preserve"> regression was fit to all possible run groups using the model: (normalized viability/100) ~ 1 + log10</w:t>
      </w:r>
      <w:r w:rsidR="008E1C38" w:rsidRPr="00F42B1D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2B1D">
        <w:rPr>
          <w:rFonts w:ascii="Arial" w:hAnsi="Arial" w:cs="Arial"/>
          <w:color w:val="000000"/>
          <w:sz w:val="20"/>
          <w:szCs w:val="20"/>
        </w:rPr>
        <w:t>(concentration). For all groups there were n=7 dose</w:t>
      </w:r>
      <w:r w:rsidR="008E1C38" w:rsidRPr="00F42B1D">
        <w:rPr>
          <w:rFonts w:ascii="Arial" w:hAnsi="Arial" w:cs="Arial"/>
          <w:color w:val="000000"/>
          <w:sz w:val="20"/>
          <w:szCs w:val="20"/>
        </w:rPr>
        <w:t>-</w:t>
      </w:r>
      <w:r w:rsidRPr="00F42B1D">
        <w:rPr>
          <w:rFonts w:ascii="Arial" w:hAnsi="Arial" w:cs="Arial"/>
          <w:color w:val="000000"/>
          <w:sz w:val="20"/>
          <w:szCs w:val="20"/>
        </w:rPr>
        <w:t>response measurements.</w:t>
      </w:r>
      <w:r w:rsidR="00F16AF3" w:rsidRPr="00F42B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42B1D">
        <w:rPr>
          <w:rFonts w:ascii="Arial" w:hAnsi="Arial" w:cs="Arial"/>
          <w:color w:val="000000"/>
          <w:sz w:val="20"/>
          <w:szCs w:val="20"/>
        </w:rPr>
        <w:t xml:space="preserve">The summary analyses of curve fit were </w:t>
      </w:r>
      <w:proofErr w:type="gramStart"/>
      <w:r w:rsidRPr="00F42B1D">
        <w:rPr>
          <w:rFonts w:ascii="Arial" w:hAnsi="Arial" w:cs="Arial"/>
          <w:color w:val="000000"/>
          <w:sz w:val="20"/>
          <w:szCs w:val="20"/>
        </w:rPr>
        <w:t>inspected</w:t>
      </w:r>
      <w:proofErr w:type="gramEnd"/>
      <w:r w:rsidRPr="00F42B1D">
        <w:rPr>
          <w:rFonts w:ascii="Arial" w:hAnsi="Arial" w:cs="Arial"/>
          <w:color w:val="000000"/>
          <w:sz w:val="20"/>
          <w:szCs w:val="20"/>
        </w:rPr>
        <w:t xml:space="preserve"> and cut-offs were devised removing all runs with an Akaike information criteria (AIC) &gt; 12 and deviance &gt;2. For inhibitors that were run using multiple concentration ranges, only the most-recent concentration range was kept. Finally, these data were compared to the AUC values from third-order polynomial fits. Those runs that were discrepant in terms of sensitive or resistant calls were manually reviewed as subject to removal.</w:t>
      </w:r>
    </w:p>
    <w:p w14:paraId="689DDF5F" w14:textId="6213FBC0" w:rsidR="00AC4B9D" w:rsidRPr="00F42B1D" w:rsidRDefault="00AC4B9D" w:rsidP="0043439C">
      <w:pPr>
        <w:contextualSpacing/>
        <w:rPr>
          <w:rFonts w:ascii="Arial" w:hAnsi="Arial" w:cs="Arial"/>
          <w:color w:val="000000"/>
          <w:sz w:val="20"/>
          <w:szCs w:val="20"/>
        </w:rPr>
      </w:pPr>
      <w:r w:rsidRPr="00F42B1D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BA9E8F7" wp14:editId="2EE376EA">
            <wp:simplePos x="0" y="0"/>
            <wp:positionH relativeFrom="margin">
              <wp:posOffset>968375</wp:posOffset>
            </wp:positionH>
            <wp:positionV relativeFrom="paragraph">
              <wp:posOffset>343535</wp:posOffset>
            </wp:positionV>
            <wp:extent cx="4006215" cy="3200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hibitor data workflo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4CE38" w14:textId="421CB336" w:rsidR="00ED082C" w:rsidRPr="00F42B1D" w:rsidRDefault="00AC4B9D" w:rsidP="001021C0">
      <w:pPr>
        <w:contextualSpacing/>
        <w:rPr>
          <w:rFonts w:ascii="Arial" w:hAnsi="Arial" w:cs="Arial"/>
          <w:color w:val="000000"/>
          <w:sz w:val="20"/>
          <w:szCs w:val="20"/>
        </w:rPr>
      </w:pPr>
      <w:r w:rsidRPr="00F42B1D">
        <w:rPr>
          <w:rFonts w:ascii="Arial" w:hAnsi="Arial" w:cs="Arial"/>
          <w:color w:val="000000"/>
          <w:sz w:val="20"/>
          <w:szCs w:val="20"/>
        </w:rPr>
        <w:t xml:space="preserve">Read the detailed </w:t>
      </w:r>
      <w:hyperlink r:id="rId10" w:history="1">
        <w:r w:rsidRPr="00F42B1D">
          <w:rPr>
            <w:rStyle w:val="Hyperlink"/>
            <w:rFonts w:ascii="Arial" w:hAnsi="Arial" w:cs="Arial"/>
            <w:sz w:val="20"/>
            <w:szCs w:val="20"/>
          </w:rPr>
          <w:t>Experimental Approaches</w:t>
        </w:r>
      </w:hyperlink>
      <w:bookmarkStart w:id="0" w:name="_GoBack"/>
      <w:bookmarkEnd w:id="0"/>
    </w:p>
    <w:p w14:paraId="6E10ACD3" w14:textId="77777777" w:rsidR="00C260EB" w:rsidRPr="00F42B1D" w:rsidRDefault="00C260EB" w:rsidP="00F16AF3">
      <w:pPr>
        <w:pStyle w:val="Heading3"/>
        <w:keepNext w:val="0"/>
        <w:keepLines w:val="0"/>
        <w:shd w:val="clear" w:color="auto" w:fill="FFFFFF"/>
        <w:spacing w:before="0" w:line="240" w:lineRule="auto"/>
        <w:contextualSpacing/>
        <w:rPr>
          <w:rFonts w:ascii="Arial" w:hAnsi="Arial" w:cs="Arial"/>
          <w:b/>
          <w:color w:val="990000"/>
          <w:sz w:val="20"/>
          <w:szCs w:val="20"/>
        </w:rPr>
      </w:pPr>
      <w:r w:rsidRPr="00F42B1D">
        <w:rPr>
          <w:rFonts w:ascii="Arial" w:hAnsi="Arial" w:cs="Arial"/>
          <w:b/>
          <w:bCs/>
          <w:color w:val="990000"/>
          <w:sz w:val="20"/>
          <w:szCs w:val="20"/>
        </w:rPr>
        <w:t>Data</w:t>
      </w:r>
    </w:p>
    <w:p w14:paraId="0D01D650" w14:textId="3C04DE86" w:rsidR="0099764D" w:rsidRPr="00F42B1D" w:rsidRDefault="00C260EB" w:rsidP="0099764D">
      <w:pPr>
        <w:pStyle w:val="CommentText"/>
        <w:rPr>
          <w:rFonts w:ascii="Arial" w:hAnsi="Arial" w:cs="Arial"/>
        </w:rPr>
      </w:pPr>
      <w:r w:rsidRPr="00F42B1D">
        <w:rPr>
          <w:rFonts w:ascii="Arial" w:hAnsi="Arial" w:cs="Arial"/>
        </w:rPr>
        <w:t>Access the</w:t>
      </w:r>
      <w:r w:rsidR="00F16AF3" w:rsidRPr="00F42B1D">
        <w:rPr>
          <w:rFonts w:ascii="Arial" w:hAnsi="Arial" w:cs="Arial"/>
        </w:rPr>
        <w:t xml:space="preserve"> </w:t>
      </w:r>
      <w:r w:rsidRPr="00F42B1D">
        <w:rPr>
          <w:rStyle w:val="Hyperlink"/>
          <w:rFonts w:ascii="Arial" w:eastAsiaTheme="majorEastAsia" w:hAnsi="Arial" w:cs="Arial"/>
          <w:color w:val="auto"/>
        </w:rPr>
        <w:t>Raw/Analyzed Data (DCC)</w:t>
      </w:r>
      <w:r w:rsidR="0099764D" w:rsidRPr="00F42B1D">
        <w:rPr>
          <w:rStyle w:val="Hyperlink"/>
          <w:rFonts w:ascii="Arial" w:eastAsiaTheme="majorEastAsia" w:hAnsi="Arial" w:cs="Arial"/>
          <w:color w:val="auto"/>
        </w:rPr>
        <w:t xml:space="preserve">: </w:t>
      </w:r>
      <w:hyperlink r:id="rId11" w:history="1">
        <w:r w:rsidR="0099764D" w:rsidRPr="00F42B1D">
          <w:rPr>
            <w:rStyle w:val="Hyperlink"/>
            <w:rFonts w:ascii="Arial" w:hAnsi="Arial" w:cs="Arial"/>
          </w:rPr>
          <w:t>https://ctd2-data.nci.nih.gov/Public/OHSU-1/BeatAML_Waves1_2/</w:t>
        </w:r>
      </w:hyperlink>
    </w:p>
    <w:p w14:paraId="10C31D68" w14:textId="21D98C21" w:rsidR="00C260EB" w:rsidRPr="00F42B1D" w:rsidRDefault="00C260EB" w:rsidP="00F16AF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</w:p>
    <w:p w14:paraId="284BD0E9" w14:textId="48C68DF8" w:rsidR="00C260EB" w:rsidRPr="00F42B1D" w:rsidRDefault="00C260EB" w:rsidP="00F16AF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23232"/>
          <w:sz w:val="20"/>
          <w:szCs w:val="20"/>
        </w:rPr>
      </w:pPr>
    </w:p>
    <w:p w14:paraId="7F9A41F9" w14:textId="77777777" w:rsidR="00C260EB" w:rsidRPr="00F42B1D" w:rsidRDefault="00C260EB" w:rsidP="00F16AF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23232"/>
          <w:sz w:val="20"/>
          <w:szCs w:val="20"/>
        </w:rPr>
      </w:pPr>
    </w:p>
    <w:p w14:paraId="2727E1CB" w14:textId="312512AC" w:rsidR="002B44A8" w:rsidRPr="00F42B1D" w:rsidRDefault="00C260EB" w:rsidP="0099764D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23232"/>
          <w:sz w:val="20"/>
          <w:szCs w:val="20"/>
        </w:rPr>
      </w:pPr>
      <w:r w:rsidRPr="00F42B1D">
        <w:rPr>
          <w:rFonts w:ascii="Arial" w:hAnsi="Arial" w:cs="Arial"/>
          <w:sz w:val="20"/>
          <w:szCs w:val="20"/>
        </w:rPr>
        <w:t>For questions, please contact</w:t>
      </w:r>
      <w:r w:rsidR="00AC4B9D" w:rsidRPr="00F42B1D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F16AF3" w:rsidRPr="00F42B1D">
          <w:rPr>
            <w:rStyle w:val="Hyperlink"/>
            <w:rFonts w:ascii="Arial" w:eastAsiaTheme="majorEastAsia" w:hAnsi="Arial" w:cs="Arial"/>
            <w:color w:val="774928"/>
            <w:sz w:val="20"/>
            <w:szCs w:val="20"/>
          </w:rPr>
          <w:t>Jeffrey Tyner</w:t>
        </w:r>
      </w:hyperlink>
      <w:r w:rsidRPr="00F42B1D">
        <w:rPr>
          <w:rFonts w:ascii="Arial" w:hAnsi="Arial" w:cs="Arial"/>
          <w:color w:val="323232"/>
          <w:sz w:val="20"/>
          <w:szCs w:val="20"/>
        </w:rPr>
        <w:t>.</w:t>
      </w:r>
    </w:p>
    <w:p w14:paraId="764A2693" w14:textId="15B6CA4B" w:rsidR="00F42B1D" w:rsidRPr="00F42B1D" w:rsidRDefault="00F42B1D" w:rsidP="0099764D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23232"/>
          <w:sz w:val="20"/>
          <w:szCs w:val="20"/>
        </w:rPr>
      </w:pPr>
    </w:p>
    <w:p w14:paraId="207B6083" w14:textId="77777777" w:rsidR="00F42B1D" w:rsidRPr="00F42B1D" w:rsidRDefault="00F42B1D" w:rsidP="0099764D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23232"/>
          <w:sz w:val="20"/>
          <w:szCs w:val="20"/>
        </w:rPr>
      </w:pPr>
    </w:p>
    <w:p w14:paraId="490A06CB" w14:textId="3BEE0167" w:rsidR="0099764D" w:rsidRDefault="0099764D" w:rsidP="0099764D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23232"/>
          <w:sz w:val="20"/>
          <w:szCs w:val="20"/>
          <w:u w:val="single"/>
        </w:rPr>
      </w:pPr>
      <w:r w:rsidRPr="00F42B1D">
        <w:rPr>
          <w:rFonts w:ascii="Arial" w:hAnsi="Arial" w:cs="Arial"/>
          <w:color w:val="323232"/>
          <w:sz w:val="20"/>
          <w:szCs w:val="20"/>
          <w:u w:val="single"/>
        </w:rPr>
        <w:t>References</w:t>
      </w:r>
    </w:p>
    <w:p w14:paraId="34B8A728" w14:textId="77777777" w:rsidR="00F42B1D" w:rsidRPr="00F42B1D" w:rsidRDefault="00F42B1D" w:rsidP="0099764D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23232"/>
          <w:sz w:val="20"/>
          <w:szCs w:val="20"/>
          <w:u w:val="single"/>
        </w:rPr>
      </w:pPr>
    </w:p>
    <w:p w14:paraId="2C9D94BC" w14:textId="31C96EC2" w:rsidR="0099764D" w:rsidRPr="00F42B1D" w:rsidRDefault="00F42B1D" w:rsidP="00F42B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contextualSpacing/>
        <w:rPr>
          <w:rFonts w:ascii="Arial" w:hAnsi="Arial" w:cs="Arial"/>
          <w:color w:val="323232"/>
          <w:sz w:val="20"/>
          <w:szCs w:val="20"/>
        </w:rPr>
      </w:pPr>
      <w:r w:rsidRPr="00F42B1D">
        <w:rPr>
          <w:rFonts w:ascii="Arial" w:hAnsi="Arial" w:cs="Arial"/>
          <w:sz w:val="20"/>
          <w:szCs w:val="20"/>
        </w:rPr>
        <w:t xml:space="preserve">Kurtz SE et al. (2017). Molecularly targeted drug combinations demonstrate selective effectiveness for myeloid- and lymphoid-derived hematologic malignancies. </w:t>
      </w:r>
      <w:r w:rsidRPr="00F42B1D">
        <w:rPr>
          <w:rStyle w:val="Emphasis"/>
          <w:rFonts w:ascii="Arial" w:hAnsi="Arial" w:cs="Arial"/>
          <w:sz w:val="20"/>
          <w:szCs w:val="20"/>
        </w:rPr>
        <w:t xml:space="preserve">Proc Natl </w:t>
      </w:r>
      <w:proofErr w:type="spellStart"/>
      <w:r w:rsidRPr="00F42B1D">
        <w:rPr>
          <w:rStyle w:val="Emphasis"/>
          <w:rFonts w:ascii="Arial" w:hAnsi="Arial" w:cs="Arial"/>
          <w:sz w:val="20"/>
          <w:szCs w:val="20"/>
        </w:rPr>
        <w:t>Acad</w:t>
      </w:r>
      <w:proofErr w:type="spellEnd"/>
      <w:r w:rsidRPr="00F42B1D">
        <w:rPr>
          <w:rStyle w:val="Emphasis"/>
          <w:rFonts w:ascii="Arial" w:hAnsi="Arial" w:cs="Arial"/>
          <w:sz w:val="20"/>
          <w:szCs w:val="20"/>
        </w:rPr>
        <w:t xml:space="preserve"> Sci USA. </w:t>
      </w:r>
      <w:r w:rsidRPr="00F42B1D">
        <w:rPr>
          <w:rFonts w:ascii="Arial" w:hAnsi="Arial" w:cs="Arial"/>
          <w:sz w:val="20"/>
          <w:szCs w:val="20"/>
        </w:rPr>
        <w:t>114(36</w:t>
      </w:r>
      <w:proofErr w:type="gramStart"/>
      <w:r w:rsidRPr="00F42B1D">
        <w:rPr>
          <w:rFonts w:ascii="Arial" w:hAnsi="Arial" w:cs="Arial"/>
          <w:sz w:val="20"/>
          <w:szCs w:val="20"/>
        </w:rPr>
        <w:t>):E</w:t>
      </w:r>
      <w:proofErr w:type="gramEnd"/>
      <w:r w:rsidRPr="00F42B1D">
        <w:rPr>
          <w:rFonts w:ascii="Arial" w:hAnsi="Arial" w:cs="Arial"/>
          <w:sz w:val="20"/>
          <w:szCs w:val="20"/>
        </w:rPr>
        <w:t>7554-E7563. (PMID: 28784769)</w:t>
      </w:r>
    </w:p>
    <w:sectPr w:rsidR="0099764D" w:rsidRPr="00F42B1D" w:rsidSect="0064758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43C15" w14:textId="77777777" w:rsidR="00160BED" w:rsidRDefault="00160BED" w:rsidP="00AC4B9D">
      <w:r>
        <w:separator/>
      </w:r>
    </w:p>
  </w:endnote>
  <w:endnote w:type="continuationSeparator" w:id="0">
    <w:p w14:paraId="01869383" w14:textId="77777777" w:rsidR="00160BED" w:rsidRDefault="00160BED" w:rsidP="00AC4B9D">
      <w:r>
        <w:continuationSeparator/>
      </w:r>
    </w:p>
  </w:endnote>
  <w:endnote w:type="continuationNotice" w:id="1">
    <w:p w14:paraId="7CA26996" w14:textId="77777777" w:rsidR="00160BED" w:rsidRDefault="00160B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627230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C0774" w14:textId="27D7DA73" w:rsidR="00AC4B9D" w:rsidRPr="0099764D" w:rsidRDefault="00AC4B9D" w:rsidP="0099764D">
        <w:pPr>
          <w:pStyle w:val="Footer"/>
          <w:jc w:val="right"/>
          <w:rPr>
            <w:sz w:val="22"/>
          </w:rPr>
        </w:pPr>
        <w:r w:rsidRPr="00B40703">
          <w:rPr>
            <w:sz w:val="22"/>
            <w:szCs w:val="22"/>
          </w:rPr>
          <w:fldChar w:fldCharType="begin"/>
        </w:r>
        <w:r w:rsidRPr="00B40703">
          <w:rPr>
            <w:sz w:val="22"/>
            <w:szCs w:val="22"/>
          </w:rPr>
          <w:instrText xml:space="preserve"> PAGE   \* MERGEFORMAT </w:instrText>
        </w:r>
        <w:r w:rsidRPr="00B40703">
          <w:rPr>
            <w:sz w:val="22"/>
            <w:szCs w:val="22"/>
          </w:rPr>
          <w:fldChar w:fldCharType="separate"/>
        </w:r>
        <w:r w:rsidRPr="00B40703">
          <w:rPr>
            <w:noProof/>
            <w:sz w:val="22"/>
            <w:szCs w:val="22"/>
          </w:rPr>
          <w:t>2</w:t>
        </w:r>
        <w:r w:rsidRPr="00B40703">
          <w:rPr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DC761" w14:textId="77777777" w:rsidR="00160BED" w:rsidRDefault="00160BED" w:rsidP="00AC4B9D">
      <w:r>
        <w:separator/>
      </w:r>
    </w:p>
  </w:footnote>
  <w:footnote w:type="continuationSeparator" w:id="0">
    <w:p w14:paraId="4A6FC7B7" w14:textId="77777777" w:rsidR="00160BED" w:rsidRDefault="00160BED" w:rsidP="00AC4B9D">
      <w:r>
        <w:continuationSeparator/>
      </w:r>
    </w:p>
  </w:footnote>
  <w:footnote w:type="continuationNotice" w:id="1">
    <w:p w14:paraId="61B060C6" w14:textId="77777777" w:rsidR="00160BED" w:rsidRDefault="00160B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49FFB" w14:textId="77777777" w:rsidR="00B40703" w:rsidRDefault="00B407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0E35"/>
    <w:multiLevelType w:val="hybridMultilevel"/>
    <w:tmpl w:val="EE34C440"/>
    <w:lvl w:ilvl="0" w:tplc="47BC479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52602B"/>
    <w:multiLevelType w:val="hybridMultilevel"/>
    <w:tmpl w:val="6EF6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3sDQ3NLOwMDUyNDRU0lEKTi0uzszPAykwqgUA/346MSwAAAA="/>
  </w:docVars>
  <w:rsids>
    <w:rsidRoot w:val="00ED082C"/>
    <w:rsid w:val="00043EAF"/>
    <w:rsid w:val="00097A5F"/>
    <w:rsid w:val="000E351C"/>
    <w:rsid w:val="00100B5B"/>
    <w:rsid w:val="001021C0"/>
    <w:rsid w:val="00111A54"/>
    <w:rsid w:val="00134C9C"/>
    <w:rsid w:val="00160BED"/>
    <w:rsid w:val="00172B51"/>
    <w:rsid w:val="00176068"/>
    <w:rsid w:val="00191878"/>
    <w:rsid w:val="001B36E9"/>
    <w:rsid w:val="00204ECB"/>
    <w:rsid w:val="002761F7"/>
    <w:rsid w:val="002C7592"/>
    <w:rsid w:val="00323E03"/>
    <w:rsid w:val="00344D45"/>
    <w:rsid w:val="00386CDB"/>
    <w:rsid w:val="003A72F4"/>
    <w:rsid w:val="003F76C0"/>
    <w:rsid w:val="00404BA5"/>
    <w:rsid w:val="00412622"/>
    <w:rsid w:val="00413ECC"/>
    <w:rsid w:val="004260D7"/>
    <w:rsid w:val="0043439C"/>
    <w:rsid w:val="00460419"/>
    <w:rsid w:val="00465E3E"/>
    <w:rsid w:val="00494902"/>
    <w:rsid w:val="004E343A"/>
    <w:rsid w:val="004F2C97"/>
    <w:rsid w:val="0054614C"/>
    <w:rsid w:val="00571F82"/>
    <w:rsid w:val="00593DA4"/>
    <w:rsid w:val="00596228"/>
    <w:rsid w:val="005B74FC"/>
    <w:rsid w:val="005D73C2"/>
    <w:rsid w:val="005F3A77"/>
    <w:rsid w:val="0060312A"/>
    <w:rsid w:val="00610125"/>
    <w:rsid w:val="0062377F"/>
    <w:rsid w:val="00647587"/>
    <w:rsid w:val="006643D1"/>
    <w:rsid w:val="006E1A8F"/>
    <w:rsid w:val="006F3C00"/>
    <w:rsid w:val="0076235E"/>
    <w:rsid w:val="007843FE"/>
    <w:rsid w:val="0078553D"/>
    <w:rsid w:val="007D562F"/>
    <w:rsid w:val="007F16B6"/>
    <w:rsid w:val="00817884"/>
    <w:rsid w:val="0083737A"/>
    <w:rsid w:val="00845850"/>
    <w:rsid w:val="008749F1"/>
    <w:rsid w:val="008E1C38"/>
    <w:rsid w:val="0093489B"/>
    <w:rsid w:val="00967E38"/>
    <w:rsid w:val="0099764D"/>
    <w:rsid w:val="009D7BA3"/>
    <w:rsid w:val="00AC4B9D"/>
    <w:rsid w:val="00B40703"/>
    <w:rsid w:val="00B4199D"/>
    <w:rsid w:val="00B77720"/>
    <w:rsid w:val="00B9078D"/>
    <w:rsid w:val="00BB53BE"/>
    <w:rsid w:val="00BC3193"/>
    <w:rsid w:val="00BE4352"/>
    <w:rsid w:val="00C260EB"/>
    <w:rsid w:val="00CA4C40"/>
    <w:rsid w:val="00CD6534"/>
    <w:rsid w:val="00D461E3"/>
    <w:rsid w:val="00D83EE1"/>
    <w:rsid w:val="00D850B6"/>
    <w:rsid w:val="00DB5E08"/>
    <w:rsid w:val="00DE2181"/>
    <w:rsid w:val="00E15DAA"/>
    <w:rsid w:val="00ED082C"/>
    <w:rsid w:val="00ED4074"/>
    <w:rsid w:val="00F16AF3"/>
    <w:rsid w:val="00F17193"/>
    <w:rsid w:val="00F42B1D"/>
    <w:rsid w:val="00F554E0"/>
    <w:rsid w:val="00F735D0"/>
    <w:rsid w:val="00F8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2A5F"/>
  <w15:chartTrackingRefBased/>
  <w15:docId w15:val="{9C015F94-5669-1147-8AB7-F0773D16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0E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260E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260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60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2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2F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72F4"/>
  </w:style>
  <w:style w:type="character" w:styleId="UnresolvedMention">
    <w:name w:val="Unresolved Mention"/>
    <w:basedOn w:val="DefaultParagraphFont"/>
    <w:uiPriority w:val="99"/>
    <w:semiHidden/>
    <w:unhideWhenUsed/>
    <w:rsid w:val="00AC4B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4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B9D"/>
  </w:style>
  <w:style w:type="paragraph" w:styleId="Footer">
    <w:name w:val="footer"/>
    <w:basedOn w:val="Normal"/>
    <w:link w:val="FooterChar"/>
    <w:uiPriority w:val="99"/>
    <w:unhideWhenUsed/>
    <w:rsid w:val="00AC4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B9D"/>
  </w:style>
  <w:style w:type="character" w:styleId="CommentReference">
    <w:name w:val="annotation reference"/>
    <w:basedOn w:val="DefaultParagraphFont"/>
    <w:uiPriority w:val="99"/>
    <w:semiHidden/>
    <w:unhideWhenUsed/>
    <w:rsid w:val="00102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1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1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1C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021C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42B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033362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dc.cancer.gov/about-data/publications/BEATAML1-0-CRENOLANIB-2019" TargetMode="External"/><Relationship Id="rId12" Type="http://schemas.openxmlformats.org/officeDocument/2006/relationships/hyperlink" Target="mailto:tynerj@ohsu.edu?subject=CTD%5e2%20Data%20Inqui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td2-data.nci.nih.gov/Public/OHSU-1/BeatAML_Waves1_2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ature.com/articles/s41586-018-0623-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Jagu, Subhashini (NIH/NCI) [E]</cp:lastModifiedBy>
  <cp:revision>3</cp:revision>
  <dcterms:created xsi:type="dcterms:W3CDTF">2019-09-20T17:32:00Z</dcterms:created>
  <dcterms:modified xsi:type="dcterms:W3CDTF">2019-09-20T17:38:00Z</dcterms:modified>
</cp:coreProperties>
</file>