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515"/>
        <w:gridCol w:w="1060"/>
        <w:gridCol w:w="1826"/>
        <w:gridCol w:w="2059"/>
        <w:gridCol w:w="2420"/>
      </w:tblGrid>
      <w:tr w:rsidR="004F2C02" w14:paraId="03AD0EA3" w14:textId="77777777">
        <w:trPr>
          <w:trHeight w:val="360"/>
        </w:trPr>
        <w:tc>
          <w:tcPr>
            <w:tcW w:w="7085" w:type="dxa"/>
            <w:gridSpan w:val="7"/>
          </w:tcPr>
          <w:p w14:paraId="3435BE4E" w14:textId="45E2DFFF" w:rsidR="004F2C02" w:rsidRPr="00226AE3" w:rsidRDefault="00226AE3" w:rsidP="00226AE3">
            <w:pPr>
              <w:pStyle w:val="zSoquijdatRepertorie"/>
              <w:rPr>
                <w:rFonts w:cs="Arial"/>
              </w:rPr>
            </w:pPr>
            <w:bookmarkStart w:id="0" w:name="_GoBack"/>
            <w:bookmarkEnd w:id="0"/>
            <w:r>
              <w:rPr>
                <w:rFonts w:cs="Arial"/>
              </w:rPr>
              <w:t>R. c. Boisjoly</w:t>
            </w:r>
          </w:p>
        </w:tc>
        <w:tc>
          <w:tcPr>
            <w:tcW w:w="2420" w:type="dxa"/>
          </w:tcPr>
          <w:p w14:paraId="0CD287B6" w14:textId="6E71FBBE" w:rsidR="004F2C02" w:rsidRPr="00B030D2" w:rsidRDefault="00B030D2" w:rsidP="00B030D2">
            <w:pPr>
              <w:pStyle w:val="zSoquijdatRefNeutre"/>
              <w:jc w:val="right"/>
              <w:rPr>
                <w:rFonts w:cs="Arial"/>
              </w:rPr>
            </w:pPr>
            <w:r w:rsidRPr="00B030D2">
              <w:rPr>
                <w:rFonts w:cs="Arial"/>
              </w:rPr>
              <w:t>2022 QCCQ 8975</w:t>
            </w:r>
          </w:p>
        </w:tc>
      </w:tr>
      <w:tr w:rsidR="004F2C02" w14:paraId="1354CD92" w14:textId="77777777">
        <w:trPr>
          <w:trHeight w:val="900"/>
        </w:trPr>
        <w:tc>
          <w:tcPr>
            <w:tcW w:w="9505" w:type="dxa"/>
            <w:gridSpan w:val="8"/>
            <w:vAlign w:val="bottom"/>
          </w:tcPr>
          <w:p w14:paraId="21173B90" w14:textId="77777777" w:rsidR="004F2C02" w:rsidRDefault="00EF5343">
            <w:pPr>
              <w:pStyle w:val="zSoquijlblCour"/>
            </w:pPr>
            <w:r>
              <w:t>COUR DU QUÉBEC</w:t>
            </w:r>
          </w:p>
        </w:tc>
      </w:tr>
      <w:tr w:rsidR="004F2C02" w14:paraId="549EF23C" w14:textId="77777777">
        <w:trPr>
          <w:trHeight w:val="540"/>
        </w:trPr>
        <w:tc>
          <w:tcPr>
            <w:tcW w:w="9505" w:type="dxa"/>
            <w:gridSpan w:val="8"/>
          </w:tcPr>
          <w:p w14:paraId="375F0DBE" w14:textId="77777777" w:rsidR="004F2C02" w:rsidRDefault="004F2C02">
            <w:pPr>
              <w:pStyle w:val="zSoquijdatDivision"/>
            </w:pPr>
          </w:p>
        </w:tc>
      </w:tr>
      <w:tr w:rsidR="004F2C02" w14:paraId="0B488FCA" w14:textId="77777777">
        <w:tc>
          <w:tcPr>
            <w:tcW w:w="9505" w:type="dxa"/>
            <w:gridSpan w:val="8"/>
          </w:tcPr>
          <w:p w14:paraId="70BFDB2F" w14:textId="77777777" w:rsidR="004F2C02" w:rsidRDefault="00EF5343">
            <w:pPr>
              <w:pStyle w:val="zSoquijlblPays"/>
            </w:pPr>
            <w:r>
              <w:t>CANADA</w:t>
            </w:r>
          </w:p>
        </w:tc>
      </w:tr>
      <w:tr w:rsidR="004F2C02" w14:paraId="7B3610CB" w14:textId="77777777">
        <w:tc>
          <w:tcPr>
            <w:tcW w:w="9505" w:type="dxa"/>
            <w:gridSpan w:val="8"/>
          </w:tcPr>
          <w:p w14:paraId="79C0F9A4" w14:textId="77777777" w:rsidR="004F2C02" w:rsidRDefault="00EF5343">
            <w:pPr>
              <w:pStyle w:val="zSoquijlblProvince"/>
            </w:pPr>
            <w:r>
              <w:t>PROVINCE DE QUÉBEC</w:t>
            </w:r>
          </w:p>
        </w:tc>
      </w:tr>
      <w:tr w:rsidR="004F2C02" w14:paraId="4F64E0DB" w14:textId="77777777">
        <w:tblPrEx>
          <w:tblCellMar>
            <w:left w:w="0" w:type="dxa"/>
            <w:right w:w="0" w:type="dxa"/>
          </w:tblCellMar>
        </w:tblPrEx>
        <w:trPr>
          <w:cantSplit/>
        </w:trPr>
        <w:tc>
          <w:tcPr>
            <w:tcW w:w="1625" w:type="dxa"/>
            <w:gridSpan w:val="3"/>
          </w:tcPr>
          <w:p w14:paraId="642F44A3" w14:textId="77777777" w:rsidR="004F2C02" w:rsidRDefault="00EF5343">
            <w:pPr>
              <w:pStyle w:val="zSoquijlblGreffe"/>
            </w:pPr>
            <w:r>
              <w:t>DISTRICT DE</w:t>
            </w:r>
          </w:p>
        </w:tc>
        <w:tc>
          <w:tcPr>
            <w:tcW w:w="7880" w:type="dxa"/>
            <w:gridSpan w:val="5"/>
          </w:tcPr>
          <w:p w14:paraId="04691C07" w14:textId="416CA308" w:rsidR="004F2C02" w:rsidRDefault="00EC7216" w:rsidP="0024302C">
            <w:pPr>
              <w:pStyle w:val="zSoquijdatGreffe"/>
            </w:pPr>
            <w:r>
              <w:t xml:space="preserve">MONTRÉAL </w:t>
            </w:r>
          </w:p>
        </w:tc>
      </w:tr>
      <w:tr w:rsidR="004F2C02" w14:paraId="3010EC18" w14:textId="77777777">
        <w:trPr>
          <w:trHeight w:val="540"/>
        </w:trPr>
        <w:tc>
          <w:tcPr>
            <w:tcW w:w="9505" w:type="dxa"/>
            <w:gridSpan w:val="8"/>
          </w:tcPr>
          <w:p w14:paraId="6C1300C1" w14:textId="77777777" w:rsidR="004F2C02" w:rsidRPr="009249B9" w:rsidRDefault="00EF5343" w:rsidP="00F47FF2">
            <w:pPr>
              <w:pStyle w:val="zSoquijlblNomChambre"/>
            </w:pPr>
            <w:r>
              <w:rPr>
                <w:lang w:val="fr-FR"/>
              </w:rPr>
              <w:t xml:space="preserve">« Chambre </w:t>
            </w:r>
            <w:r w:rsidR="00F47FF2">
              <w:t>criminelle et pénale »</w:t>
            </w:r>
            <w:r w:rsidR="009249B9">
              <w:t> </w:t>
            </w:r>
          </w:p>
        </w:tc>
      </w:tr>
      <w:tr w:rsidR="004F2C02" w14:paraId="07FF3094" w14:textId="77777777">
        <w:tc>
          <w:tcPr>
            <w:tcW w:w="1105" w:type="dxa"/>
            <w:gridSpan w:val="2"/>
          </w:tcPr>
          <w:p w14:paraId="143E117D" w14:textId="77777777" w:rsidR="004F2C02" w:rsidRDefault="00EF5343">
            <w:pPr>
              <w:pStyle w:val="zSoquijlblNoDossier"/>
            </w:pPr>
            <w:r>
              <w:t>N° :</w:t>
            </w:r>
          </w:p>
        </w:tc>
        <w:tc>
          <w:tcPr>
            <w:tcW w:w="8400" w:type="dxa"/>
            <w:gridSpan w:val="6"/>
          </w:tcPr>
          <w:p w14:paraId="2C31A7CD" w14:textId="77777777" w:rsidR="004F2C02" w:rsidRDefault="00B209C2" w:rsidP="009249B9">
            <w:pPr>
              <w:pStyle w:val="zSoquijdatNoDossier"/>
            </w:pPr>
            <w:r w:rsidRPr="00FE1282">
              <w:rPr>
                <w:rFonts w:cs="Arial"/>
              </w:rPr>
              <w:t>500-</w:t>
            </w:r>
            <w:r w:rsidR="009249B9">
              <w:rPr>
                <w:rFonts w:cs="Arial"/>
              </w:rPr>
              <w:t>01-</w:t>
            </w:r>
            <w:r w:rsidR="00532B84">
              <w:rPr>
                <w:rFonts w:cs="Arial"/>
              </w:rPr>
              <w:t>191054-193</w:t>
            </w:r>
          </w:p>
        </w:tc>
      </w:tr>
      <w:tr w:rsidR="004F2C02" w14:paraId="216D6F47" w14:textId="77777777">
        <w:trPr>
          <w:cantSplit/>
          <w:trHeight w:val="235"/>
        </w:trPr>
        <w:tc>
          <w:tcPr>
            <w:tcW w:w="9505" w:type="dxa"/>
            <w:gridSpan w:val="8"/>
          </w:tcPr>
          <w:p w14:paraId="63F74DB8" w14:textId="77777777" w:rsidR="004F2C02" w:rsidRDefault="004F2C02"/>
        </w:tc>
      </w:tr>
      <w:tr w:rsidR="004F2C02" w14:paraId="1E260A0D" w14:textId="77777777">
        <w:tc>
          <w:tcPr>
            <w:tcW w:w="1036" w:type="dxa"/>
          </w:tcPr>
          <w:p w14:paraId="7E52ABB0" w14:textId="77777777" w:rsidR="004F2C02" w:rsidRDefault="00EF5343">
            <w:pPr>
              <w:pStyle w:val="zSoquijlblDateJugement"/>
            </w:pPr>
            <w:r>
              <w:t>DATE :</w:t>
            </w:r>
          </w:p>
        </w:tc>
        <w:tc>
          <w:tcPr>
            <w:tcW w:w="8469" w:type="dxa"/>
            <w:gridSpan w:val="7"/>
          </w:tcPr>
          <w:p w14:paraId="44918848" w14:textId="77777777" w:rsidR="004F2C02" w:rsidRDefault="00D8404D">
            <w:pPr>
              <w:pStyle w:val="zSoquijdatDateJugement"/>
            </w:pPr>
            <w:r>
              <w:t>2</w:t>
            </w:r>
            <w:r w:rsidR="00532B84">
              <w:t xml:space="preserve">8 novembre </w:t>
            </w:r>
            <w:r w:rsidR="009249B9">
              <w:t>2022</w:t>
            </w:r>
          </w:p>
        </w:tc>
      </w:tr>
      <w:tr w:rsidR="004F2C02" w14:paraId="53A979EE" w14:textId="77777777">
        <w:tc>
          <w:tcPr>
            <w:tcW w:w="9505" w:type="dxa"/>
            <w:gridSpan w:val="8"/>
          </w:tcPr>
          <w:p w14:paraId="345C4AAC" w14:textId="77777777" w:rsidR="004F2C02" w:rsidRDefault="00EF5343">
            <w:pPr>
              <w:ind w:left="14" w:right="-67"/>
            </w:pPr>
            <w:r>
              <w:t>______________________________________________________________________</w:t>
            </w:r>
          </w:p>
        </w:tc>
      </w:tr>
      <w:tr w:rsidR="004F2C02" w14:paraId="4741D34A" w14:textId="77777777">
        <w:tc>
          <w:tcPr>
            <w:tcW w:w="9505" w:type="dxa"/>
            <w:gridSpan w:val="8"/>
          </w:tcPr>
          <w:p w14:paraId="27B78A4F" w14:textId="77777777" w:rsidR="004F2C02" w:rsidRDefault="004F2C02"/>
        </w:tc>
      </w:tr>
      <w:tr w:rsidR="004F2C02" w14:paraId="114F2134" w14:textId="77777777">
        <w:tblPrEx>
          <w:tblCellMar>
            <w:left w:w="0" w:type="dxa"/>
            <w:right w:w="0" w:type="dxa"/>
          </w:tblCellMar>
        </w:tblPrEx>
        <w:tc>
          <w:tcPr>
            <w:tcW w:w="3200" w:type="dxa"/>
            <w:gridSpan w:val="5"/>
          </w:tcPr>
          <w:p w14:paraId="43538883" w14:textId="77777777" w:rsidR="004F2C02" w:rsidRDefault="00EF5343">
            <w:pPr>
              <w:pStyle w:val="zSoquijlblJuge"/>
            </w:pPr>
            <w:r>
              <w:t>SOUS LA PRÉSIDENCE DE</w:t>
            </w:r>
          </w:p>
        </w:tc>
        <w:tc>
          <w:tcPr>
            <w:tcW w:w="1826" w:type="dxa"/>
          </w:tcPr>
          <w:p w14:paraId="76A8E021" w14:textId="77777777" w:rsidR="004F2C02" w:rsidRDefault="00EF5343">
            <w:pPr>
              <w:pStyle w:val="zSoquijdatQteJuge"/>
            </w:pPr>
            <w:r>
              <w:t>L’HONORABLE</w:t>
            </w:r>
          </w:p>
        </w:tc>
        <w:tc>
          <w:tcPr>
            <w:tcW w:w="4479" w:type="dxa"/>
            <w:gridSpan w:val="2"/>
          </w:tcPr>
          <w:p w14:paraId="47AB4A53" w14:textId="77777777" w:rsidR="004F2C02" w:rsidRDefault="00B209C2">
            <w:pPr>
              <w:pStyle w:val="zSoquijdatJuge"/>
            </w:pPr>
            <w:r w:rsidRPr="00FE1282">
              <w:rPr>
                <w:rFonts w:cs="Arial"/>
                <w:lang w:val="it-IT"/>
              </w:rPr>
              <w:t>SALVATORE MASCIA, J.C.Q.</w:t>
            </w:r>
          </w:p>
        </w:tc>
      </w:tr>
      <w:tr w:rsidR="004F2C02" w14:paraId="56846A5D" w14:textId="77777777">
        <w:tc>
          <w:tcPr>
            <w:tcW w:w="2140" w:type="dxa"/>
            <w:gridSpan w:val="4"/>
          </w:tcPr>
          <w:p w14:paraId="23B99392" w14:textId="77777777" w:rsidR="004F2C02" w:rsidRDefault="004F2C02">
            <w:pPr>
              <w:pStyle w:val="zSoquijlblAssesseurs"/>
            </w:pPr>
          </w:p>
        </w:tc>
        <w:tc>
          <w:tcPr>
            <w:tcW w:w="7365" w:type="dxa"/>
            <w:gridSpan w:val="4"/>
          </w:tcPr>
          <w:p w14:paraId="215F0D0D" w14:textId="77777777" w:rsidR="004F2C02" w:rsidRDefault="004F2C02">
            <w:pPr>
              <w:pStyle w:val="zSoquijdatAssesseurs"/>
            </w:pPr>
          </w:p>
        </w:tc>
      </w:tr>
      <w:tr w:rsidR="004F2C02" w14:paraId="331494A0" w14:textId="77777777">
        <w:tc>
          <w:tcPr>
            <w:tcW w:w="9505" w:type="dxa"/>
            <w:gridSpan w:val="8"/>
          </w:tcPr>
          <w:p w14:paraId="30F145EE" w14:textId="77777777" w:rsidR="004F2C02" w:rsidRDefault="00EF5343">
            <w:pPr>
              <w:ind w:left="14" w:right="-67"/>
            </w:pPr>
            <w:r>
              <w:t>______________________________________________________________________</w:t>
            </w:r>
          </w:p>
        </w:tc>
      </w:tr>
      <w:tr w:rsidR="004F2C02" w14:paraId="2830E651" w14:textId="77777777">
        <w:tc>
          <w:tcPr>
            <w:tcW w:w="9505" w:type="dxa"/>
            <w:gridSpan w:val="8"/>
          </w:tcPr>
          <w:p w14:paraId="37969DCF" w14:textId="77777777" w:rsidR="004F2C02" w:rsidRDefault="004F2C02">
            <w:pPr>
              <w:pStyle w:val="zSoquijlblTitrePartie"/>
            </w:pPr>
          </w:p>
        </w:tc>
      </w:tr>
      <w:tr w:rsidR="004F2C02" w14:paraId="68AC9B3D" w14:textId="77777777">
        <w:tc>
          <w:tcPr>
            <w:tcW w:w="9505" w:type="dxa"/>
            <w:gridSpan w:val="8"/>
          </w:tcPr>
          <w:p w14:paraId="77007C47" w14:textId="77777777" w:rsidR="004F2C02" w:rsidRDefault="00F06D01">
            <w:pPr>
              <w:pStyle w:val="zSoquijdatNomPartieDem"/>
            </w:pPr>
            <w:r>
              <w:rPr>
                <w:rFonts w:cs="Arial"/>
              </w:rPr>
              <w:t xml:space="preserve">SA MAJESTÉ </w:t>
            </w:r>
            <w:r w:rsidR="00F7723A">
              <w:rPr>
                <w:rFonts w:cs="Arial"/>
              </w:rPr>
              <w:t>LE ROI</w:t>
            </w:r>
          </w:p>
        </w:tc>
      </w:tr>
      <w:tr w:rsidR="004F2C02" w14:paraId="7B702B1D" w14:textId="77777777">
        <w:tc>
          <w:tcPr>
            <w:tcW w:w="9505" w:type="dxa"/>
            <w:gridSpan w:val="8"/>
          </w:tcPr>
          <w:p w14:paraId="40CC5F48" w14:textId="77777777" w:rsidR="004F2C02" w:rsidRDefault="00F7723A">
            <w:pPr>
              <w:pStyle w:val="zSoquijdatQtePartieDem"/>
            </w:pPr>
            <w:r>
              <w:rPr>
                <w:rFonts w:cs="Arial"/>
              </w:rPr>
              <w:t>Poursuivant</w:t>
            </w:r>
          </w:p>
        </w:tc>
      </w:tr>
      <w:tr w:rsidR="004F2C02" w14:paraId="520F2E26" w14:textId="77777777">
        <w:tc>
          <w:tcPr>
            <w:tcW w:w="9505" w:type="dxa"/>
            <w:gridSpan w:val="8"/>
          </w:tcPr>
          <w:p w14:paraId="1932EF33" w14:textId="77777777" w:rsidR="004F2C02" w:rsidRDefault="00EF5343">
            <w:pPr>
              <w:pStyle w:val="zSoquijlblLienParties"/>
            </w:pPr>
            <w:r>
              <w:t>c.</w:t>
            </w:r>
          </w:p>
        </w:tc>
      </w:tr>
      <w:tr w:rsidR="004F2C02" w14:paraId="28C96D12" w14:textId="77777777">
        <w:tc>
          <w:tcPr>
            <w:tcW w:w="9505" w:type="dxa"/>
            <w:gridSpan w:val="8"/>
          </w:tcPr>
          <w:p w14:paraId="2B6A519B" w14:textId="77777777" w:rsidR="004F2C02" w:rsidRDefault="0005455B">
            <w:pPr>
              <w:pStyle w:val="zSoquijdatNomPartieDef"/>
            </w:pPr>
            <w:r>
              <w:rPr>
                <w:rFonts w:cs="Arial"/>
              </w:rPr>
              <w:t>FÉLIX OLIVIER BOISJOLY</w:t>
            </w:r>
            <w:r w:rsidR="001C327E">
              <w:rPr>
                <w:rFonts w:cs="Arial"/>
              </w:rPr>
              <w:t xml:space="preserve"> (001)</w:t>
            </w:r>
            <w:r>
              <w:rPr>
                <w:rFonts w:cs="Arial"/>
              </w:rPr>
              <w:t xml:space="preserve"> </w:t>
            </w:r>
          </w:p>
        </w:tc>
      </w:tr>
      <w:tr w:rsidR="004F2C02" w14:paraId="48072703" w14:textId="77777777">
        <w:tc>
          <w:tcPr>
            <w:tcW w:w="9505" w:type="dxa"/>
            <w:gridSpan w:val="8"/>
          </w:tcPr>
          <w:p w14:paraId="526A0323" w14:textId="77777777" w:rsidR="004F2C02" w:rsidRDefault="009249B9">
            <w:pPr>
              <w:pStyle w:val="zSoquijdatQtePartieDef"/>
            </w:pPr>
            <w:r>
              <w:rPr>
                <w:rFonts w:cs="Arial"/>
              </w:rPr>
              <w:t>Accusé</w:t>
            </w:r>
          </w:p>
        </w:tc>
      </w:tr>
      <w:tr w:rsidR="004F2C02" w14:paraId="572B91D4" w14:textId="77777777">
        <w:tc>
          <w:tcPr>
            <w:tcW w:w="9505" w:type="dxa"/>
            <w:gridSpan w:val="8"/>
          </w:tcPr>
          <w:p w14:paraId="55707B00" w14:textId="77777777" w:rsidR="004F2C02" w:rsidRDefault="004F2C02">
            <w:pPr>
              <w:ind w:left="14" w:right="-95"/>
            </w:pPr>
          </w:p>
        </w:tc>
      </w:tr>
      <w:tr w:rsidR="004F2C02" w14:paraId="67745B8F" w14:textId="77777777">
        <w:tc>
          <w:tcPr>
            <w:tcW w:w="9505" w:type="dxa"/>
            <w:gridSpan w:val="8"/>
          </w:tcPr>
          <w:p w14:paraId="3D866242" w14:textId="77777777" w:rsidR="004F2C02" w:rsidRDefault="00EF5343">
            <w:pPr>
              <w:ind w:left="14" w:right="-95"/>
            </w:pPr>
            <w:r>
              <w:t>______________________________________________________________________</w:t>
            </w:r>
          </w:p>
        </w:tc>
      </w:tr>
      <w:tr w:rsidR="004F2C02" w14:paraId="18B27B82" w14:textId="77777777">
        <w:tc>
          <w:tcPr>
            <w:tcW w:w="9505" w:type="dxa"/>
            <w:gridSpan w:val="8"/>
          </w:tcPr>
          <w:p w14:paraId="75E97821" w14:textId="77777777" w:rsidR="004F2C02" w:rsidRDefault="004F2C02">
            <w:pPr>
              <w:jc w:val="center"/>
            </w:pPr>
          </w:p>
        </w:tc>
      </w:tr>
      <w:tr w:rsidR="004F2C02" w14:paraId="2BB207A6" w14:textId="77777777">
        <w:tc>
          <w:tcPr>
            <w:tcW w:w="9505" w:type="dxa"/>
            <w:gridSpan w:val="8"/>
          </w:tcPr>
          <w:p w14:paraId="1238E4E6" w14:textId="77777777" w:rsidR="004F2C02" w:rsidRPr="00F7723A" w:rsidRDefault="00EF5343">
            <w:pPr>
              <w:pStyle w:val="zSoquijlblTypeDocument"/>
              <w:rPr>
                <w:b/>
              </w:rPr>
            </w:pPr>
            <w:r w:rsidRPr="00F7723A">
              <w:rPr>
                <w:b/>
              </w:rPr>
              <w:t>JUGEMENT</w:t>
            </w:r>
            <w:r w:rsidR="0005455B">
              <w:rPr>
                <w:b/>
              </w:rPr>
              <w:t xml:space="preserve"> SUR LA DÉTÉRMINATION DE LA PEINE</w:t>
            </w:r>
          </w:p>
        </w:tc>
      </w:tr>
      <w:tr w:rsidR="004F2C02" w14:paraId="06784396" w14:textId="77777777">
        <w:tc>
          <w:tcPr>
            <w:tcW w:w="9505" w:type="dxa"/>
            <w:gridSpan w:val="8"/>
          </w:tcPr>
          <w:p w14:paraId="67DC38B4" w14:textId="77777777" w:rsidR="004F2C02" w:rsidRDefault="00EF5343">
            <w:pPr>
              <w:ind w:left="14" w:right="-70"/>
            </w:pPr>
            <w:r>
              <w:t>______________________________________________________________________</w:t>
            </w:r>
          </w:p>
        </w:tc>
      </w:tr>
      <w:tr w:rsidR="004F2C02" w14:paraId="09827BAB" w14:textId="77777777">
        <w:tc>
          <w:tcPr>
            <w:tcW w:w="9505" w:type="dxa"/>
            <w:gridSpan w:val="8"/>
          </w:tcPr>
          <w:p w14:paraId="4EC57E13" w14:textId="77777777" w:rsidR="004F2C02" w:rsidRDefault="004F2C02"/>
        </w:tc>
      </w:tr>
    </w:tbl>
    <w:p w14:paraId="6DCEFDA6" w14:textId="77777777" w:rsidR="009249B9" w:rsidRPr="00F4036B" w:rsidRDefault="00F1201A" w:rsidP="00773A64">
      <w:pPr>
        <w:pStyle w:val="Titre1"/>
      </w:pPr>
      <w:r>
        <w:t xml:space="preserve">MISE EN </w:t>
      </w:r>
      <w:r w:rsidRPr="00773A64">
        <w:t>CONTEXTE</w:t>
      </w:r>
    </w:p>
    <w:p w14:paraId="13DA7129" w14:textId="33A83CCE" w:rsidR="00C84CBC" w:rsidRDefault="000C518E" w:rsidP="00E13417">
      <w:pPr>
        <w:pStyle w:val="Paragraphe"/>
        <w:tabs>
          <w:tab w:val="clear" w:pos="360"/>
          <w:tab w:val="num" w:pos="0"/>
        </w:tabs>
        <w:spacing w:line="240" w:lineRule="auto"/>
      </w:pPr>
      <w:r>
        <w:t>Le 6 décembre 2021, Monsieur Félix Olivier Boisjoly</w:t>
      </w:r>
      <w:r w:rsidR="00071F6E">
        <w:t xml:space="preserve"> (</w:t>
      </w:r>
      <w:r w:rsidR="00C84CBC">
        <w:t>ci-après « l'accusé ») reconnaît sa culpabilité pour les chefs d'accusation suivants :</w:t>
      </w:r>
    </w:p>
    <w:p w14:paraId="38E5C1CA" w14:textId="163FEB93" w:rsidR="00F4036B" w:rsidRDefault="00C84CBC" w:rsidP="00C84CBC">
      <w:pPr>
        <w:pStyle w:val="Sous-paragraphe"/>
      </w:pPr>
      <w:r>
        <w:t xml:space="preserve">Entre </w:t>
      </w:r>
      <w:r w:rsidR="009A4A86">
        <w:t>le 1</w:t>
      </w:r>
      <w:r w:rsidR="009A4A86" w:rsidRPr="009A4A86">
        <w:rPr>
          <w:vertAlign w:val="superscript"/>
        </w:rPr>
        <w:t>er</w:t>
      </w:r>
      <w:r w:rsidR="009A4A86">
        <w:t xml:space="preserve"> février 2018 et le 15 novembre 2018, à Montréal, district de Montréal, et /ou ailleurs dans la province de Québec, a fait le trafic d'une substance inscrite à l'annexe I ou présentée ou tenue comme telle, à savoir</w:t>
      </w:r>
      <w:r w:rsidR="00954D40">
        <w:t> :</w:t>
      </w:r>
      <w:r w:rsidR="00272F26">
        <w:t xml:space="preserve"> </w:t>
      </w:r>
      <w:r w:rsidR="009A4A86">
        <w:t>de la MDA commettant ainsi l'acte criminel prévu à l'article 5</w:t>
      </w:r>
      <w:r w:rsidR="00954D40">
        <w:t xml:space="preserve"> </w:t>
      </w:r>
      <w:r w:rsidR="009A4A86">
        <w:t>(1) (3)</w:t>
      </w:r>
      <w:r w:rsidR="00954D40">
        <w:t xml:space="preserve"> </w:t>
      </w:r>
      <w:r w:rsidR="004C6449">
        <w:t xml:space="preserve">a) de la </w:t>
      </w:r>
      <w:r w:rsidR="004C6449" w:rsidRPr="00272F26">
        <w:rPr>
          <w:i/>
          <w:iCs/>
        </w:rPr>
        <w:t>loi réglementant certaines drogues et autres substances</w:t>
      </w:r>
      <w:r w:rsidR="004C6449">
        <w:t>.</w:t>
      </w:r>
      <w:r w:rsidR="009A4A86">
        <w:t xml:space="preserve">  </w:t>
      </w:r>
      <w:r>
        <w:t xml:space="preserve"> </w:t>
      </w:r>
      <w:r w:rsidR="000C518E">
        <w:t xml:space="preserve"> </w:t>
      </w:r>
    </w:p>
    <w:p w14:paraId="7C62219A" w14:textId="016042EE" w:rsidR="00272F26" w:rsidRPr="00272F26" w:rsidRDefault="00272F26" w:rsidP="00272F26">
      <w:pPr>
        <w:pStyle w:val="Sous-paragraphe"/>
        <w:rPr>
          <w:i/>
          <w:iCs/>
        </w:rPr>
      </w:pPr>
      <w:r>
        <w:t>Entre le 1</w:t>
      </w:r>
      <w:r w:rsidR="00954D40">
        <w:t xml:space="preserve"> </w:t>
      </w:r>
      <w:r>
        <w:t xml:space="preserve">février 2018 et le 15 novembre 2018, à Montréal, district de Montréal, et /ou ailleurs dans la province de Québec, a comploté avec d'autres personnes afin de commettre un acte criminel, soit : le trafic d'une ou de plusieurs substances inscrites à l'annexe I de la </w:t>
      </w:r>
      <w:r w:rsidRPr="00272F26">
        <w:rPr>
          <w:i/>
          <w:iCs/>
        </w:rPr>
        <w:t>loi réglementant certaines drogues et autres substances</w:t>
      </w:r>
      <w:r w:rsidRPr="00272F26">
        <w:t xml:space="preserve"> </w:t>
      </w:r>
      <w:r>
        <w:t>ou présentées ou tenues comme telles, commettant ainsi l'acte criminel prévu à l'article 465</w:t>
      </w:r>
      <w:r w:rsidR="004A2E9A">
        <w:t xml:space="preserve"> </w:t>
      </w:r>
      <w:r>
        <w:t xml:space="preserve">(1) c) du </w:t>
      </w:r>
      <w:r w:rsidRPr="00272F26">
        <w:rPr>
          <w:i/>
          <w:iCs/>
        </w:rPr>
        <w:t>code criminel</w:t>
      </w:r>
      <w:r>
        <w:rPr>
          <w:i/>
          <w:iCs/>
        </w:rPr>
        <w:t>.</w:t>
      </w:r>
      <w:r w:rsidRPr="00272F26">
        <w:rPr>
          <w:i/>
          <w:iCs/>
        </w:rPr>
        <w:t xml:space="preserve">   </w:t>
      </w:r>
    </w:p>
    <w:p w14:paraId="5C0DBA68" w14:textId="1F49D98E" w:rsidR="00272F26" w:rsidRDefault="00272F26" w:rsidP="00272F26">
      <w:pPr>
        <w:pStyle w:val="Sous-paragraphe"/>
      </w:pPr>
      <w:r>
        <w:t>Le ou vers le 15 novembre 2018, à Montréal, district de Montréal, et /ou ailleurs dans la province de Québec, a eu en sa possession, avec un autre coaccusé, en vue d'en faire le trafic</w:t>
      </w:r>
      <w:r w:rsidR="004A2E9A">
        <w:t>,</w:t>
      </w:r>
      <w:r>
        <w:t xml:space="preserve"> une substance prévue à l'annexe I, à savoir, de la MDA commettant ainsi l'acte criminel prévu à l'article 5</w:t>
      </w:r>
      <w:r w:rsidR="004A2E9A">
        <w:t xml:space="preserve"> </w:t>
      </w:r>
      <w:r>
        <w:t>(2) (3)</w:t>
      </w:r>
      <w:r w:rsidR="004A2E9A">
        <w:t xml:space="preserve"> </w:t>
      </w:r>
      <w:r>
        <w:t xml:space="preserve">a) de la </w:t>
      </w:r>
      <w:r w:rsidRPr="00272F26">
        <w:rPr>
          <w:i/>
          <w:iCs/>
        </w:rPr>
        <w:t>loi réglementant certaines drogues et autres substances</w:t>
      </w:r>
      <w:r>
        <w:t xml:space="preserve">.    </w:t>
      </w:r>
    </w:p>
    <w:p w14:paraId="4AE419EA" w14:textId="714EFE94" w:rsidR="00272F26" w:rsidRDefault="00272F26" w:rsidP="004B50AF">
      <w:pPr>
        <w:pStyle w:val="Sous-paragraphe"/>
      </w:pPr>
      <w:r>
        <w:t>Le ou vers le 15 novembre 2018, à Montréal, district de Montréal, et /ou ailleurs dans la province de Québec, a eu en sa possession, en vue d'en faire le trafic une substance prévue à l'annexe I, à savoir, d</w:t>
      </w:r>
      <w:r w:rsidR="0033399D">
        <w:t>u GHB,</w:t>
      </w:r>
      <w:r>
        <w:t xml:space="preserve"> commettant ainsi l'acte criminel prévu à l'article 5</w:t>
      </w:r>
      <w:r w:rsidR="007C533E">
        <w:t xml:space="preserve"> </w:t>
      </w:r>
      <w:r>
        <w:t>(2) (3)</w:t>
      </w:r>
      <w:r w:rsidR="007C533E">
        <w:t xml:space="preserve"> </w:t>
      </w:r>
      <w:r>
        <w:t xml:space="preserve">a) de la </w:t>
      </w:r>
      <w:r w:rsidRPr="00272F26">
        <w:rPr>
          <w:i/>
          <w:iCs/>
        </w:rPr>
        <w:t>loi réglementant certaines drogues et autres substances</w:t>
      </w:r>
      <w:r>
        <w:t xml:space="preserve">.    </w:t>
      </w:r>
    </w:p>
    <w:p w14:paraId="4F28BBB4" w14:textId="0579D981" w:rsidR="00D81632" w:rsidRDefault="004B50AF" w:rsidP="004B50AF">
      <w:pPr>
        <w:pStyle w:val="Paragraphe"/>
        <w:tabs>
          <w:tab w:val="clear" w:pos="360"/>
          <w:tab w:val="num" w:pos="0"/>
        </w:tabs>
        <w:spacing w:line="240" w:lineRule="auto"/>
      </w:pPr>
      <w:r>
        <w:t xml:space="preserve">En date du 6 décembre 2021, les procureurs des poursuites criminelles et pénales ainsi que les avocats de l'accusé et ce dernier </w:t>
      </w:r>
      <w:r w:rsidR="00D81632">
        <w:t>lui-même</w:t>
      </w:r>
      <w:r w:rsidR="006A329A">
        <w:t>,</w:t>
      </w:r>
      <w:r w:rsidR="00D81632">
        <w:t xml:space="preserve"> ont signé et présenté au Tribunal la trame factuelle conjointe pour le plaidoyer de culpabilité formulé par l'accusé</w:t>
      </w:r>
      <w:r w:rsidR="00062F4A" w:rsidRPr="00062F4A">
        <w:rPr>
          <w:rStyle w:val="Appelnotedebasdep"/>
          <w:vertAlign w:val="superscript"/>
        </w:rPr>
        <w:footnoteReference w:id="1"/>
      </w:r>
      <w:r w:rsidR="003C5567">
        <w:t>.</w:t>
      </w:r>
    </w:p>
    <w:p w14:paraId="56B03EAE" w14:textId="732E0387" w:rsidR="00D81632" w:rsidRDefault="00D81632" w:rsidP="004B50AF">
      <w:pPr>
        <w:pStyle w:val="Paragraphe"/>
        <w:tabs>
          <w:tab w:val="clear" w:pos="360"/>
          <w:tab w:val="num" w:pos="0"/>
        </w:tabs>
        <w:spacing w:line="240" w:lineRule="auto"/>
      </w:pPr>
      <w:r>
        <w:t>Dans ledit exposé conjoint de</w:t>
      </w:r>
      <w:r w:rsidR="005B0C36">
        <w:t>s</w:t>
      </w:r>
      <w:r>
        <w:t xml:space="preserve"> faits, l'accusé reconnaît </w:t>
      </w:r>
      <w:r w:rsidR="005D623C">
        <w:t>l</w:t>
      </w:r>
      <w:r>
        <w:t>es éléments de la preuve découlant des conversations téléphoniques entre lui et certains autres coaccusés et admet</w:t>
      </w:r>
      <w:r w:rsidR="0021170A">
        <w:t xml:space="preserve"> son implication dans d</w:t>
      </w:r>
      <w:r>
        <w:t>es transactions</w:t>
      </w:r>
      <w:r w:rsidR="0021170A">
        <w:t xml:space="preserve"> de stupéfiants</w:t>
      </w:r>
      <w:r>
        <w:t xml:space="preserve"> faites au profit d'une organisation criminelle.</w:t>
      </w:r>
    </w:p>
    <w:p w14:paraId="61483F38" w14:textId="56143C03" w:rsidR="00F4036B" w:rsidRDefault="00A632D1" w:rsidP="004B50AF">
      <w:pPr>
        <w:pStyle w:val="Paragraphe"/>
        <w:tabs>
          <w:tab w:val="clear" w:pos="360"/>
          <w:tab w:val="num" w:pos="0"/>
        </w:tabs>
        <w:spacing w:line="240" w:lineRule="auto"/>
      </w:pPr>
      <w:r>
        <w:t>Les procureurs du poursuivant recommandent une peine</w:t>
      </w:r>
      <w:r w:rsidR="00C97878">
        <w:t xml:space="preserve"> d’emprisonnement</w:t>
      </w:r>
      <w:r>
        <w:t xml:space="preserve"> de trois ans, tandis que les avocats de l'accusé</w:t>
      </w:r>
      <w:r w:rsidR="00C97878">
        <w:t xml:space="preserve"> suggèrent </w:t>
      </w:r>
      <w:r>
        <w:t>une peine</w:t>
      </w:r>
      <w:r w:rsidR="00C97878">
        <w:t xml:space="preserve"> d’emprisonnement</w:t>
      </w:r>
      <w:r>
        <w:t xml:space="preserve"> de deux ans moins un jour</w:t>
      </w:r>
      <w:r w:rsidR="00D3608C">
        <w:t>,</w:t>
      </w:r>
      <w:r w:rsidR="003375E7">
        <w:t xml:space="preserve"> </w:t>
      </w:r>
      <w:r w:rsidR="00C97878">
        <w:t>comme sanction</w:t>
      </w:r>
      <w:r>
        <w:t xml:space="preserve"> </w:t>
      </w:r>
      <w:r w:rsidR="00C97878">
        <w:t>d</w:t>
      </w:r>
      <w:r>
        <w:t>u crime commis.</w:t>
      </w:r>
    </w:p>
    <w:p w14:paraId="35A420B4" w14:textId="38A5BA2C" w:rsidR="00204C79" w:rsidRDefault="007A164A" w:rsidP="00204C79">
      <w:pPr>
        <w:pStyle w:val="Paragraphe"/>
        <w:tabs>
          <w:tab w:val="clear" w:pos="360"/>
          <w:tab w:val="num" w:pos="0"/>
        </w:tabs>
        <w:spacing w:line="240" w:lineRule="auto"/>
      </w:pPr>
      <w:r>
        <w:t>La défense de l'accusé soumet dans son argumentaire relatif à la</w:t>
      </w:r>
      <w:r w:rsidR="003F74EC">
        <w:t xml:space="preserve"> peine </w:t>
      </w:r>
      <w:r>
        <w:t>appropriée</w:t>
      </w:r>
      <w:r w:rsidR="00855DB6" w:rsidRPr="00855DB6">
        <w:rPr>
          <w:rStyle w:val="Appelnotedebasdep"/>
          <w:vertAlign w:val="superscript"/>
        </w:rPr>
        <w:footnoteReference w:id="2"/>
      </w:r>
      <w:r w:rsidR="00855DB6">
        <w:t>,</w:t>
      </w:r>
      <w:r w:rsidR="00645EFF">
        <w:t xml:space="preserve"> </w:t>
      </w:r>
      <w:r w:rsidR="00711F74">
        <w:t xml:space="preserve">qu'il y a lieu de privilégier </w:t>
      </w:r>
      <w:r w:rsidR="0050269D">
        <w:t>l'individualisation pour tenir compte d'une réhabilitation convaincante</w:t>
      </w:r>
      <w:r w:rsidR="00645EFF">
        <w:t>,</w:t>
      </w:r>
      <w:r w:rsidR="0050269D">
        <w:t xml:space="preserve"> sur la base de l'article 718.2 a) et b) du </w:t>
      </w:r>
      <w:r w:rsidR="0050269D" w:rsidRPr="0050269D">
        <w:rPr>
          <w:i/>
          <w:iCs/>
        </w:rPr>
        <w:t>code crim</w:t>
      </w:r>
      <w:r w:rsidR="0050269D">
        <w:rPr>
          <w:i/>
          <w:iCs/>
        </w:rPr>
        <w:t>i</w:t>
      </w:r>
      <w:r w:rsidR="0050269D" w:rsidRPr="0050269D">
        <w:rPr>
          <w:i/>
          <w:iCs/>
        </w:rPr>
        <w:t>nel</w:t>
      </w:r>
      <w:r w:rsidR="00204C79">
        <w:t xml:space="preserve"> et ce, même si les critères de dénonciation et de dissuasion doivent habituellement primer en matière de trafic de drogues dures.</w:t>
      </w:r>
    </w:p>
    <w:p w14:paraId="0863C6D6" w14:textId="46CB9676" w:rsidR="00354696" w:rsidRDefault="004321F7" w:rsidP="00204C79">
      <w:pPr>
        <w:pStyle w:val="Paragraphe"/>
        <w:tabs>
          <w:tab w:val="clear" w:pos="360"/>
          <w:tab w:val="num" w:pos="0"/>
        </w:tabs>
        <w:spacing w:line="240" w:lineRule="auto"/>
      </w:pPr>
      <w:r>
        <w:t>L'argumentaire de la défense soutient</w:t>
      </w:r>
      <w:r w:rsidR="00FD61AB">
        <w:t>,</w:t>
      </w:r>
      <w:r>
        <w:t xml:space="preserve"> également</w:t>
      </w:r>
      <w:r w:rsidR="00FD61AB">
        <w:t>,</w:t>
      </w:r>
      <w:r>
        <w:t xml:space="preserve"> que ladite réhabilitation couplée</w:t>
      </w:r>
      <w:r w:rsidR="003A3D35">
        <w:t xml:space="preserve"> </w:t>
      </w:r>
      <w:r>
        <w:t>de l'écoulement d'un long délai</w:t>
      </w:r>
      <w:r w:rsidR="00FF7DD0">
        <w:t xml:space="preserve"> entre la commission de l'infraction et la peine</w:t>
      </w:r>
      <w:r w:rsidR="00003242">
        <w:t>,</w:t>
      </w:r>
      <w:r w:rsidR="00FF7DD0">
        <w:t xml:space="preserve"> rend l'incarcération contre-productive aux fins de la protection de la société </w:t>
      </w:r>
      <w:r w:rsidR="00354696">
        <w:t xml:space="preserve">et diminue grandement l'importance des objectifs de dénonciation et de dissuasion générale. </w:t>
      </w:r>
    </w:p>
    <w:p w14:paraId="551379B5" w14:textId="3D60217E" w:rsidR="009034DF" w:rsidRDefault="00492900" w:rsidP="00204C79">
      <w:pPr>
        <w:pStyle w:val="Paragraphe"/>
        <w:tabs>
          <w:tab w:val="clear" w:pos="360"/>
          <w:tab w:val="num" w:pos="0"/>
        </w:tabs>
        <w:spacing w:line="240" w:lineRule="auto"/>
      </w:pPr>
      <w:r>
        <w:t>Essentiellement, la défense de l'accusé sug</w:t>
      </w:r>
      <w:r w:rsidR="009034DF">
        <w:t xml:space="preserve">gère de condamner l'accusé à une peine </w:t>
      </w:r>
      <w:r w:rsidR="00951A82">
        <w:t xml:space="preserve">d’emprisonnement </w:t>
      </w:r>
      <w:r w:rsidR="009034DF">
        <w:t>de deux ans moins un jour</w:t>
      </w:r>
      <w:r w:rsidR="00167A41">
        <w:t>,</w:t>
      </w:r>
      <w:r w:rsidR="009034DF">
        <w:t xml:space="preserve"> avec un</w:t>
      </w:r>
      <w:r w:rsidR="0087713E">
        <w:t xml:space="preserve"> suivi</w:t>
      </w:r>
      <w:r w:rsidR="009034DF">
        <w:t xml:space="preserve"> probat</w:t>
      </w:r>
      <w:r w:rsidR="0087713E">
        <w:t>oire</w:t>
      </w:r>
      <w:r w:rsidR="009034DF">
        <w:t xml:space="preserve"> de trois ans et ce</w:t>
      </w:r>
      <w:r w:rsidR="00140649">
        <w:t>,</w:t>
      </w:r>
      <w:r w:rsidR="009034DF">
        <w:t xml:space="preserve"> pour les raisons suivantes :</w:t>
      </w:r>
    </w:p>
    <w:p w14:paraId="4A544118" w14:textId="77777777" w:rsidR="00AC6DCD" w:rsidRDefault="009034DF" w:rsidP="00AC6DCD">
      <w:pPr>
        <w:pStyle w:val="Sous-paragraphe"/>
      </w:pPr>
      <w:r>
        <w:t xml:space="preserve"> </w:t>
      </w:r>
      <w:r w:rsidR="00AC6DCD">
        <w:t>La prise en main de Mr. Boisjoly est indéniable et convaincante, minimisant ainsi au maximum tout risque de récidive.</w:t>
      </w:r>
    </w:p>
    <w:p w14:paraId="2A71AE8A" w14:textId="77777777" w:rsidR="00AC6DCD" w:rsidRDefault="00AC6DCD" w:rsidP="00AC6DCD">
      <w:pPr>
        <w:pStyle w:val="Sous-paragraphe"/>
      </w:pPr>
      <w:r>
        <w:t>Le fait qu'au moment du passage à l'acte il était un consommateur de stupéfiants</w:t>
      </w:r>
    </w:p>
    <w:p w14:paraId="56EE3920" w14:textId="77777777" w:rsidR="00113C11" w:rsidRDefault="00AC6DCD" w:rsidP="00AC6DCD">
      <w:pPr>
        <w:pStyle w:val="Sous-paragraphe"/>
      </w:pPr>
      <w:r>
        <w:t>Les remords sincères relativement aux crimes pour lesquels il a plaidé coupable.</w:t>
      </w:r>
    </w:p>
    <w:p w14:paraId="5F4136B9" w14:textId="77777777" w:rsidR="0017239D" w:rsidRDefault="00113C11" w:rsidP="00AC6DCD">
      <w:pPr>
        <w:pStyle w:val="Sous-paragraphe"/>
      </w:pPr>
      <w:r>
        <w:t>Le stress vécu durant l'attente entre les perquisitions initiales et son arrestation, ainsi que la réhabilitation</w:t>
      </w:r>
      <w:r w:rsidR="0017239D">
        <w:t>.</w:t>
      </w:r>
    </w:p>
    <w:p w14:paraId="659F89AC" w14:textId="77777777" w:rsidR="0017239D" w:rsidRDefault="0017239D" w:rsidP="00AC6DCD">
      <w:pPr>
        <w:pStyle w:val="Sous-paragraphe"/>
      </w:pPr>
      <w:r>
        <w:t>Le respect de toutes les conditions imposées pour sa remise en liberté, ainsi que la sévérité desdites conditions.</w:t>
      </w:r>
    </w:p>
    <w:p w14:paraId="38F6EC9B" w14:textId="29DB3A40" w:rsidR="0017239D" w:rsidRDefault="0017239D" w:rsidP="00AC6DCD">
      <w:pPr>
        <w:pStyle w:val="Sous-paragraphe"/>
      </w:pPr>
      <w:r>
        <w:t>Le fait que</w:t>
      </w:r>
      <w:r w:rsidR="005D48F3">
        <w:t xml:space="preserve"> l’accusé </w:t>
      </w:r>
      <w:r>
        <w:t>est un actif pour la société, dont notamment le travail accompli durant la pandémie; la durée de l'emprisonnement aura une influence directe sur son entreprise.</w:t>
      </w:r>
    </w:p>
    <w:p w14:paraId="15945109" w14:textId="612980FB" w:rsidR="004C09B8" w:rsidRDefault="0017239D" w:rsidP="00AC6DCD">
      <w:pPr>
        <w:pStyle w:val="Sous-paragraphe"/>
      </w:pPr>
      <w:r>
        <w:t xml:space="preserve">Le fait que </w:t>
      </w:r>
      <w:r w:rsidR="005D48F3">
        <w:t xml:space="preserve">l’accusé </w:t>
      </w:r>
      <w:r w:rsidR="004C09B8">
        <w:t>se soit également pris en main au niveau de son mode de vie.</w:t>
      </w:r>
    </w:p>
    <w:p w14:paraId="2AEA7C51" w14:textId="62857587" w:rsidR="004C09B8" w:rsidRDefault="004C09B8" w:rsidP="00AC6DCD">
      <w:pPr>
        <w:pStyle w:val="Sous-paragraphe"/>
      </w:pPr>
      <w:r>
        <w:t xml:space="preserve">Le fait que la condition médicale de </w:t>
      </w:r>
      <w:r w:rsidR="005D48F3">
        <w:t xml:space="preserve">l’accusé </w:t>
      </w:r>
      <w:r>
        <w:t>fait en sorte qu'il ne peut plus se permettre de consommation de stupéfiants et se doit de privilégier un mode de vie sain.</w:t>
      </w:r>
    </w:p>
    <w:p w14:paraId="455BF8B4" w14:textId="302CC7C0" w:rsidR="007A164A" w:rsidRDefault="004C09B8" w:rsidP="004C09B8">
      <w:pPr>
        <w:pStyle w:val="Sous-paragraphe"/>
      </w:pPr>
      <w:r>
        <w:t>L'encadrement dont il dispose au niveau familial.</w:t>
      </w:r>
      <w:r w:rsidR="0017239D">
        <w:t xml:space="preserve">  </w:t>
      </w:r>
      <w:r w:rsidR="00113C11">
        <w:t xml:space="preserve">  </w:t>
      </w:r>
      <w:r w:rsidR="00AC6DCD">
        <w:t xml:space="preserve">  </w:t>
      </w:r>
    </w:p>
    <w:p w14:paraId="40F7CAE5" w14:textId="1432FCF2" w:rsidR="00824B47" w:rsidRPr="00E42A80" w:rsidRDefault="00824B47" w:rsidP="00824B47">
      <w:pPr>
        <w:pStyle w:val="Paragraphe"/>
        <w:tabs>
          <w:tab w:val="clear" w:pos="360"/>
          <w:tab w:val="num" w:pos="0"/>
        </w:tabs>
        <w:spacing w:line="240" w:lineRule="auto"/>
      </w:pPr>
      <w:r>
        <w:t xml:space="preserve">La défense se réfère, notamment, au rapport présentenciel qui semble, selon elle, </w:t>
      </w:r>
      <w:r w:rsidRPr="00E42A80">
        <w:t>privilégier la réinsertion sociale</w:t>
      </w:r>
      <w:r w:rsidR="007761C5">
        <w:t xml:space="preserve"> de l’accusé</w:t>
      </w:r>
      <w:r w:rsidRPr="00E42A80">
        <w:t xml:space="preserve"> et évalue</w:t>
      </w:r>
      <w:r w:rsidR="00D47687">
        <w:t>r</w:t>
      </w:r>
      <w:r w:rsidRPr="00E42A80">
        <w:t xml:space="preserve"> les risques de récidive comme étant minimes.  </w:t>
      </w:r>
    </w:p>
    <w:p w14:paraId="727D375F" w14:textId="74F2B851" w:rsidR="00CC6D53" w:rsidRDefault="00524DAD" w:rsidP="00D143B0">
      <w:pPr>
        <w:pStyle w:val="Paragraphe"/>
        <w:tabs>
          <w:tab w:val="clear" w:pos="360"/>
          <w:tab w:val="num" w:pos="0"/>
        </w:tabs>
        <w:spacing w:line="240" w:lineRule="auto"/>
      </w:pPr>
      <w:r>
        <w:t>Pour</w:t>
      </w:r>
      <w:r w:rsidR="00CC6D53" w:rsidRPr="00E42A80">
        <w:t xml:space="preserve"> sa part</w:t>
      </w:r>
      <w:r w:rsidR="00F743D0" w:rsidRPr="00E42A80">
        <w:t>,</w:t>
      </w:r>
      <w:r w:rsidR="00CC6D53" w:rsidRPr="00E42A80">
        <w:t xml:space="preserve"> l</w:t>
      </w:r>
      <w:r w:rsidR="00210C00">
        <w:t>e</w:t>
      </w:r>
      <w:r w:rsidR="00CC6D53" w:rsidRPr="00E42A80">
        <w:t xml:space="preserve"> poursui</w:t>
      </w:r>
      <w:r w:rsidR="00210C00">
        <w:t>vant</w:t>
      </w:r>
      <w:r w:rsidR="00CC6D53" w:rsidRPr="00E42A80">
        <w:t xml:space="preserve"> présente des arguments voulant que</w:t>
      </w:r>
      <w:r w:rsidR="007A7D2C">
        <w:t xml:space="preserve"> même</w:t>
      </w:r>
      <w:r w:rsidR="00D143B0" w:rsidRPr="00E42A80">
        <w:t xml:space="preserve"> dans</w:t>
      </w:r>
      <w:r w:rsidR="00FC2D63" w:rsidRPr="00E42A80">
        <w:t xml:space="preserve"> </w:t>
      </w:r>
      <w:r w:rsidR="00D143B0" w:rsidRPr="00E42A80">
        <w:t>des cas où la quantité</w:t>
      </w:r>
      <w:r w:rsidR="00FC2D63" w:rsidRPr="00E42A80">
        <w:t xml:space="preserve"> de drogue</w:t>
      </w:r>
      <w:r w:rsidR="00D143B0" w:rsidRPr="00E42A80">
        <w:t xml:space="preserve"> </w:t>
      </w:r>
      <w:r w:rsidR="00FC2D63" w:rsidRPr="00E42A80">
        <w:t xml:space="preserve">saisie </w:t>
      </w:r>
      <w:r w:rsidR="00D143B0" w:rsidRPr="00E42A80">
        <w:t>est d’environ 20 000 comprimés</w:t>
      </w:r>
      <w:r w:rsidR="00FC2D63" w:rsidRPr="00E42A80">
        <w:t xml:space="preserve">, </w:t>
      </w:r>
      <w:r w:rsidR="007A7D2C">
        <w:t>ce qui est</w:t>
      </w:r>
      <w:r w:rsidR="00210C00">
        <w:t xml:space="preserve"> moins</w:t>
      </w:r>
      <w:r w:rsidR="00E0137D">
        <w:t xml:space="preserve"> de </w:t>
      </w:r>
      <w:r w:rsidR="00210C00">
        <w:t xml:space="preserve">ce </w:t>
      </w:r>
      <w:r w:rsidR="002C76A6">
        <w:t>q</w:t>
      </w:r>
      <w:r w:rsidR="00210C00">
        <w:t>ui a été</w:t>
      </w:r>
      <w:r w:rsidR="00FC2D63" w:rsidRPr="00E42A80">
        <w:t xml:space="preserve"> saisi entre les mains de l</w:t>
      </w:r>
      <w:r w:rsidR="005E5F3F" w:rsidRPr="00E42A80">
        <w:t>’</w:t>
      </w:r>
      <w:r w:rsidR="00FC2D63" w:rsidRPr="00E42A80">
        <w:t>accus</w:t>
      </w:r>
      <w:r w:rsidR="00E42A80">
        <w:t>é</w:t>
      </w:r>
      <w:r>
        <w:t xml:space="preserve"> dans ce dossier</w:t>
      </w:r>
      <w:r w:rsidR="00E42A80">
        <w:t xml:space="preserve">, </w:t>
      </w:r>
      <w:r>
        <w:t xml:space="preserve">la peine a été plus importante que la peine de </w:t>
      </w:r>
      <w:r w:rsidR="00E61EC7">
        <w:t>trois ans suggéré</w:t>
      </w:r>
      <w:r w:rsidR="003B617F">
        <w:t>e</w:t>
      </w:r>
      <w:r>
        <w:t xml:space="preserve"> par le poursuivant.</w:t>
      </w:r>
    </w:p>
    <w:p w14:paraId="70466805" w14:textId="759F62A2" w:rsidR="00E508BE" w:rsidRDefault="00E42A80" w:rsidP="00FD7A60">
      <w:pPr>
        <w:pStyle w:val="Paragraphe"/>
        <w:tabs>
          <w:tab w:val="clear" w:pos="360"/>
          <w:tab w:val="num" w:pos="0"/>
        </w:tabs>
        <w:spacing w:line="240" w:lineRule="auto"/>
      </w:pPr>
      <w:r>
        <w:t>Pour l</w:t>
      </w:r>
      <w:r w:rsidR="007943C8">
        <w:t>e</w:t>
      </w:r>
      <w:r>
        <w:t xml:space="preserve"> poursui</w:t>
      </w:r>
      <w:r w:rsidR="007943C8">
        <w:t>vant</w:t>
      </w:r>
      <w:r w:rsidR="00E508BE">
        <w:t>,</w:t>
      </w:r>
      <w:r>
        <w:t xml:space="preserve"> la quantité </w:t>
      </w:r>
      <w:r w:rsidR="007943C8">
        <w:t>saisie de 37</w:t>
      </w:r>
      <w:r w:rsidR="00AC6202">
        <w:t>6</w:t>
      </w:r>
      <w:r w:rsidR="007943C8">
        <w:t> 000 comprimés</w:t>
      </w:r>
      <w:r>
        <w:t xml:space="preserve"> </w:t>
      </w:r>
      <w:r w:rsidR="007B30EF">
        <w:t>avoisine celle qu’on peut sais</w:t>
      </w:r>
      <w:r w:rsidR="00E44B93">
        <w:t>i</w:t>
      </w:r>
      <w:r w:rsidR="007B30EF">
        <w:t xml:space="preserve">r </w:t>
      </w:r>
      <w:r w:rsidR="007943C8">
        <w:t xml:space="preserve">d’habitude </w:t>
      </w:r>
      <w:r w:rsidR="007B30EF">
        <w:t xml:space="preserve">dans des laboratoires de production de substances illicites et </w:t>
      </w:r>
      <w:r w:rsidR="007943C8">
        <w:t>justement</w:t>
      </w:r>
      <w:r w:rsidR="00E508BE">
        <w:t xml:space="preserve">, </w:t>
      </w:r>
      <w:r w:rsidR="007B30EF">
        <w:t>dans ce dernier cas</w:t>
      </w:r>
      <w:r w:rsidR="004B1BBA">
        <w:t>,</w:t>
      </w:r>
      <w:r w:rsidR="007B30EF">
        <w:t xml:space="preserve"> la fourchette</w:t>
      </w:r>
      <w:r w:rsidR="00E508BE">
        <w:t xml:space="preserve"> </w:t>
      </w:r>
      <w:r w:rsidR="007B30EF">
        <w:t>de la peine est plus importante</w:t>
      </w:r>
      <w:r w:rsidR="00FD7A60">
        <w:t xml:space="preserve"> que les trois ans suggérés</w:t>
      </w:r>
      <w:r w:rsidR="00E508BE">
        <w:t xml:space="preserve"> dans ce dossier</w:t>
      </w:r>
      <w:r w:rsidR="00F9240A">
        <w:t>.</w:t>
      </w:r>
    </w:p>
    <w:p w14:paraId="71C31BA7" w14:textId="148C0E64" w:rsidR="002F2805" w:rsidRDefault="00E508BE" w:rsidP="00FD7A60">
      <w:pPr>
        <w:pStyle w:val="Paragraphe"/>
        <w:tabs>
          <w:tab w:val="clear" w:pos="360"/>
          <w:tab w:val="num" w:pos="0"/>
        </w:tabs>
        <w:spacing w:line="240" w:lineRule="auto"/>
      </w:pPr>
      <w:r>
        <w:t>Il précise que</w:t>
      </w:r>
      <w:r w:rsidR="00FD7A60">
        <w:t xml:space="preserve"> </w:t>
      </w:r>
      <w:r>
        <w:t>d</w:t>
      </w:r>
      <w:r w:rsidR="008C4988">
        <w:t>ans la suggestion d</w:t>
      </w:r>
      <w:r>
        <w:t>e la</w:t>
      </w:r>
      <w:r w:rsidR="008C4988">
        <w:t xml:space="preserve"> peine de </w:t>
      </w:r>
      <w:r w:rsidR="002F2805">
        <w:t>trois ans faite</w:t>
      </w:r>
      <w:r w:rsidR="008C4988">
        <w:t xml:space="preserve"> par l</w:t>
      </w:r>
      <w:r w:rsidR="00FD7A60">
        <w:t>e</w:t>
      </w:r>
      <w:r w:rsidR="008C4988">
        <w:t xml:space="preserve"> poursui</w:t>
      </w:r>
      <w:r w:rsidR="00FD7A60">
        <w:t xml:space="preserve">vant, ce dernier </w:t>
      </w:r>
      <w:r w:rsidR="008C4988">
        <w:t xml:space="preserve">tient compte </w:t>
      </w:r>
      <w:r w:rsidR="002F2805">
        <w:t>de la réhabilitation de l’accusé et de la gravité objective de l’infraction.</w:t>
      </w:r>
    </w:p>
    <w:p w14:paraId="4A831F63" w14:textId="13E9E119" w:rsidR="002D2CB8" w:rsidRDefault="002F2805" w:rsidP="00E71A8D">
      <w:pPr>
        <w:pStyle w:val="Paragraphe"/>
        <w:tabs>
          <w:tab w:val="clear" w:pos="360"/>
          <w:tab w:val="num" w:pos="0"/>
        </w:tabs>
        <w:spacing w:line="240" w:lineRule="auto"/>
      </w:pPr>
      <w:r>
        <w:t>Au niveau des facteurs aggravants, l</w:t>
      </w:r>
      <w:r w:rsidR="00E71A8D">
        <w:t>e</w:t>
      </w:r>
      <w:r>
        <w:t xml:space="preserve"> poursui</w:t>
      </w:r>
      <w:r w:rsidR="00E71A8D">
        <w:t>vant</w:t>
      </w:r>
      <w:r>
        <w:t xml:space="preserve"> cite la nature et la quantité des stupéfiants saisi</w:t>
      </w:r>
      <w:r w:rsidR="00E71A8D">
        <w:t>s, m</w:t>
      </w:r>
      <w:r w:rsidR="00D729E5">
        <w:t>ais au niveau des facteurs atténuants</w:t>
      </w:r>
      <w:r w:rsidR="005E5EA6">
        <w:t xml:space="preserve"> </w:t>
      </w:r>
      <w:r w:rsidR="007B5303">
        <w:t>on retrouve</w:t>
      </w:r>
      <w:r w:rsidR="00B54491">
        <w:t xml:space="preserve"> le plaidoyer de culpabilité</w:t>
      </w:r>
      <w:r w:rsidR="00FD51FD">
        <w:t xml:space="preserve"> formul</w:t>
      </w:r>
      <w:r w:rsidR="00B54491">
        <w:t>é par l’accusé</w:t>
      </w:r>
      <w:r w:rsidR="00DF3CA4">
        <w:t xml:space="preserve"> et le fait</w:t>
      </w:r>
      <w:r w:rsidR="002D2CB8">
        <w:t xml:space="preserve"> que trois des coaccusés dans ce dossier, qui ont joué un rôle plus important que </w:t>
      </w:r>
      <w:r w:rsidR="005E5EA6">
        <w:t>lui</w:t>
      </w:r>
      <w:r w:rsidR="002D2CB8">
        <w:t xml:space="preserve"> dans le trafic de stupéfiants</w:t>
      </w:r>
      <w:r w:rsidR="005E5EA6">
        <w:t>,</w:t>
      </w:r>
      <w:r w:rsidR="002D2CB8">
        <w:t xml:space="preserve"> ont reçu les peines suivantes</w:t>
      </w:r>
      <w:r w:rsidR="00313799">
        <w:t>, p</w:t>
      </w:r>
      <w:r w:rsidR="002D2CB8">
        <w:t xml:space="preserve">ar exemple </w:t>
      </w:r>
      <w:r w:rsidR="00B54491">
        <w:t xml:space="preserve">une peine de </w:t>
      </w:r>
      <w:r w:rsidR="00DF3CA4">
        <w:t>45 mois</w:t>
      </w:r>
      <w:r w:rsidR="00B54491">
        <w:t xml:space="preserve"> d’emprisonnement a </w:t>
      </w:r>
      <w:r w:rsidR="00DF3CA4">
        <w:t>été imposé</w:t>
      </w:r>
      <w:r w:rsidR="00B54491">
        <w:t>e</w:t>
      </w:r>
      <w:r w:rsidR="00DF3CA4">
        <w:t xml:space="preserve"> à Monsieur Lukens</w:t>
      </w:r>
      <w:r w:rsidR="00FD51FD">
        <w:t xml:space="preserve"> michel</w:t>
      </w:r>
      <w:r w:rsidR="00847381">
        <w:t xml:space="preserve"> qui était membre</w:t>
      </w:r>
      <w:r w:rsidR="00796785">
        <w:t xml:space="preserve"> du groupe criminalisé</w:t>
      </w:r>
      <w:r w:rsidR="007E3635">
        <w:t xml:space="preserve"> </w:t>
      </w:r>
      <w:r w:rsidR="00FD51FD">
        <w:t>l</w:t>
      </w:r>
      <w:r w:rsidR="00847381">
        <w:t>es Min</w:t>
      </w:r>
      <w:r w:rsidR="00796785">
        <w:t>o</w:t>
      </w:r>
      <w:r w:rsidR="00847381">
        <w:t>t</w:t>
      </w:r>
      <w:r w:rsidR="00796785">
        <w:t>au</w:t>
      </w:r>
      <w:r w:rsidR="00847381">
        <w:t>r</w:t>
      </w:r>
      <w:r w:rsidR="00FD51FD">
        <w:t>e</w:t>
      </w:r>
      <w:r w:rsidR="00847381">
        <w:t>s et ayant des antécédents judiciaires.</w:t>
      </w:r>
      <w:r w:rsidR="00C5202D">
        <w:t xml:space="preserve"> </w:t>
      </w:r>
      <w:r w:rsidR="00B70DA2">
        <w:t>Monsieur Mompoint de son côté a reçu une sentence de 30 mois</w:t>
      </w:r>
      <w:r w:rsidR="002D2CB8">
        <w:t xml:space="preserve"> et</w:t>
      </w:r>
      <w:r w:rsidR="00D124D9">
        <w:t xml:space="preserve"> Monsieur M</w:t>
      </w:r>
      <w:r w:rsidR="008B1724">
        <w:t>ichel P</w:t>
      </w:r>
      <w:r w:rsidR="00D124D9">
        <w:t>etit a reçu une sentence de 21 mois.</w:t>
      </w:r>
      <w:r w:rsidR="00B70DA2">
        <w:t xml:space="preserve"> </w:t>
      </w:r>
    </w:p>
    <w:p w14:paraId="2EBAAE0A" w14:textId="4AE58C02" w:rsidR="007554BB" w:rsidRDefault="002D2CB8" w:rsidP="00E754CD">
      <w:pPr>
        <w:pStyle w:val="Paragraphe"/>
        <w:tabs>
          <w:tab w:val="clear" w:pos="360"/>
          <w:tab w:val="num" w:pos="0"/>
        </w:tabs>
        <w:spacing w:line="240" w:lineRule="auto"/>
      </w:pPr>
      <w:r>
        <w:t>L</w:t>
      </w:r>
      <w:r w:rsidR="007A0A2D">
        <w:t>e</w:t>
      </w:r>
      <w:r>
        <w:t xml:space="preserve"> poursui</w:t>
      </w:r>
      <w:r w:rsidR="007A0A2D">
        <w:t>vant</w:t>
      </w:r>
      <w:r>
        <w:t xml:space="preserve"> fait appel</w:t>
      </w:r>
      <w:r w:rsidR="00C50158">
        <w:t>,</w:t>
      </w:r>
      <w:r>
        <w:t xml:space="preserve"> sur ce point</w:t>
      </w:r>
      <w:r w:rsidR="00C50158">
        <w:t>,</w:t>
      </w:r>
      <w:r>
        <w:t xml:space="preserve"> </w:t>
      </w:r>
      <w:r w:rsidR="00637262">
        <w:t>au principe de l’harmonisation des peines</w:t>
      </w:r>
      <w:r w:rsidR="00E754CD">
        <w:t xml:space="preserve"> et illustre sa position par des décisions judiciaires</w:t>
      </w:r>
      <w:r w:rsidR="00D91482">
        <w:t>,</w:t>
      </w:r>
      <w:r w:rsidR="00E754CD">
        <w:t xml:space="preserve"> </w:t>
      </w:r>
      <w:r w:rsidR="002B3C21">
        <w:t>sur les</w:t>
      </w:r>
      <w:r w:rsidR="00E754CD">
        <w:t>que</w:t>
      </w:r>
      <w:r w:rsidR="002B3C21">
        <w:t>lles</w:t>
      </w:r>
      <w:r w:rsidR="00E754CD">
        <w:t xml:space="preserve"> le Tribunal</w:t>
      </w:r>
      <w:r w:rsidR="002B3C21">
        <w:t xml:space="preserve"> s’attardera</w:t>
      </w:r>
      <w:r w:rsidR="00E754CD">
        <w:t xml:space="preserve"> dans un chapitre ultérieur</w:t>
      </w:r>
      <w:r w:rsidR="00F4074B">
        <w:t xml:space="preserve">, </w:t>
      </w:r>
      <w:r w:rsidR="00E754CD">
        <w:t>dans l</w:t>
      </w:r>
      <w:r w:rsidR="00C50158">
        <w:t>a section consacrée à</w:t>
      </w:r>
      <w:r w:rsidR="00E754CD">
        <w:t xml:space="preserve"> la jurisprudence soumise par l</w:t>
      </w:r>
      <w:r w:rsidR="008D2495">
        <w:t>e</w:t>
      </w:r>
      <w:r w:rsidR="00E754CD">
        <w:t xml:space="preserve"> poursui</w:t>
      </w:r>
      <w:r w:rsidR="008D2495">
        <w:t>vant</w:t>
      </w:r>
      <w:r w:rsidR="00E754CD">
        <w:t>.</w:t>
      </w:r>
    </w:p>
    <w:p w14:paraId="2CF2C61B" w14:textId="67D31F35" w:rsidR="00C1511B" w:rsidRDefault="007554BB" w:rsidP="00E754CD">
      <w:pPr>
        <w:pStyle w:val="Paragraphe"/>
        <w:tabs>
          <w:tab w:val="clear" w:pos="360"/>
          <w:tab w:val="num" w:pos="0"/>
        </w:tabs>
        <w:spacing w:line="240" w:lineRule="auto"/>
      </w:pPr>
      <w:r>
        <w:t>Relativement au rapport présentenciel produit par l’agent</w:t>
      </w:r>
      <w:r w:rsidR="00C873F2">
        <w:t>e</w:t>
      </w:r>
      <w:r>
        <w:t xml:space="preserve"> de probation</w:t>
      </w:r>
      <w:r w:rsidR="001F3F12">
        <w:t>, même si l</w:t>
      </w:r>
      <w:r w:rsidR="00265185">
        <w:t>e</w:t>
      </w:r>
      <w:r w:rsidR="001F3F12">
        <w:t xml:space="preserve"> poursui</w:t>
      </w:r>
      <w:r w:rsidR="00265185">
        <w:t>vant</w:t>
      </w:r>
      <w:r w:rsidR="001F3F12">
        <w:t xml:space="preserve"> reconnaît que c’est un rapport positif dans son ensemble</w:t>
      </w:r>
      <w:r w:rsidR="00BB48F0">
        <w:t>,</w:t>
      </w:r>
      <w:r w:rsidR="001F3F12">
        <w:t xml:space="preserve"> néanmoins</w:t>
      </w:r>
      <w:r w:rsidR="00BB48F0">
        <w:t>,</w:t>
      </w:r>
      <w:r w:rsidR="00265185">
        <w:t xml:space="preserve"> il</w:t>
      </w:r>
      <w:r w:rsidR="001F3F12">
        <w:t xml:space="preserve"> soulève l’argument que ce dernier doit être tempéré</w:t>
      </w:r>
      <w:r w:rsidR="00C1511B">
        <w:t>,</w:t>
      </w:r>
      <w:r w:rsidR="001F6DC0">
        <w:t xml:space="preserve"> puisque l’accusé lui-même</w:t>
      </w:r>
      <w:r w:rsidR="00D54DFC">
        <w:t xml:space="preserve"> reconnaît dans la trame factuelle qu’il </w:t>
      </w:r>
      <w:r w:rsidR="00C50158">
        <w:t xml:space="preserve">utilisait des procédés sophistiqués, comme par exemple louer des entrepôts au nom de tierces personnes, </w:t>
      </w:r>
      <w:r w:rsidR="00D54DFC">
        <w:t>communique</w:t>
      </w:r>
      <w:r w:rsidR="00C50158">
        <w:t>r</w:t>
      </w:r>
      <w:r w:rsidR="00D54DFC">
        <w:t xml:space="preserve"> avec PGP avec les autres coaccusés membres du groupe criminalisé</w:t>
      </w:r>
      <w:r w:rsidR="00C50158">
        <w:t>.</w:t>
      </w:r>
      <w:r w:rsidR="001F6DC0">
        <w:t xml:space="preserve"> </w:t>
      </w:r>
    </w:p>
    <w:p w14:paraId="7605D2DE" w14:textId="128250B9" w:rsidR="00E42A80" w:rsidRPr="00E42A80" w:rsidRDefault="00C1511B" w:rsidP="00E754CD">
      <w:pPr>
        <w:pStyle w:val="Paragraphe"/>
        <w:tabs>
          <w:tab w:val="clear" w:pos="360"/>
          <w:tab w:val="num" w:pos="0"/>
        </w:tabs>
        <w:spacing w:line="240" w:lineRule="auto"/>
      </w:pPr>
      <w:r>
        <w:t>L</w:t>
      </w:r>
      <w:r w:rsidR="00CE1906">
        <w:t>e</w:t>
      </w:r>
      <w:r>
        <w:t xml:space="preserve"> poursui</w:t>
      </w:r>
      <w:r w:rsidR="00CE1906">
        <w:t>vant</w:t>
      </w:r>
      <w:r>
        <w:t xml:space="preserve"> insiste, également, sur le fait que c’est l’accusé qui était en possession effective des stupéfiants, stockés dans son entrepô</w:t>
      </w:r>
      <w:r w:rsidR="00EC0709">
        <w:t>t sous la couverture de noms de tierces personnes, ce qui démontre une planification, une sophistication et une préméditation certaines</w:t>
      </w:r>
      <w:r w:rsidR="00CE1906">
        <w:t xml:space="preserve"> dans la commission des crimes reprochés</w:t>
      </w:r>
      <w:r w:rsidR="00EC0709">
        <w:t xml:space="preserve">. </w:t>
      </w:r>
      <w:r w:rsidR="001F3F12">
        <w:t xml:space="preserve">  </w:t>
      </w:r>
      <w:r w:rsidR="007B30EF">
        <w:t xml:space="preserve"> </w:t>
      </w:r>
      <w:r w:rsidR="00E42A80">
        <w:t xml:space="preserve"> </w:t>
      </w:r>
    </w:p>
    <w:p w14:paraId="102F05ED" w14:textId="3E5260D4" w:rsidR="00FC742D" w:rsidRDefault="00FC742D" w:rsidP="004B50AF">
      <w:pPr>
        <w:pStyle w:val="Paragraphe"/>
        <w:tabs>
          <w:tab w:val="clear" w:pos="360"/>
          <w:tab w:val="num" w:pos="0"/>
        </w:tabs>
        <w:spacing w:line="240" w:lineRule="auto"/>
      </w:pPr>
      <w:r>
        <w:t>Par ailleurs,</w:t>
      </w:r>
      <w:r w:rsidR="00C026A5">
        <w:t xml:space="preserve"> le</w:t>
      </w:r>
      <w:r>
        <w:t xml:space="preserve"> rapport présentenciel concernant l'accusé a </w:t>
      </w:r>
      <w:r w:rsidR="008E238E">
        <w:t>été</w:t>
      </w:r>
      <w:r>
        <w:t xml:space="preserve"> produit au dossier de la Cour le 1</w:t>
      </w:r>
      <w:r w:rsidRPr="00FC742D">
        <w:rPr>
          <w:vertAlign w:val="superscript"/>
        </w:rPr>
        <w:t>er</w:t>
      </w:r>
      <w:r>
        <w:t xml:space="preserve"> mars 2022</w:t>
      </w:r>
      <w:r w:rsidR="00EE01BA">
        <w:t>,</w:t>
      </w:r>
      <w:r>
        <w:t xml:space="preserve"> </w:t>
      </w:r>
      <w:r w:rsidR="008E238E">
        <w:t xml:space="preserve">par </w:t>
      </w:r>
      <w:r w:rsidR="00EE01BA">
        <w:t>M</w:t>
      </w:r>
      <w:r w:rsidR="008E238E">
        <w:t>adame Marie-</w:t>
      </w:r>
      <w:r w:rsidR="00EE01BA">
        <w:t>Philippe</w:t>
      </w:r>
      <w:r w:rsidR="008E238E">
        <w:t xml:space="preserve"> Trempe</w:t>
      </w:r>
      <w:r w:rsidR="00EE01BA">
        <w:t>. Dans</w:t>
      </w:r>
      <w:r w:rsidR="00AD7F24">
        <w:t xml:space="preserve"> ledit</w:t>
      </w:r>
      <w:r w:rsidR="00EE01BA">
        <w:t xml:space="preserve"> rapport</w:t>
      </w:r>
      <w:r w:rsidR="00AD7F24">
        <w:t xml:space="preserve">, </w:t>
      </w:r>
      <w:r w:rsidR="00EE01BA">
        <w:t>l'agente de probation a décrit la nature de</w:t>
      </w:r>
      <w:r w:rsidR="003F75F2">
        <w:t>s</w:t>
      </w:r>
      <w:r w:rsidR="00EE01BA">
        <w:t xml:space="preserve"> traitements</w:t>
      </w:r>
      <w:r w:rsidR="00AD7F24">
        <w:t xml:space="preserve"> subis par l'accusé, </w:t>
      </w:r>
      <w:r w:rsidR="00DF35ED">
        <w:t xml:space="preserve">elle </w:t>
      </w:r>
      <w:r w:rsidR="00AD7F24">
        <w:t>a</w:t>
      </w:r>
      <w:r w:rsidR="00F95A3A">
        <w:t>,</w:t>
      </w:r>
      <w:r w:rsidR="00AD7F24">
        <w:t xml:space="preserve"> également</w:t>
      </w:r>
      <w:r w:rsidR="00F95A3A">
        <w:t>,</w:t>
      </w:r>
      <w:r w:rsidR="00AD7F24">
        <w:t xml:space="preserve"> effectué une analyse de la situation délictuelle et à la fin du rapport</w:t>
      </w:r>
      <w:r w:rsidR="00DF35ED">
        <w:t xml:space="preserve"> elle a </w:t>
      </w:r>
      <w:r w:rsidR="00AD7F24">
        <w:t>présenté une évaluation</w:t>
      </w:r>
      <w:r w:rsidR="0011758A">
        <w:t xml:space="preserve"> </w:t>
      </w:r>
      <w:r w:rsidR="00AD7F24">
        <w:t>ainsi que des recommandations</w:t>
      </w:r>
      <w:r w:rsidR="00E905A7">
        <w:t xml:space="preserve"> concernant le</w:t>
      </w:r>
      <w:r w:rsidR="00AD7F24">
        <w:t xml:space="preserve"> cas de l'accusé. </w:t>
      </w:r>
      <w:r w:rsidR="00EE01BA">
        <w:t xml:space="preserve">  </w:t>
      </w:r>
      <w:r w:rsidR="008E238E">
        <w:t xml:space="preserve"> </w:t>
      </w:r>
      <w:r>
        <w:t xml:space="preserve"> </w:t>
      </w:r>
    </w:p>
    <w:p w14:paraId="2BAE2335" w14:textId="77777777" w:rsidR="00C47C1E" w:rsidRDefault="00F1201A" w:rsidP="00F4036B">
      <w:pPr>
        <w:pStyle w:val="Titre1"/>
      </w:pPr>
      <w:r>
        <w:t>LA PREUVE</w:t>
      </w:r>
    </w:p>
    <w:p w14:paraId="135C89C6" w14:textId="29715BF1" w:rsidR="00A21331" w:rsidRDefault="007E37EE" w:rsidP="004535C0">
      <w:pPr>
        <w:pStyle w:val="Titre2"/>
      </w:pPr>
      <w:r>
        <w:t>Le témoignage de l'</w:t>
      </w:r>
      <w:r w:rsidR="00E24D57">
        <w:t>a</w:t>
      </w:r>
      <w:r>
        <w:t>ccusé</w:t>
      </w:r>
    </w:p>
    <w:p w14:paraId="6784627E" w14:textId="71D23F83" w:rsidR="00D61DCD" w:rsidRDefault="0088388A" w:rsidP="00FA6DD5">
      <w:pPr>
        <w:pStyle w:val="Paragraphe"/>
        <w:tabs>
          <w:tab w:val="clear" w:pos="360"/>
          <w:tab w:val="num" w:pos="0"/>
        </w:tabs>
        <w:spacing w:line="240" w:lineRule="auto"/>
      </w:pPr>
      <w:r>
        <w:t>À</w:t>
      </w:r>
      <w:r w:rsidR="00E24D57">
        <w:t xml:space="preserve"> l'audience du 12 septembre 2022, l'accusé a témoigné devant le Tribunal</w:t>
      </w:r>
      <w:r w:rsidR="00FC2A1B">
        <w:t xml:space="preserve"> à propos du </w:t>
      </w:r>
      <w:r w:rsidR="00E24D57">
        <w:t>commencement de sa consommation</w:t>
      </w:r>
      <w:r w:rsidR="005C42E4">
        <w:t xml:space="preserve"> des stupéfiants</w:t>
      </w:r>
      <w:r w:rsidR="00FC2A1B">
        <w:t xml:space="preserve"> dès</w:t>
      </w:r>
      <w:r w:rsidR="00E24D57">
        <w:t xml:space="preserve"> son adolescence</w:t>
      </w:r>
      <w:r w:rsidR="00980D9B">
        <w:t>,</w:t>
      </w:r>
      <w:r w:rsidR="00415FF9" w:rsidRPr="00415FF9">
        <w:t xml:space="preserve"> </w:t>
      </w:r>
      <w:r w:rsidR="00415FF9">
        <w:t>à cause de ses mauvaises fréquentations</w:t>
      </w:r>
      <w:r w:rsidR="00980D9B">
        <w:t>. I</w:t>
      </w:r>
      <w:r w:rsidR="00415FF9">
        <w:t>l a commencé par</w:t>
      </w:r>
      <w:r w:rsidR="00E24D57">
        <w:t xml:space="preserve"> des drogues douces avant de </w:t>
      </w:r>
      <w:r w:rsidR="005C42E4">
        <w:t>passer à</w:t>
      </w:r>
      <w:r w:rsidR="00E24D57">
        <w:t xml:space="preserve"> de</w:t>
      </w:r>
      <w:r w:rsidR="00FA6DD5">
        <w:t>s</w:t>
      </w:r>
      <w:r w:rsidR="00E24D57">
        <w:t xml:space="preserve"> drogues d</w:t>
      </w:r>
      <w:r w:rsidR="00FA6DD5">
        <w:t>ur</w:t>
      </w:r>
      <w:r w:rsidR="00E24D57">
        <w:t>es</w:t>
      </w:r>
      <w:r w:rsidR="00980D9B">
        <w:t xml:space="preserve"> et i</w:t>
      </w:r>
      <w:r w:rsidR="00C038E1">
        <w:t>l</w:t>
      </w:r>
      <w:r w:rsidR="00D61DCD">
        <w:t xml:space="preserve"> déclare avoir</w:t>
      </w:r>
      <w:r w:rsidR="00C038E1">
        <w:t xml:space="preserve"> fait une thérapie à l'âge de 18 ans</w:t>
      </w:r>
      <w:r w:rsidR="00AB315B">
        <w:t>.</w:t>
      </w:r>
      <w:r w:rsidR="00C038E1">
        <w:t xml:space="preserve"> </w:t>
      </w:r>
    </w:p>
    <w:p w14:paraId="36609143" w14:textId="77777777" w:rsidR="00F93D30" w:rsidRDefault="00AB315B" w:rsidP="00FA6DD5">
      <w:pPr>
        <w:pStyle w:val="Paragraphe"/>
        <w:tabs>
          <w:tab w:val="clear" w:pos="360"/>
          <w:tab w:val="num" w:pos="0"/>
        </w:tabs>
        <w:spacing w:line="240" w:lineRule="auto"/>
      </w:pPr>
      <w:r>
        <w:t xml:space="preserve">Il </w:t>
      </w:r>
      <w:r w:rsidR="001014B3">
        <w:t>avoue</w:t>
      </w:r>
      <w:r w:rsidR="00D9401D">
        <w:t xml:space="preserve"> </w:t>
      </w:r>
      <w:r w:rsidR="005D6596">
        <w:t xml:space="preserve">devant le Tribunal </w:t>
      </w:r>
      <w:r w:rsidR="00D9401D">
        <w:t>les faits allégués dans la trame factuelle signée par lu</w:t>
      </w:r>
      <w:r w:rsidR="005F157B">
        <w:t xml:space="preserve">i et </w:t>
      </w:r>
      <w:r w:rsidR="00D9401D">
        <w:t>sa défense</w:t>
      </w:r>
      <w:r w:rsidR="005F157B">
        <w:t xml:space="preserve">. Cette trame qui a été </w:t>
      </w:r>
      <w:r w:rsidR="00D9401D">
        <w:t>produite dans le dossier de la Cour</w:t>
      </w:r>
      <w:r w:rsidR="00CC7B9A">
        <w:t>,</w:t>
      </w:r>
      <w:r w:rsidR="00F93D30">
        <w:t xml:space="preserve"> </w:t>
      </w:r>
      <w:r w:rsidR="005F157B">
        <w:t xml:space="preserve">l’accusé y </w:t>
      </w:r>
      <w:r>
        <w:t>exprime sa honte par rapport à sa culpabilité</w:t>
      </w:r>
      <w:r w:rsidR="00F93D30">
        <w:t xml:space="preserve"> et son implication</w:t>
      </w:r>
      <w:r>
        <w:t xml:space="preserve"> </w:t>
      </w:r>
      <w:r w:rsidR="00CC7B9A">
        <w:t>dans le</w:t>
      </w:r>
      <w:r>
        <w:t xml:space="preserve"> trafic de</w:t>
      </w:r>
      <w:r w:rsidR="00CC7B9A">
        <w:t>s stupéfiants</w:t>
      </w:r>
      <w:r w:rsidR="001B2F72">
        <w:t xml:space="preserve"> </w:t>
      </w:r>
    </w:p>
    <w:p w14:paraId="3D8E0FFB" w14:textId="502D57B1" w:rsidR="001B2F72" w:rsidRDefault="00F93D30" w:rsidP="00FA6DD5">
      <w:pPr>
        <w:pStyle w:val="Paragraphe"/>
        <w:tabs>
          <w:tab w:val="clear" w:pos="360"/>
          <w:tab w:val="num" w:pos="0"/>
        </w:tabs>
        <w:spacing w:line="240" w:lineRule="auto"/>
      </w:pPr>
      <w:r>
        <w:t>L’accusé</w:t>
      </w:r>
      <w:r w:rsidR="00693953">
        <w:t xml:space="preserve"> dit être conscient de</w:t>
      </w:r>
      <w:r w:rsidR="001014B3">
        <w:t xml:space="preserve"> </w:t>
      </w:r>
      <w:r w:rsidR="001B2F72">
        <w:t>la gravité de</w:t>
      </w:r>
      <w:r w:rsidR="0006783D">
        <w:t xml:space="preserve">s </w:t>
      </w:r>
      <w:r w:rsidR="001B2F72">
        <w:t>gestes,</w:t>
      </w:r>
      <w:r w:rsidR="00AB315B">
        <w:t xml:space="preserve"> vu</w:t>
      </w:r>
      <w:r w:rsidR="001B2F72">
        <w:t xml:space="preserve"> l'impact et</w:t>
      </w:r>
      <w:r w:rsidR="00AB315B">
        <w:t xml:space="preserve"> l'effet néfaste des crimes commis</w:t>
      </w:r>
      <w:r w:rsidR="001B2F72">
        <w:t xml:space="preserve"> </w:t>
      </w:r>
      <w:r w:rsidR="00A57C64">
        <w:t xml:space="preserve">par lui, </w:t>
      </w:r>
      <w:r w:rsidR="00AB315B">
        <w:t>sur l</w:t>
      </w:r>
      <w:r w:rsidR="00A57C64">
        <w:t>a</w:t>
      </w:r>
      <w:r w:rsidR="00AB315B">
        <w:t xml:space="preserve"> vie d</w:t>
      </w:r>
      <w:r w:rsidR="00A57C64">
        <w:t>es</w:t>
      </w:r>
      <w:r w:rsidR="00AB315B">
        <w:t xml:space="preserve"> personnes</w:t>
      </w:r>
      <w:r w:rsidR="001B2F72">
        <w:t xml:space="preserve"> qui consomment ces substances </w:t>
      </w:r>
      <w:r w:rsidR="00E567E3">
        <w:t>intoxicantes et les répercussions désastreuses sur la société.</w:t>
      </w:r>
    </w:p>
    <w:p w14:paraId="77E6AC67" w14:textId="714CAA6C" w:rsidR="004F3464" w:rsidRDefault="00AB315B" w:rsidP="00FA6DD5">
      <w:pPr>
        <w:pStyle w:val="Paragraphe"/>
        <w:tabs>
          <w:tab w:val="clear" w:pos="360"/>
          <w:tab w:val="num" w:pos="0"/>
        </w:tabs>
        <w:spacing w:line="240" w:lineRule="auto"/>
      </w:pPr>
      <w:r>
        <w:t xml:space="preserve"> </w:t>
      </w:r>
      <w:r w:rsidR="004F3464">
        <w:t>L'accusé affirme devant l</w:t>
      </w:r>
      <w:r w:rsidR="00BC147F">
        <w:t>e Tribunal</w:t>
      </w:r>
      <w:r w:rsidR="004F3464">
        <w:t xml:space="preserve"> qu'il a coupé tout contact avec ses anciennes connaissances du </w:t>
      </w:r>
      <w:r w:rsidR="00BD33E3">
        <w:t>milieu</w:t>
      </w:r>
      <w:r w:rsidR="00F12CD7">
        <w:t xml:space="preserve"> </w:t>
      </w:r>
      <w:r w:rsidR="004F3464">
        <w:t>crim</w:t>
      </w:r>
      <w:r w:rsidR="00F12CD7">
        <w:t>inalisé</w:t>
      </w:r>
      <w:r w:rsidR="004F3464">
        <w:t>,</w:t>
      </w:r>
      <w:r w:rsidR="004D5C6D">
        <w:t xml:space="preserve"> </w:t>
      </w:r>
      <w:r w:rsidR="004F3464">
        <w:t>qu'il a arrêté de consommer</w:t>
      </w:r>
      <w:r w:rsidR="00F12CD7">
        <w:t xml:space="preserve"> les produits stupéfiants</w:t>
      </w:r>
      <w:r w:rsidR="001A2AFE">
        <w:t>, qu’il</w:t>
      </w:r>
      <w:r w:rsidR="00165E25">
        <w:t xml:space="preserve"> s'est rapproché plus de sa famille qui le soutient fortement</w:t>
      </w:r>
      <w:r w:rsidR="000368E1">
        <w:t xml:space="preserve"> et qu'il</w:t>
      </w:r>
      <w:r w:rsidR="00F12CD7">
        <w:t xml:space="preserve"> continue de </w:t>
      </w:r>
      <w:r w:rsidR="000368E1">
        <w:t>respect</w:t>
      </w:r>
      <w:r w:rsidR="00F12CD7">
        <w:t xml:space="preserve">er </w:t>
      </w:r>
      <w:r w:rsidR="000368E1">
        <w:t xml:space="preserve">scrupuleusement toutes les conditions de </w:t>
      </w:r>
      <w:r w:rsidR="004D5C6D">
        <w:t>libération</w:t>
      </w:r>
      <w:r w:rsidR="000368E1">
        <w:t xml:space="preserve"> depuis sa mise en lib</w:t>
      </w:r>
      <w:r w:rsidR="002C3FD5">
        <w:t>é</w:t>
      </w:r>
      <w:r w:rsidR="000368E1">
        <w:t>r</w:t>
      </w:r>
      <w:r w:rsidR="00F12CD7">
        <w:t>ation</w:t>
      </w:r>
      <w:r w:rsidR="000368E1">
        <w:t xml:space="preserve"> en septembre 2019. </w:t>
      </w:r>
      <w:r w:rsidR="00FC2A1B">
        <w:t xml:space="preserve"> </w:t>
      </w:r>
    </w:p>
    <w:p w14:paraId="6E0BF38B" w14:textId="12F0E0AE" w:rsidR="004D5C6D" w:rsidRDefault="00165E25" w:rsidP="00FA6DD5">
      <w:pPr>
        <w:pStyle w:val="Paragraphe"/>
        <w:tabs>
          <w:tab w:val="clear" w:pos="360"/>
          <w:tab w:val="num" w:pos="0"/>
        </w:tabs>
        <w:spacing w:line="240" w:lineRule="auto"/>
      </w:pPr>
      <w:r>
        <w:t>Il</w:t>
      </w:r>
      <w:r w:rsidR="002C3FD5">
        <w:t xml:space="preserve"> confie</w:t>
      </w:r>
      <w:r w:rsidR="004D5C6D">
        <w:t xml:space="preserve"> qu'il a changé son mode </w:t>
      </w:r>
      <w:r w:rsidR="00C95927">
        <w:t xml:space="preserve">de </w:t>
      </w:r>
      <w:r w:rsidR="004D5C6D">
        <w:t>vie pour un mode de vie plus sain</w:t>
      </w:r>
      <w:r w:rsidR="002C3FD5">
        <w:t>,</w:t>
      </w:r>
      <w:r w:rsidR="004D5C6D">
        <w:t xml:space="preserve"> depuis son arrestation</w:t>
      </w:r>
      <w:r w:rsidR="00A1203A">
        <w:t xml:space="preserve">. Il ajoute même que cette arrestation policière a été </w:t>
      </w:r>
      <w:r w:rsidR="004D5C6D">
        <w:t xml:space="preserve">un </w:t>
      </w:r>
      <w:r w:rsidR="00A1203A">
        <w:t xml:space="preserve">véritable </w:t>
      </w:r>
      <w:r w:rsidR="004D5C6D">
        <w:t>déclenche</w:t>
      </w:r>
      <w:r w:rsidR="00A1203A">
        <w:t>u</w:t>
      </w:r>
      <w:r w:rsidR="004D5C6D">
        <w:t xml:space="preserve">r pour une mise en question </w:t>
      </w:r>
      <w:r w:rsidR="00A1203A">
        <w:t>existentielle, qui lui a permis de</w:t>
      </w:r>
      <w:r w:rsidR="004D5C6D">
        <w:t xml:space="preserve"> reprendre sa vie en main</w:t>
      </w:r>
      <w:r w:rsidR="00095489">
        <w:t xml:space="preserve"> et changer complétement</w:t>
      </w:r>
      <w:r w:rsidR="002C3FD5">
        <w:t xml:space="preserve"> </w:t>
      </w:r>
      <w:r w:rsidR="003D3A72">
        <w:t>sa trajectoire</w:t>
      </w:r>
      <w:r w:rsidR="002C3FD5">
        <w:t xml:space="preserve"> de vie</w:t>
      </w:r>
      <w:r w:rsidR="00EA19C5">
        <w:t>.</w:t>
      </w:r>
    </w:p>
    <w:p w14:paraId="7CE10171" w14:textId="0EDBD735" w:rsidR="00E24D57" w:rsidRDefault="00A7709D" w:rsidP="00A7709D">
      <w:pPr>
        <w:pStyle w:val="Paragraphe"/>
        <w:spacing w:line="240" w:lineRule="auto"/>
      </w:pPr>
      <w:r>
        <w:t xml:space="preserve">Il </w:t>
      </w:r>
      <w:r w:rsidR="00A11ACB">
        <w:t>témoigne</w:t>
      </w:r>
      <w:r w:rsidR="00375A61">
        <w:t xml:space="preserve"> devant la </w:t>
      </w:r>
      <w:r w:rsidR="00835273">
        <w:t>C</w:t>
      </w:r>
      <w:r w:rsidR="00375A61">
        <w:t>our</w:t>
      </w:r>
      <w:r w:rsidR="00A11ACB">
        <w:t xml:space="preserve"> qu’il</w:t>
      </w:r>
      <w:r w:rsidR="007B46C3">
        <w:t xml:space="preserve"> a </w:t>
      </w:r>
      <w:r>
        <w:t>commencé à travailler dès l'âge de 10 ans. Que depuis 2018</w:t>
      </w:r>
      <w:r w:rsidR="00C9576F">
        <w:t>,</w:t>
      </w:r>
      <w:r>
        <w:t xml:space="preserve"> il s'occupe plus sérieusement de son entreprise qu'il</w:t>
      </w:r>
      <w:r w:rsidR="00152F40">
        <w:t xml:space="preserve"> </w:t>
      </w:r>
      <w:r>
        <w:t>avait délaissé durant sa période de consommation et de délinquance.</w:t>
      </w:r>
      <w:r w:rsidR="00C9576F">
        <w:t xml:space="preserve"> Il précise</w:t>
      </w:r>
      <w:r w:rsidR="003D3A72">
        <w:t xml:space="preserve">, </w:t>
      </w:r>
      <w:r w:rsidR="00C9576F">
        <w:t>qu'a</w:t>
      </w:r>
      <w:r>
        <w:t>ctuellement</w:t>
      </w:r>
      <w:r w:rsidR="003D3A72">
        <w:t>,</w:t>
      </w:r>
      <w:r>
        <w:t xml:space="preserve"> son entreprise a augmenté significativement de chiffre d'affaires</w:t>
      </w:r>
      <w:r w:rsidR="00BF1FCF">
        <w:t>, Qu’il</w:t>
      </w:r>
      <w:r w:rsidR="00C9576F">
        <w:t xml:space="preserve"> emploie 12 employés</w:t>
      </w:r>
      <w:r w:rsidR="00A00641">
        <w:t xml:space="preserve"> et qu'il a payé toutes ses amendes dues</w:t>
      </w:r>
      <w:r w:rsidR="00592B7F">
        <w:t>.</w:t>
      </w:r>
    </w:p>
    <w:p w14:paraId="3A329A0E" w14:textId="15B0C534" w:rsidR="00C038E1" w:rsidRDefault="0087713E" w:rsidP="00FA6DD5">
      <w:pPr>
        <w:pStyle w:val="Paragraphe"/>
        <w:tabs>
          <w:tab w:val="clear" w:pos="360"/>
          <w:tab w:val="num" w:pos="0"/>
        </w:tabs>
        <w:spacing w:line="240" w:lineRule="auto"/>
      </w:pPr>
      <w:r>
        <w:t>Il affirme</w:t>
      </w:r>
      <w:r w:rsidR="00592B7F">
        <w:t>,</w:t>
      </w:r>
      <w:r>
        <w:t xml:space="preserve"> d'autre part</w:t>
      </w:r>
      <w:r w:rsidR="00592B7F">
        <w:t>,</w:t>
      </w:r>
      <w:r>
        <w:t xml:space="preserve"> qu'il</w:t>
      </w:r>
      <w:r w:rsidR="008F18BD">
        <w:t xml:space="preserve"> est prêt à respecter les mêmes conditions </w:t>
      </w:r>
      <w:r w:rsidR="002451E8">
        <w:t xml:space="preserve">qui étaient déjà </w:t>
      </w:r>
      <w:r w:rsidR="008F18BD">
        <w:t>assorties à son ordonnance de</w:t>
      </w:r>
      <w:r w:rsidR="005E6963">
        <w:t xml:space="preserve"> </w:t>
      </w:r>
      <w:r w:rsidR="008F18BD">
        <w:t>mise en liberté</w:t>
      </w:r>
      <w:r w:rsidR="00DF224B">
        <w:t>,</w:t>
      </w:r>
      <w:r w:rsidR="00277C1F">
        <w:t xml:space="preserve"> si le Tribunal </w:t>
      </w:r>
      <w:r w:rsidR="00DF224B">
        <w:t xml:space="preserve">décide de </w:t>
      </w:r>
      <w:r w:rsidR="00277C1F">
        <w:t>lui inflige</w:t>
      </w:r>
      <w:r w:rsidR="00DF224B">
        <w:t>r</w:t>
      </w:r>
      <w:r w:rsidR="00277C1F">
        <w:t xml:space="preserve"> une </w:t>
      </w:r>
      <w:r w:rsidR="002451E8">
        <w:t>période de probation</w:t>
      </w:r>
      <w:r w:rsidR="00277C1F">
        <w:t xml:space="preserve"> dans le cadre du jugement à venir</w:t>
      </w:r>
      <w:r w:rsidR="002451E8">
        <w:t>.</w:t>
      </w:r>
      <w:r w:rsidR="00A00641">
        <w:t xml:space="preserve"> Notamment, concernant l'interdiction de tout contact ave</w:t>
      </w:r>
      <w:r w:rsidR="007B46C3">
        <w:t>c</w:t>
      </w:r>
      <w:r w:rsidR="00A00641">
        <w:t xml:space="preserve"> les membres du crime organisé, surtout qu'il dispose actuellement </w:t>
      </w:r>
      <w:r w:rsidR="00DF224B">
        <w:t xml:space="preserve">de l’aide et </w:t>
      </w:r>
      <w:r w:rsidR="00A00641">
        <w:t>du soutien de sa famille</w:t>
      </w:r>
      <w:r w:rsidR="00DF224B">
        <w:t>, pour ce faire</w:t>
      </w:r>
      <w:r w:rsidR="00A00641">
        <w:t>.</w:t>
      </w:r>
    </w:p>
    <w:p w14:paraId="15EACC4B" w14:textId="06871315" w:rsidR="002D5CA7" w:rsidRDefault="00A00641" w:rsidP="00FA6DD5">
      <w:pPr>
        <w:pStyle w:val="Paragraphe"/>
        <w:tabs>
          <w:tab w:val="clear" w:pos="360"/>
          <w:tab w:val="num" w:pos="0"/>
        </w:tabs>
        <w:spacing w:line="240" w:lineRule="auto"/>
      </w:pPr>
      <w:r>
        <w:t>En contre-interrogatoire,</w:t>
      </w:r>
      <w:r w:rsidR="00734332">
        <w:t xml:space="preserve"> </w:t>
      </w:r>
      <w:r>
        <w:t xml:space="preserve">l'accusé </w:t>
      </w:r>
      <w:r w:rsidR="00734332">
        <w:t xml:space="preserve">précise que les camions utilisés dans son entreprise de transport sont financés par des opérations </w:t>
      </w:r>
      <w:r w:rsidR="006E305E">
        <w:t xml:space="preserve">financières </w:t>
      </w:r>
      <w:r w:rsidR="00734332">
        <w:t xml:space="preserve">de </w:t>
      </w:r>
      <w:r w:rsidR="003E0643">
        <w:t>crédit-bail</w:t>
      </w:r>
      <w:r w:rsidR="00734332">
        <w:t>.</w:t>
      </w:r>
      <w:r w:rsidR="00406A22">
        <w:t xml:space="preserve"> </w:t>
      </w:r>
    </w:p>
    <w:p w14:paraId="5F6032E2" w14:textId="10E94DE7" w:rsidR="003E0643" w:rsidRDefault="00406A22" w:rsidP="00FA6DD5">
      <w:pPr>
        <w:pStyle w:val="Paragraphe"/>
        <w:tabs>
          <w:tab w:val="clear" w:pos="360"/>
          <w:tab w:val="num" w:pos="0"/>
        </w:tabs>
        <w:spacing w:line="240" w:lineRule="auto"/>
      </w:pPr>
      <w:r>
        <w:t>Concernant sa déclaration à l'agent</w:t>
      </w:r>
      <w:r w:rsidR="00C873F2">
        <w:t>e</w:t>
      </w:r>
      <w:r>
        <w:t xml:space="preserve"> de probation</w:t>
      </w:r>
      <w:r w:rsidR="00024379">
        <w:t>,</w:t>
      </w:r>
      <w:r>
        <w:t xml:space="preserve"> relativement à son aveuglement volontaire</w:t>
      </w:r>
      <w:r w:rsidR="003E0643">
        <w:t xml:space="preserve"> lorsqu'il a accepté d'entreposer des substances illicites, il dit s'être aperçu de la nature des produits entreposés</w:t>
      </w:r>
      <w:r w:rsidR="00024379">
        <w:t xml:space="preserve"> dans son entrepôt</w:t>
      </w:r>
      <w:r w:rsidR="003E0643">
        <w:t xml:space="preserve"> une semaine après l'avoir fait</w:t>
      </w:r>
      <w:r w:rsidR="009268B8">
        <w:t>,</w:t>
      </w:r>
      <w:r w:rsidR="003E0643">
        <w:t xml:space="preserve"> mais qu'il n'avait pas fait de profi</w:t>
      </w:r>
      <w:r w:rsidR="009268B8">
        <w:t>t durant cette période-là</w:t>
      </w:r>
      <w:r w:rsidR="00F92FA1">
        <w:t>,</w:t>
      </w:r>
      <w:r w:rsidR="00484500">
        <w:t xml:space="preserve"> même si c'est lui qui payait les coursiers</w:t>
      </w:r>
      <w:r w:rsidR="007016A6">
        <w:t>,</w:t>
      </w:r>
      <w:r w:rsidR="00484500">
        <w:t xml:space="preserve"> pour le compte des trafiquants de la drogue</w:t>
      </w:r>
      <w:r w:rsidR="003E0643">
        <w:t>.</w:t>
      </w:r>
    </w:p>
    <w:p w14:paraId="1F3F50E2" w14:textId="7BEF3FC4" w:rsidR="00406A22" w:rsidRDefault="003E0643" w:rsidP="00FA6DD5">
      <w:pPr>
        <w:pStyle w:val="Paragraphe"/>
        <w:tabs>
          <w:tab w:val="clear" w:pos="360"/>
          <w:tab w:val="num" w:pos="0"/>
        </w:tabs>
        <w:spacing w:line="240" w:lineRule="auto"/>
      </w:pPr>
      <w:r>
        <w:t xml:space="preserve"> </w:t>
      </w:r>
      <w:r w:rsidR="00484500">
        <w:t>En réponse à une question du Tribunal, il déclare qu'il a entreposé de la drogue</w:t>
      </w:r>
      <w:r w:rsidR="00895C4A">
        <w:t xml:space="preserve"> dans l'entrepôt public</w:t>
      </w:r>
      <w:r w:rsidR="00484500">
        <w:t xml:space="preserve"> pendant environs</w:t>
      </w:r>
      <w:r w:rsidR="00895C4A">
        <w:t xml:space="preserve"> cinq à</w:t>
      </w:r>
      <w:r w:rsidR="00484500">
        <w:t xml:space="preserve"> six mois.</w:t>
      </w:r>
    </w:p>
    <w:p w14:paraId="35FED5A2" w14:textId="3A204AB9" w:rsidR="00C05B30" w:rsidRDefault="00C05B30" w:rsidP="00C05B30">
      <w:pPr>
        <w:pStyle w:val="Titre2"/>
      </w:pPr>
      <w:r>
        <w:t>Le témoignage du père de l'accusé, Réjean Boisjoly</w:t>
      </w:r>
    </w:p>
    <w:p w14:paraId="66B215EA" w14:textId="75D08297" w:rsidR="004152B0" w:rsidRDefault="00C05B30" w:rsidP="00011973">
      <w:pPr>
        <w:pStyle w:val="Paragraphe"/>
        <w:tabs>
          <w:tab w:val="clear" w:pos="360"/>
          <w:tab w:val="num" w:pos="0"/>
        </w:tabs>
        <w:spacing w:line="240" w:lineRule="auto"/>
      </w:pPr>
      <w:r>
        <w:t>Le 12 septembre 2022, le père de l'accusé</w:t>
      </w:r>
      <w:r w:rsidR="001C21F5">
        <w:t>,</w:t>
      </w:r>
      <w:r w:rsidR="005C1F38">
        <w:t xml:space="preserve"> monsieur Réjean Boisjoly</w:t>
      </w:r>
      <w:r w:rsidR="008B7E36">
        <w:t>,</w:t>
      </w:r>
      <w:r>
        <w:t xml:space="preserve"> a témoigné devant ce Tribunal</w:t>
      </w:r>
      <w:r w:rsidR="00287B3F">
        <w:t>. I</w:t>
      </w:r>
      <w:r w:rsidR="00011973">
        <w:t xml:space="preserve">l </w:t>
      </w:r>
      <w:r w:rsidR="003F0235">
        <w:t xml:space="preserve">déclare qu'il </w:t>
      </w:r>
      <w:r w:rsidR="00011973">
        <w:t xml:space="preserve">a travaillé </w:t>
      </w:r>
      <w:r w:rsidR="001C21F5">
        <w:t xml:space="preserve">dans le secteur bancaire </w:t>
      </w:r>
      <w:r w:rsidR="00011973">
        <w:t>pendant une quarantaine d'années</w:t>
      </w:r>
      <w:r w:rsidR="00B10002">
        <w:t xml:space="preserve">, </w:t>
      </w:r>
      <w:r w:rsidR="004152B0">
        <w:t xml:space="preserve">que la relation familiale avec l'accusé a commencé </w:t>
      </w:r>
      <w:r w:rsidR="00746BE3">
        <w:t>à</w:t>
      </w:r>
      <w:r w:rsidR="004152B0">
        <w:t xml:space="preserve"> être plus difficile au début de</w:t>
      </w:r>
      <w:r w:rsidR="004E1996">
        <w:t xml:space="preserve"> l’</w:t>
      </w:r>
      <w:r w:rsidR="004152B0">
        <w:t>adolescence</w:t>
      </w:r>
      <w:r w:rsidR="004E1996">
        <w:t xml:space="preserve"> de ce dernier,</w:t>
      </w:r>
      <w:r w:rsidR="004152B0">
        <w:t xml:space="preserve"> à cause de son problème de consommation de</w:t>
      </w:r>
      <w:r w:rsidR="004674A4">
        <w:t>s stupéfiants</w:t>
      </w:r>
      <w:r w:rsidR="004152B0">
        <w:t>.</w:t>
      </w:r>
    </w:p>
    <w:p w14:paraId="246E494D" w14:textId="1AC31D3F" w:rsidR="00C05B30" w:rsidRDefault="004152B0" w:rsidP="00011973">
      <w:pPr>
        <w:pStyle w:val="Paragraphe"/>
        <w:tabs>
          <w:tab w:val="clear" w:pos="360"/>
          <w:tab w:val="num" w:pos="0"/>
        </w:tabs>
        <w:spacing w:line="240" w:lineRule="auto"/>
      </w:pPr>
      <w:r>
        <w:t>Il déclare qu'il avait même déposé une plainte pour vol contre l'accusé, en tant que directeur d'une agence bancaire à cette époque-là</w:t>
      </w:r>
      <w:r w:rsidR="00F82E26">
        <w:t>.</w:t>
      </w:r>
      <w:r w:rsidR="00367769">
        <w:t xml:space="preserve"> </w:t>
      </w:r>
      <w:r w:rsidR="00F82E26">
        <w:t>Mais</w:t>
      </w:r>
      <w:r w:rsidR="00BD6507">
        <w:t>,</w:t>
      </w:r>
      <w:r w:rsidR="00746BE3">
        <w:t xml:space="preserve"> il ajoute qu'il a remarqué un changement </w:t>
      </w:r>
      <w:r w:rsidR="009552F8">
        <w:t xml:space="preserve">positif </w:t>
      </w:r>
      <w:r w:rsidR="00746BE3">
        <w:t>dans le comportement de l'accusé depuis son arrestation en 2018</w:t>
      </w:r>
      <w:r w:rsidR="007D5DC4">
        <w:t xml:space="preserve"> et qu'il </w:t>
      </w:r>
      <w:r w:rsidR="00437876">
        <w:t>n'a</w:t>
      </w:r>
      <w:r w:rsidR="007D5DC4">
        <w:t xml:space="preserve"> pas de doute qu</w:t>
      </w:r>
      <w:r w:rsidR="00367769">
        <w:t>e ce dernier</w:t>
      </w:r>
      <w:r w:rsidR="007D5DC4">
        <w:t xml:space="preserve"> ne retournera</w:t>
      </w:r>
      <w:r w:rsidR="00437876">
        <w:t xml:space="preserve"> plus</w:t>
      </w:r>
      <w:r w:rsidR="007D5DC4">
        <w:t xml:space="preserve"> jamais dans le domaine du trafic de</w:t>
      </w:r>
      <w:r w:rsidR="00007FFB">
        <w:t>s</w:t>
      </w:r>
      <w:r w:rsidR="007D5DC4">
        <w:t xml:space="preserve"> substances illicites.</w:t>
      </w:r>
    </w:p>
    <w:p w14:paraId="414D68E3" w14:textId="6B98D68B" w:rsidR="008E11A3" w:rsidRDefault="008E11A3" w:rsidP="008E11A3">
      <w:pPr>
        <w:pStyle w:val="Titre2"/>
      </w:pPr>
      <w:r>
        <w:t>Le témoignage de la mère de l'accusé, Julie Boisjoly</w:t>
      </w:r>
    </w:p>
    <w:p w14:paraId="17D8801D" w14:textId="6BF441E6" w:rsidR="00437876" w:rsidRDefault="00F20B2E" w:rsidP="00B179B5">
      <w:pPr>
        <w:pStyle w:val="Paragraphe"/>
        <w:tabs>
          <w:tab w:val="clear" w:pos="360"/>
          <w:tab w:val="num" w:pos="0"/>
        </w:tabs>
        <w:spacing w:line="240" w:lineRule="auto"/>
      </w:pPr>
      <w:r>
        <w:t>L</w:t>
      </w:r>
      <w:r w:rsidR="00DE0E35">
        <w:t>a mère de l’accusé</w:t>
      </w:r>
      <w:r w:rsidR="001941B0">
        <w:t xml:space="preserve">, </w:t>
      </w:r>
      <w:r w:rsidR="00CB7551">
        <w:t xml:space="preserve">madame </w:t>
      </w:r>
      <w:r w:rsidR="001941B0">
        <w:t>Julie Boisjoly,</w:t>
      </w:r>
      <w:r>
        <w:t xml:space="preserve"> déclare qu'elle est r</w:t>
      </w:r>
      <w:r w:rsidR="002F7A8D">
        <w:t xml:space="preserve">esponsable d'un service de garde en milieu familial </w:t>
      </w:r>
      <w:r>
        <w:t>non reconnu</w:t>
      </w:r>
      <w:r w:rsidR="00611623">
        <w:t xml:space="preserve"> par le gouvernement</w:t>
      </w:r>
      <w:r>
        <w:t xml:space="preserve"> </w:t>
      </w:r>
      <w:r w:rsidR="002F7A8D">
        <w:t xml:space="preserve">et </w:t>
      </w:r>
      <w:r w:rsidR="00883642">
        <w:t>occupe</w:t>
      </w:r>
      <w:r w:rsidR="0028585E">
        <w:t xml:space="preserve"> aussi</w:t>
      </w:r>
      <w:r w:rsidR="00883642">
        <w:t xml:space="preserve"> le poste de </w:t>
      </w:r>
      <w:r w:rsidR="002F7A8D">
        <w:t xml:space="preserve">présidente de l'association </w:t>
      </w:r>
      <w:r w:rsidR="00611623">
        <w:t>Québécoise des milieux familiaux éducatifs privés. En tant que mère</w:t>
      </w:r>
      <w:r w:rsidR="00F0146C">
        <w:t xml:space="preserve"> de l’accusé</w:t>
      </w:r>
      <w:r w:rsidR="00F8555A">
        <w:t xml:space="preserve">, </w:t>
      </w:r>
      <w:r w:rsidR="00611623">
        <w:t>elle</w:t>
      </w:r>
      <w:r w:rsidR="00AA7E1B">
        <w:t xml:space="preserve"> explique</w:t>
      </w:r>
      <w:r w:rsidR="00611623">
        <w:t xml:space="preserve"> qu'elle a constaté une évolution positive dans le comportement de</w:t>
      </w:r>
      <w:r w:rsidR="00311AAA">
        <w:t xml:space="preserve"> ce dernier</w:t>
      </w:r>
      <w:r w:rsidR="00611623">
        <w:t xml:space="preserve"> après son arrestation.</w:t>
      </w:r>
    </w:p>
    <w:p w14:paraId="2D1474E7" w14:textId="14CE019A" w:rsidR="00B179B5" w:rsidRPr="00E24D57" w:rsidRDefault="009141B0" w:rsidP="00B31C25">
      <w:pPr>
        <w:pStyle w:val="Paragraphe"/>
        <w:tabs>
          <w:tab w:val="clear" w:pos="360"/>
          <w:tab w:val="num" w:pos="0"/>
        </w:tabs>
        <w:spacing w:line="240" w:lineRule="auto"/>
      </w:pPr>
      <w:r>
        <w:t>Elle soulign</w:t>
      </w:r>
      <w:r w:rsidR="00272128">
        <w:t>e</w:t>
      </w:r>
      <w:r w:rsidR="0028585E">
        <w:t>,</w:t>
      </w:r>
      <w:r>
        <w:t xml:space="preserve"> également</w:t>
      </w:r>
      <w:r w:rsidR="0028585E">
        <w:t>,</w:t>
      </w:r>
      <w:r>
        <w:t xml:space="preserve"> </w:t>
      </w:r>
      <w:r w:rsidR="006E35C3">
        <w:t>l</w:t>
      </w:r>
      <w:r>
        <w:t>es efforts</w:t>
      </w:r>
      <w:r w:rsidR="00A22053">
        <w:t xml:space="preserve"> déployés par</w:t>
      </w:r>
      <w:r w:rsidR="006E35C3">
        <w:t xml:space="preserve"> l’accusé</w:t>
      </w:r>
      <w:r>
        <w:t xml:space="preserve"> pour couper</w:t>
      </w:r>
      <w:r w:rsidR="00CF67A1">
        <w:t xml:space="preserve"> tout</w:t>
      </w:r>
      <w:r>
        <w:t xml:space="preserve"> </w:t>
      </w:r>
      <w:r w:rsidR="006A43EA">
        <w:t>lien</w:t>
      </w:r>
      <w:r w:rsidR="00CF67A1">
        <w:t xml:space="preserve"> </w:t>
      </w:r>
      <w:r>
        <w:t xml:space="preserve">avec </w:t>
      </w:r>
      <w:r w:rsidR="0046170A">
        <w:t>l</w:t>
      </w:r>
      <w:r w:rsidR="006A43EA">
        <w:t>es mauvaises fréquentations</w:t>
      </w:r>
      <w:r w:rsidR="00C61D87">
        <w:t xml:space="preserve"> du passé</w:t>
      </w:r>
      <w:r w:rsidR="006A43EA">
        <w:t xml:space="preserve"> et son rapprochement envers sa famille qui l'a</w:t>
      </w:r>
      <w:r w:rsidR="007874C4">
        <w:t xml:space="preserve"> </w:t>
      </w:r>
      <w:r w:rsidR="006A43EA">
        <w:t>toujours soutenu</w:t>
      </w:r>
      <w:r w:rsidR="00213B45">
        <w:t xml:space="preserve"> pour surmonter les difficultés</w:t>
      </w:r>
      <w:r w:rsidR="006A43EA">
        <w:t xml:space="preserve">. </w:t>
      </w:r>
      <w:r w:rsidR="00B94CE5">
        <w:t>Elle</w:t>
      </w:r>
      <w:r w:rsidR="00E02395">
        <w:t xml:space="preserve"> est convaincue</w:t>
      </w:r>
      <w:r w:rsidR="00B94CE5">
        <w:t xml:space="preserve"> que l'accusé est </w:t>
      </w:r>
      <w:r w:rsidR="00816FC4">
        <w:t>actuellement</w:t>
      </w:r>
      <w:r w:rsidR="0028585E">
        <w:t>,</w:t>
      </w:r>
      <w:r w:rsidR="00816FC4">
        <w:t xml:space="preserve"> </w:t>
      </w:r>
      <w:r w:rsidR="00B94CE5">
        <w:t>réellement</w:t>
      </w:r>
      <w:r w:rsidR="0028585E">
        <w:t>,</w:t>
      </w:r>
      <w:r w:rsidR="00B94CE5">
        <w:t xml:space="preserve"> réhabilité.</w:t>
      </w:r>
    </w:p>
    <w:p w14:paraId="7F63A7CD" w14:textId="411E5B0F" w:rsidR="00A21331" w:rsidRDefault="00A21331" w:rsidP="004535C0">
      <w:pPr>
        <w:pStyle w:val="Titre2"/>
      </w:pPr>
      <w:r>
        <w:t>L'exposé conjoint des faits</w:t>
      </w:r>
    </w:p>
    <w:p w14:paraId="4498176E" w14:textId="21FC64CC" w:rsidR="00825684" w:rsidRDefault="00871DA0" w:rsidP="00871DA0">
      <w:pPr>
        <w:pStyle w:val="Paragraphe"/>
        <w:tabs>
          <w:tab w:val="clear" w:pos="360"/>
        </w:tabs>
        <w:spacing w:line="240" w:lineRule="auto"/>
      </w:pPr>
      <w:r>
        <w:t>Les procureurs de la poursuite et de la défense</w:t>
      </w:r>
      <w:r w:rsidR="00462745">
        <w:t>,</w:t>
      </w:r>
      <w:r w:rsidR="006D64A2">
        <w:t xml:space="preserve"> ainsi que l'accusé</w:t>
      </w:r>
      <w:r w:rsidR="00925963">
        <w:t>,</w:t>
      </w:r>
      <w:r>
        <w:t xml:space="preserve"> ont présenté le 6 décembre 2021</w:t>
      </w:r>
      <w:r w:rsidR="00B10FAE">
        <w:t>,</w:t>
      </w:r>
      <w:r>
        <w:t xml:space="preserve"> une trame factuelle conjointe pour le plaidoyer de culpabilité de l'accusé. Les parties y exposent </w:t>
      </w:r>
      <w:r w:rsidR="00CD0478">
        <w:t>que ce dernier reconnaît sa culpabilité pour les quatre chefs mentionnés dans le premi</w:t>
      </w:r>
      <w:r w:rsidR="00417438">
        <w:t xml:space="preserve">er </w:t>
      </w:r>
      <w:r w:rsidR="00CD0478">
        <w:t>chapitre de ce jugement</w:t>
      </w:r>
      <w:r w:rsidR="00B10FAE">
        <w:t>,</w:t>
      </w:r>
      <w:r w:rsidR="00CD0478">
        <w:t xml:space="preserve"> ainsi que certains faits saillants le concernant dans ce dossier.</w:t>
      </w:r>
    </w:p>
    <w:p w14:paraId="3C418097" w14:textId="48F45C03" w:rsidR="006D64A2" w:rsidRDefault="00CD0478" w:rsidP="00871DA0">
      <w:pPr>
        <w:pStyle w:val="Paragraphe"/>
        <w:tabs>
          <w:tab w:val="clear" w:pos="360"/>
        </w:tabs>
        <w:spacing w:line="240" w:lineRule="auto"/>
      </w:pPr>
      <w:r>
        <w:t>Les faits mis en exergue dans cet exposé conjoint datent d'octobre 2018 et de novembre 2018</w:t>
      </w:r>
      <w:r w:rsidR="00B10FAE">
        <w:t xml:space="preserve">. Ils </w:t>
      </w:r>
      <w:r>
        <w:t xml:space="preserve">démontrent son implication dans le trafic de substances illicites interdites par la loi avec d'autres coaccusés </w:t>
      </w:r>
      <w:r w:rsidR="00012700">
        <w:t xml:space="preserve">du </w:t>
      </w:r>
      <w:r>
        <w:t>milieu criminalisé</w:t>
      </w:r>
      <w:r w:rsidR="006D64A2">
        <w:t>.</w:t>
      </w:r>
    </w:p>
    <w:p w14:paraId="678A0CA6" w14:textId="39B42689" w:rsidR="0098004E" w:rsidRDefault="00A25DCD" w:rsidP="00871DA0">
      <w:pPr>
        <w:pStyle w:val="Paragraphe"/>
        <w:tabs>
          <w:tab w:val="clear" w:pos="360"/>
        </w:tabs>
        <w:spacing w:line="240" w:lineRule="auto"/>
      </w:pPr>
      <w:r>
        <w:t xml:space="preserve">Parmi les éléments </w:t>
      </w:r>
      <w:r w:rsidR="001904EC">
        <w:t>présentés</w:t>
      </w:r>
      <w:r w:rsidR="00CA64AD">
        <w:t xml:space="preserve"> </w:t>
      </w:r>
      <w:r>
        <w:t>dans l</w:t>
      </w:r>
      <w:r w:rsidR="006D64A2">
        <w:t>a</w:t>
      </w:r>
      <w:r w:rsidR="00F31351">
        <w:t xml:space="preserve"> trame factuelle conjointe </w:t>
      </w:r>
      <w:r w:rsidR="006D64A2">
        <w:t>des</w:t>
      </w:r>
      <w:r w:rsidR="0098004E">
        <w:t xml:space="preserve"> parties</w:t>
      </w:r>
      <w:r>
        <w:t>,</w:t>
      </w:r>
      <w:r w:rsidR="00CA64AD">
        <w:t xml:space="preserve"> </w:t>
      </w:r>
      <w:r>
        <w:t>le Tribunal retient</w:t>
      </w:r>
      <w:r w:rsidR="0098004E">
        <w:t xml:space="preserve"> les éléments suivants :</w:t>
      </w:r>
    </w:p>
    <w:p w14:paraId="254898C8" w14:textId="3AD26F22" w:rsidR="00AB4157" w:rsidRDefault="00AB4157" w:rsidP="0098004E">
      <w:pPr>
        <w:pStyle w:val="Sous-paragraphe"/>
      </w:pPr>
      <w:r>
        <w:t>L'accusé est âgé de 35 ans</w:t>
      </w:r>
      <w:r w:rsidR="00705FAB">
        <w:t>;</w:t>
      </w:r>
    </w:p>
    <w:p w14:paraId="669F9B55" w14:textId="73C5DC18" w:rsidR="00A25DCD" w:rsidRDefault="00AB4157" w:rsidP="0098004E">
      <w:pPr>
        <w:pStyle w:val="Sous-paragraphe"/>
      </w:pPr>
      <w:r>
        <w:t xml:space="preserve">L'accusé ne </w:t>
      </w:r>
      <w:r w:rsidR="00E032D4">
        <w:t>possède pas d'an</w:t>
      </w:r>
      <w:r w:rsidR="00A25DCD">
        <w:t>técédents judiciaires</w:t>
      </w:r>
      <w:r w:rsidR="00705FAB">
        <w:t>;</w:t>
      </w:r>
    </w:p>
    <w:p w14:paraId="20788292" w14:textId="041468EB" w:rsidR="00A25DCD" w:rsidRDefault="00A25DCD" w:rsidP="0098004E">
      <w:pPr>
        <w:pStyle w:val="Sous-paragraphe"/>
      </w:pPr>
      <w:r>
        <w:t>L'accusé n'est pas et n'a jamais été un membre du groupe les Minotaures</w:t>
      </w:r>
      <w:r w:rsidR="00705FAB">
        <w:t>;</w:t>
      </w:r>
    </w:p>
    <w:p w14:paraId="20A2FAAE" w14:textId="734A7595" w:rsidR="00A25DCD" w:rsidRDefault="00590349" w:rsidP="0098004E">
      <w:pPr>
        <w:pStyle w:val="Sous-paragraphe"/>
      </w:pPr>
      <w:r>
        <w:t>La défense</w:t>
      </w:r>
      <w:r w:rsidR="00B71A3F">
        <w:t xml:space="preserve"> suggère</w:t>
      </w:r>
      <w:r>
        <w:t xml:space="preserve"> une </w:t>
      </w:r>
      <w:r w:rsidR="006E71AA">
        <w:t>pein</w:t>
      </w:r>
      <w:r>
        <w:t>e de deux ans moins un jour</w:t>
      </w:r>
      <w:r w:rsidR="00A412D2">
        <w:t>,</w:t>
      </w:r>
      <w:r>
        <w:t xml:space="preserve"> tandis que l</w:t>
      </w:r>
      <w:r w:rsidR="00B71A3F">
        <w:t>e</w:t>
      </w:r>
      <w:r>
        <w:t xml:space="preserve"> poursui</w:t>
      </w:r>
      <w:r w:rsidR="00B71A3F">
        <w:t>vant recommande</w:t>
      </w:r>
      <w:r>
        <w:t xml:space="preserve"> une</w:t>
      </w:r>
      <w:r w:rsidR="0088524D">
        <w:t xml:space="preserve"> peine</w:t>
      </w:r>
      <w:r>
        <w:t xml:space="preserve"> de trois ans</w:t>
      </w:r>
      <w:r w:rsidR="00705FAB">
        <w:t>;</w:t>
      </w:r>
      <w:r w:rsidR="00AB4157">
        <w:t xml:space="preserve"> </w:t>
      </w:r>
    </w:p>
    <w:p w14:paraId="00E631AA" w14:textId="77777777" w:rsidR="0092006B" w:rsidRDefault="0098004E" w:rsidP="0098004E">
      <w:pPr>
        <w:pStyle w:val="Sous-paragraphe"/>
      </w:pPr>
      <w:r>
        <w:t xml:space="preserve"> </w:t>
      </w:r>
      <w:r w:rsidR="00590349">
        <w:t>Les parties s'entendent également pour que soient rendues les</w:t>
      </w:r>
      <w:r w:rsidR="0092006B">
        <w:t xml:space="preserve"> ordonnances suivantes :</w:t>
      </w:r>
    </w:p>
    <w:p w14:paraId="71026C7F" w14:textId="7B5B30EF" w:rsidR="0092006B" w:rsidRPr="0092006B" w:rsidRDefault="0092006B" w:rsidP="0092006B">
      <w:pPr>
        <w:pStyle w:val="Sous-paragraphe"/>
        <w:numPr>
          <w:ilvl w:val="0"/>
          <w:numId w:val="35"/>
        </w:numPr>
      </w:pPr>
      <w:r>
        <w:t>Interdiction d'armes à perpétuité, en vertu de l'article 109</w:t>
      </w:r>
      <w:r w:rsidR="00DE3E4F">
        <w:t xml:space="preserve"> </w:t>
      </w:r>
      <w:r>
        <w:t xml:space="preserve">(1) c) </w:t>
      </w:r>
      <w:bookmarkStart w:id="2" w:name="_Hlk119058955"/>
      <w:r>
        <w:t xml:space="preserve">du </w:t>
      </w:r>
      <w:r w:rsidRPr="0092006B">
        <w:rPr>
          <w:i/>
          <w:iCs/>
        </w:rPr>
        <w:t>Code criminel</w:t>
      </w:r>
      <w:r w:rsidR="00705FAB">
        <w:rPr>
          <w:i/>
          <w:iCs/>
        </w:rPr>
        <w:t>;</w:t>
      </w:r>
    </w:p>
    <w:bookmarkEnd w:id="2"/>
    <w:p w14:paraId="71BEE928" w14:textId="6C8E4C93" w:rsidR="0092006B" w:rsidRPr="0092006B" w:rsidRDefault="0092006B" w:rsidP="0092006B">
      <w:pPr>
        <w:pStyle w:val="Sous-paragraphe"/>
        <w:numPr>
          <w:ilvl w:val="0"/>
          <w:numId w:val="35"/>
        </w:numPr>
      </w:pPr>
      <w:r w:rsidRPr="0092006B">
        <w:t>Le</w:t>
      </w:r>
      <w:r>
        <w:t xml:space="preserve"> prélèvement d'un échantillon d'ADN en vertu de l'article 487.051</w:t>
      </w:r>
      <w:r w:rsidR="00824827">
        <w:t xml:space="preserve"> </w:t>
      </w:r>
      <w:r>
        <w:t xml:space="preserve">(3) du </w:t>
      </w:r>
      <w:r w:rsidRPr="0092006B">
        <w:rPr>
          <w:i/>
          <w:iCs/>
        </w:rPr>
        <w:t>Code criminel</w:t>
      </w:r>
      <w:r w:rsidR="00705FAB">
        <w:rPr>
          <w:i/>
          <w:iCs/>
        </w:rPr>
        <w:t>.</w:t>
      </w:r>
    </w:p>
    <w:p w14:paraId="158FCCCE" w14:textId="77777777" w:rsidR="004F490C" w:rsidRDefault="0092006B" w:rsidP="0092006B">
      <w:pPr>
        <w:pStyle w:val="Sous-paragraphe"/>
      </w:pPr>
      <w:r w:rsidRPr="0092006B">
        <w:t xml:space="preserve"> </w:t>
      </w:r>
      <w:r w:rsidR="004F490C">
        <w:t>Les parties s'entendent sur les facteurs aggravants suivants :</w:t>
      </w:r>
    </w:p>
    <w:p w14:paraId="1F5722E1" w14:textId="7801961B" w:rsidR="004F490C" w:rsidRDefault="004F490C" w:rsidP="004F490C">
      <w:pPr>
        <w:pStyle w:val="Sous-paragraphe"/>
        <w:numPr>
          <w:ilvl w:val="0"/>
          <w:numId w:val="35"/>
        </w:numPr>
      </w:pPr>
      <w:r>
        <w:t>Nature et quantité des stupéfiants</w:t>
      </w:r>
      <w:r w:rsidR="00705FAB">
        <w:t>;</w:t>
      </w:r>
    </w:p>
    <w:p w14:paraId="56D73525" w14:textId="6FE88E21" w:rsidR="004F490C" w:rsidRDefault="004F490C" w:rsidP="004F490C">
      <w:pPr>
        <w:pStyle w:val="Sous-paragraphe"/>
        <w:numPr>
          <w:ilvl w:val="0"/>
          <w:numId w:val="35"/>
        </w:numPr>
      </w:pPr>
      <w:r>
        <w:t>Nombre de transactions</w:t>
      </w:r>
      <w:r w:rsidR="00705FAB">
        <w:t>;</w:t>
      </w:r>
    </w:p>
    <w:p w14:paraId="07DB1E39" w14:textId="27F83477" w:rsidR="004F490C" w:rsidRDefault="004F490C" w:rsidP="004F490C">
      <w:pPr>
        <w:pStyle w:val="Sous-paragraphe"/>
        <w:numPr>
          <w:ilvl w:val="0"/>
          <w:numId w:val="35"/>
        </w:numPr>
      </w:pPr>
      <w:r>
        <w:t>Proximité de gens criminalisés faisant partie du groupe des Minotaures</w:t>
      </w:r>
      <w:r w:rsidR="00705FAB">
        <w:t>.</w:t>
      </w:r>
    </w:p>
    <w:p w14:paraId="1FF3D191" w14:textId="36067A3C" w:rsidR="00CD0478" w:rsidRDefault="004F490C" w:rsidP="004F490C">
      <w:pPr>
        <w:pStyle w:val="Sous-paragraphe"/>
      </w:pPr>
      <w:r>
        <w:t>Les parties s'entendent sur les facteurs atténuants suivants :</w:t>
      </w:r>
      <w:r w:rsidR="006D64A2" w:rsidRPr="0092006B">
        <w:t xml:space="preserve"> </w:t>
      </w:r>
      <w:r w:rsidR="00CD0478" w:rsidRPr="0092006B">
        <w:t xml:space="preserve"> </w:t>
      </w:r>
    </w:p>
    <w:p w14:paraId="318C15DB" w14:textId="0DE86C4D" w:rsidR="004F490C" w:rsidRDefault="004F490C" w:rsidP="004F490C">
      <w:pPr>
        <w:pStyle w:val="Sous-paragraphe"/>
        <w:numPr>
          <w:ilvl w:val="0"/>
          <w:numId w:val="35"/>
        </w:numPr>
      </w:pPr>
      <w:r>
        <w:t>Plaidoyer de culpabilité</w:t>
      </w:r>
      <w:r w:rsidR="00272F0C">
        <w:t>;</w:t>
      </w:r>
    </w:p>
    <w:p w14:paraId="6AC49D07" w14:textId="288F90AE" w:rsidR="004F490C" w:rsidRPr="0092006B" w:rsidRDefault="00D4328D" w:rsidP="004F490C">
      <w:pPr>
        <w:pStyle w:val="Sous-paragraphe"/>
        <w:numPr>
          <w:ilvl w:val="0"/>
          <w:numId w:val="35"/>
        </w:numPr>
      </w:pPr>
      <w:r>
        <w:t>Absence d’</w:t>
      </w:r>
      <w:r w:rsidR="004F490C">
        <w:t>antécédent</w:t>
      </w:r>
      <w:r>
        <w:t>s</w:t>
      </w:r>
      <w:r w:rsidR="004F490C">
        <w:t xml:space="preserve"> judiciaire</w:t>
      </w:r>
      <w:r>
        <w:t>s</w:t>
      </w:r>
      <w:r w:rsidR="00272F0C">
        <w:t>.</w:t>
      </w:r>
    </w:p>
    <w:p w14:paraId="52897641" w14:textId="15F1FC2B" w:rsidR="00C47C1E" w:rsidRDefault="004535C0" w:rsidP="004535C0">
      <w:pPr>
        <w:pStyle w:val="Titre2"/>
      </w:pPr>
      <w:r>
        <w:t>Le rapport présentenciel</w:t>
      </w:r>
    </w:p>
    <w:p w14:paraId="0F9077FD" w14:textId="77777777" w:rsidR="00CC331F" w:rsidRDefault="008B5571" w:rsidP="00F01063">
      <w:pPr>
        <w:pStyle w:val="Paragraphe"/>
        <w:tabs>
          <w:tab w:val="clear" w:pos="360"/>
          <w:tab w:val="num" w:pos="0"/>
        </w:tabs>
        <w:spacing w:line="240" w:lineRule="auto"/>
      </w:pPr>
      <w:r>
        <w:t>En date du 1</w:t>
      </w:r>
      <w:r w:rsidRPr="00DA799C">
        <w:rPr>
          <w:vertAlign w:val="superscript"/>
        </w:rPr>
        <w:t>er</w:t>
      </w:r>
      <w:r>
        <w:t xml:space="preserve"> mars 2022, l</w:t>
      </w:r>
      <w:r w:rsidR="00E905A7">
        <w:t>'agent</w:t>
      </w:r>
      <w:r w:rsidR="00DA799C">
        <w:t>e</w:t>
      </w:r>
      <w:r w:rsidR="00E905A7">
        <w:t xml:space="preserve"> de probation</w:t>
      </w:r>
      <w:r w:rsidR="00DA799C">
        <w:t xml:space="preserve">, </w:t>
      </w:r>
      <w:r w:rsidR="006D06FD">
        <w:t>M</w:t>
      </w:r>
      <w:r w:rsidR="00E905A7">
        <w:t>adame Marie-Philippe Trempe</w:t>
      </w:r>
      <w:r w:rsidR="00C70ECF">
        <w:t>,</w:t>
      </w:r>
      <w:r w:rsidR="00E905A7">
        <w:t xml:space="preserve"> a produit un rapport</w:t>
      </w:r>
      <w:r w:rsidR="00DA799C">
        <w:t xml:space="preserve"> présentenciel à l'intention du </w:t>
      </w:r>
      <w:r w:rsidR="00636F89">
        <w:t>T</w:t>
      </w:r>
      <w:r w:rsidR="00DA799C">
        <w:t xml:space="preserve">ribunal. On y apprend que l'accusé est âgé de 36 ans, célibataire, détient un diplôme d'études secondaires </w:t>
      </w:r>
      <w:r w:rsidR="00C70ECF">
        <w:t>et qu'il</w:t>
      </w:r>
      <w:r w:rsidR="00DA799C">
        <w:t xml:space="preserve"> est travailleur autonome dans le domaine du déménagement, dans le cadre d'une entreprise légalement </w:t>
      </w:r>
      <w:r w:rsidR="00C70ECF">
        <w:t>enregistrée</w:t>
      </w:r>
      <w:r w:rsidR="00DA799C">
        <w:t>.</w:t>
      </w:r>
    </w:p>
    <w:p w14:paraId="1EF062BE" w14:textId="5E662528" w:rsidR="00F01063" w:rsidRDefault="00C70ECF" w:rsidP="00F01063">
      <w:pPr>
        <w:pStyle w:val="Paragraphe"/>
        <w:tabs>
          <w:tab w:val="clear" w:pos="360"/>
          <w:tab w:val="num" w:pos="0"/>
        </w:tabs>
        <w:spacing w:line="240" w:lineRule="auto"/>
      </w:pPr>
      <w:r>
        <w:t>Selon ce rapport</w:t>
      </w:r>
      <w:r w:rsidR="001026B6">
        <w:t>,</w:t>
      </w:r>
      <w:r>
        <w:t xml:space="preserve"> l'accusé dispose d'un revenu de 88 000 $ par année</w:t>
      </w:r>
      <w:r w:rsidR="00F01063">
        <w:t>,</w:t>
      </w:r>
      <w:r>
        <w:t xml:space="preserve"> provenant de son emploi</w:t>
      </w:r>
      <w:r w:rsidR="009A2226">
        <w:t xml:space="preserve"> et</w:t>
      </w:r>
      <w:r>
        <w:t xml:space="preserve"> </w:t>
      </w:r>
      <w:r w:rsidR="00F01063">
        <w:t xml:space="preserve">il </w:t>
      </w:r>
      <w:r>
        <w:t>ne possède pas d'antécédents judiciaires</w:t>
      </w:r>
      <w:r w:rsidR="00F01063">
        <w:t xml:space="preserve"> adultes ni juvéniles.</w:t>
      </w:r>
    </w:p>
    <w:p w14:paraId="38C617D9" w14:textId="4209DFFB" w:rsidR="00782220" w:rsidRDefault="00F01063" w:rsidP="00E905A7">
      <w:pPr>
        <w:pStyle w:val="Paragraphe"/>
        <w:tabs>
          <w:tab w:val="clear" w:pos="360"/>
          <w:tab w:val="num" w:pos="0"/>
        </w:tabs>
        <w:spacing w:line="240" w:lineRule="auto"/>
      </w:pPr>
      <w:r>
        <w:t>Dans un volet de ce rapport, consacré à la nature des traitements reçus par l'accusé, l'agent</w:t>
      </w:r>
      <w:r w:rsidR="00BF06D5">
        <w:t>e</w:t>
      </w:r>
      <w:r>
        <w:t xml:space="preserve"> de probation indique que ce dernier a entamé une désintoxication de deux semaines à l'âge de 18 ans</w:t>
      </w:r>
      <w:r w:rsidR="00BF06D5">
        <w:t>,</w:t>
      </w:r>
      <w:r>
        <w:t xml:space="preserve"> mais que sa dépendance</w:t>
      </w:r>
      <w:r w:rsidR="00E24AE1">
        <w:t xml:space="preserve"> a</w:t>
      </w:r>
      <w:r>
        <w:t xml:space="preserve"> </w:t>
      </w:r>
      <w:r w:rsidR="00DD1BCC">
        <w:t>repr</w:t>
      </w:r>
      <w:r w:rsidR="00E24AE1">
        <w:t xml:space="preserve">is </w:t>
      </w:r>
      <w:r>
        <w:t>rapidement une place centrale. Qu'il a subi</w:t>
      </w:r>
      <w:r w:rsidR="0004431C">
        <w:t>,</w:t>
      </w:r>
      <w:r>
        <w:t xml:space="preserve"> </w:t>
      </w:r>
      <w:r w:rsidR="00995827">
        <w:t>également</w:t>
      </w:r>
      <w:r w:rsidR="0004431C">
        <w:t>,</w:t>
      </w:r>
      <w:r w:rsidR="00995827">
        <w:t xml:space="preserve"> une gastrectomie par laparoscopie le 16 mars 2021 et qu'il fait de l'apnée du sommeil.</w:t>
      </w:r>
    </w:p>
    <w:p w14:paraId="5B5CB6EF" w14:textId="6987F58B" w:rsidR="006955F6" w:rsidRDefault="00782220" w:rsidP="00E905A7">
      <w:pPr>
        <w:pStyle w:val="Paragraphe"/>
        <w:tabs>
          <w:tab w:val="clear" w:pos="360"/>
          <w:tab w:val="num" w:pos="0"/>
        </w:tabs>
        <w:spacing w:line="240" w:lineRule="auto"/>
      </w:pPr>
      <w:r>
        <w:t>Au niveau de l'analyse de la situation délictuelle</w:t>
      </w:r>
      <w:r w:rsidR="00DD1BCC">
        <w:t>,</w:t>
      </w:r>
      <w:r w:rsidR="00DD1B62">
        <w:t xml:space="preserve"> </w:t>
      </w:r>
      <w:r w:rsidR="00DD1BCC">
        <w:t>l'agente de probation retient que l'accusé provient d'un milieu familial prônant des valeurs prosociales</w:t>
      </w:r>
      <w:r w:rsidR="00D730E6">
        <w:t>,</w:t>
      </w:r>
      <w:r w:rsidR="00DD1BCC">
        <w:t xml:space="preserve"> avec qui il entretient des relations harmonieuses. Il a débuté une consommation de drogues douces à l'âge de 16 ans sous l'influence d'un réseau social négatif</w:t>
      </w:r>
      <w:r w:rsidR="00251234">
        <w:t>,</w:t>
      </w:r>
      <w:r w:rsidR="00DD1BCC">
        <w:t xml:space="preserve"> mais sa consommation se serait</w:t>
      </w:r>
      <w:r w:rsidR="006955F6">
        <w:t xml:space="preserve"> rapidement aggravée vers les drogues chimiques, développant ainsi une forte dépendance aux substances intoxicantes.</w:t>
      </w:r>
    </w:p>
    <w:p w14:paraId="41C5BC81" w14:textId="44F4EE5D" w:rsidR="0030039D" w:rsidRDefault="00C96A5F" w:rsidP="00E905A7">
      <w:pPr>
        <w:pStyle w:val="Paragraphe"/>
        <w:tabs>
          <w:tab w:val="clear" w:pos="360"/>
          <w:tab w:val="num" w:pos="0"/>
        </w:tabs>
        <w:spacing w:line="240" w:lineRule="auto"/>
      </w:pPr>
      <w:r>
        <w:t>On apprend q</w:t>
      </w:r>
      <w:r w:rsidR="00774812">
        <w:t>u’i</w:t>
      </w:r>
      <w:r w:rsidR="002D395D">
        <w:t xml:space="preserve">l </w:t>
      </w:r>
      <w:r>
        <w:t>a</w:t>
      </w:r>
      <w:r w:rsidR="002D395D">
        <w:t xml:space="preserve"> commis des délits acquisitifs entre 17 et 18 ans et </w:t>
      </w:r>
      <w:r w:rsidR="00CA4369">
        <w:t xml:space="preserve">que </w:t>
      </w:r>
      <w:r w:rsidR="002D395D">
        <w:t xml:space="preserve">la fréquentation d'un milieu délinquant a rendu propice </w:t>
      </w:r>
      <w:r w:rsidR="00CA4369">
        <w:t>s</w:t>
      </w:r>
      <w:r w:rsidR="002D395D">
        <w:t>a rencontre avec ses co-accusés dont monsieur Lukens Michel</w:t>
      </w:r>
      <w:r w:rsidR="00ED1699">
        <w:t>,</w:t>
      </w:r>
      <w:r w:rsidR="002D395D">
        <w:t xml:space="preserve"> avec qui il a démarré une société de déménagement</w:t>
      </w:r>
      <w:r w:rsidR="00D575CD">
        <w:t xml:space="preserve"> en 2011,</w:t>
      </w:r>
      <w:r w:rsidR="002D395D">
        <w:t xml:space="preserve"> qu'ils ont fini par dissoudre par la suite. </w:t>
      </w:r>
      <w:r w:rsidR="00CA4369">
        <w:t>Il relate qu’e</w:t>
      </w:r>
      <w:r w:rsidR="002D395D">
        <w:t>n 2014, il a constitué une nouvelle société de déménagement qui est toujours opérationnelle.</w:t>
      </w:r>
    </w:p>
    <w:p w14:paraId="16594AC7" w14:textId="49597C43" w:rsidR="002D395D" w:rsidRDefault="0030039D" w:rsidP="00E905A7">
      <w:pPr>
        <w:pStyle w:val="Paragraphe"/>
        <w:tabs>
          <w:tab w:val="clear" w:pos="360"/>
          <w:tab w:val="num" w:pos="0"/>
        </w:tabs>
        <w:spacing w:line="240" w:lineRule="auto"/>
      </w:pPr>
      <w:r>
        <w:t>L'auteure du rapport présent</w:t>
      </w:r>
      <w:r w:rsidR="000D7EA6">
        <w:t>en</w:t>
      </w:r>
      <w:r>
        <w:t xml:space="preserve">ciel </w:t>
      </w:r>
      <w:r w:rsidR="00EE5FCE">
        <w:t>soulign</w:t>
      </w:r>
      <w:r w:rsidR="00822B97">
        <w:t>e</w:t>
      </w:r>
      <w:r w:rsidR="00E815DD">
        <w:t>,</w:t>
      </w:r>
      <w:r>
        <w:t xml:space="preserve"> à ce sujet</w:t>
      </w:r>
      <w:r w:rsidR="00E815DD">
        <w:t>,</w:t>
      </w:r>
      <w:r>
        <w:t xml:space="preserve"> que </w:t>
      </w:r>
      <w:r w:rsidR="00EE5FCE">
        <w:t>malgré la forte dépendance aux substances intoxicantes, l'accusé a toujours été présent au travail et n'a enregistré aucune période sans emploi</w:t>
      </w:r>
      <w:r w:rsidR="00E17795">
        <w:t>,</w:t>
      </w:r>
      <w:r w:rsidR="00EE5FCE">
        <w:t xml:space="preserve"> mais la gestion de sa compagnie a toutefois été affectée, alors qu'il la délaissait </w:t>
      </w:r>
      <w:r w:rsidR="000D7EA6">
        <w:t>tranquillement</w:t>
      </w:r>
      <w:r w:rsidR="00664FFA">
        <w:t xml:space="preserve">. </w:t>
      </w:r>
      <w:r w:rsidR="00EE5FCE">
        <w:t xml:space="preserve"> </w:t>
      </w:r>
      <w:r>
        <w:t xml:space="preserve"> </w:t>
      </w:r>
      <w:r w:rsidR="002D395D">
        <w:t xml:space="preserve"> </w:t>
      </w:r>
    </w:p>
    <w:p w14:paraId="23C9015C" w14:textId="633A1018" w:rsidR="00E26C94" w:rsidRDefault="00664FFA" w:rsidP="00E26C94">
      <w:pPr>
        <w:pStyle w:val="Paragraphe"/>
        <w:tabs>
          <w:tab w:val="clear" w:pos="360"/>
          <w:tab w:val="num" w:pos="0"/>
        </w:tabs>
        <w:spacing w:line="240" w:lineRule="auto"/>
      </w:pPr>
      <w:r>
        <w:t>Selon l</w:t>
      </w:r>
      <w:r w:rsidR="00932749">
        <w:t>’agente de probation</w:t>
      </w:r>
      <w:r w:rsidR="00E26C94">
        <w:t>,</w:t>
      </w:r>
      <w:r>
        <w:t xml:space="preserve"> l'accusé</w:t>
      </w:r>
      <w:r w:rsidR="00EF7DD7">
        <w:t xml:space="preserve"> a offert une collaboration adéquate au cours du processus d'évaluation, il</w:t>
      </w:r>
      <w:r>
        <w:t xml:space="preserve"> reconnaît </w:t>
      </w:r>
      <w:r w:rsidR="00E26C94">
        <w:t>sa culpabilité pour les crimes commis et admet la gravité de ses gestes et également les répercussions néfastes</w:t>
      </w:r>
      <w:r w:rsidR="008154D1">
        <w:t xml:space="preserve"> sur </w:t>
      </w:r>
      <w:r w:rsidR="00E26C94">
        <w:t>la société du trafic des substances intoxicantes. Il dit éprouver de grands regrets d'avoir participé à ce trafic. L'accusé avoue à l'agent</w:t>
      </w:r>
      <w:r w:rsidR="00DB5CE1">
        <w:t>e</w:t>
      </w:r>
      <w:r w:rsidR="00E26C94">
        <w:t xml:space="preserve"> que son arrestation était l'élément déclencheur de sa réhabilitation et sa prise de conscience.</w:t>
      </w:r>
    </w:p>
    <w:p w14:paraId="63851535" w14:textId="32F531F9" w:rsidR="00E64795" w:rsidRDefault="00E64795" w:rsidP="00E26C94">
      <w:pPr>
        <w:pStyle w:val="Paragraphe"/>
        <w:tabs>
          <w:tab w:val="clear" w:pos="360"/>
          <w:tab w:val="num" w:pos="0"/>
        </w:tabs>
        <w:spacing w:line="240" w:lineRule="auto"/>
      </w:pPr>
      <w:r>
        <w:t>Sur le plan de la réinsertion sociale, l'agent</w:t>
      </w:r>
      <w:r w:rsidR="00C61787">
        <w:t>e</w:t>
      </w:r>
      <w:r>
        <w:t xml:space="preserve"> de probation agrée que le processus de l'accusé à ce niveau témoigne de nombreuses initiatives</w:t>
      </w:r>
      <w:r w:rsidR="00B63DD6">
        <w:t xml:space="preserve"> et de bonnes aptitudes pour réussir, surtout qu'il maintient une abstinence de toute substance intoxicante et bénéficie d'un fort soutien familial. </w:t>
      </w:r>
      <w:r>
        <w:t xml:space="preserve"> </w:t>
      </w:r>
    </w:p>
    <w:p w14:paraId="030D428B" w14:textId="0FD33CBD" w:rsidR="005B3D44" w:rsidRDefault="00E26C94" w:rsidP="00E26C94">
      <w:pPr>
        <w:pStyle w:val="Paragraphe"/>
        <w:tabs>
          <w:tab w:val="clear" w:pos="360"/>
          <w:tab w:val="num" w:pos="0"/>
        </w:tabs>
        <w:spacing w:line="240" w:lineRule="auto"/>
      </w:pPr>
      <w:r>
        <w:t xml:space="preserve"> </w:t>
      </w:r>
      <w:r w:rsidR="005B3D44">
        <w:t>Soulignons</w:t>
      </w:r>
      <w:r w:rsidR="00F5520F">
        <w:t>,</w:t>
      </w:r>
      <w:r w:rsidR="005B3D44">
        <w:t xml:space="preserve"> enfin</w:t>
      </w:r>
      <w:r w:rsidR="00F5520F">
        <w:t>,</w:t>
      </w:r>
      <w:r w:rsidR="005B3D44">
        <w:t xml:space="preserve"> que les conclusions contenues à la fin de ce rapport semblent positives vis-à-vis du cas de l'accusé :</w:t>
      </w:r>
    </w:p>
    <w:p w14:paraId="7E8A78D2" w14:textId="2F21CCDB" w:rsidR="00C47C1E" w:rsidRDefault="005B3D44" w:rsidP="00403108">
      <w:pPr>
        <w:pStyle w:val="Citationenretrait"/>
      </w:pPr>
      <w:r>
        <w:t xml:space="preserve">À la lumière des informations dont nous disposons, le risque de récidive nous apparaît faible à court terme. Monsieur Félix Olivier Boisjoly ne présente aucun antécédent criminel, il </w:t>
      </w:r>
      <w:r w:rsidR="00E8517C">
        <w:t xml:space="preserve">a </w:t>
      </w:r>
      <w:r>
        <w:t>fait un clivage de ses anciennes fréquentations et il semble fonctionnel dans son quotidien. Rappelons que son entourage semble être disposé à l'accompagner dans sa démarche de réhabilitation. Le maintien des changements apportés depuis 2018 est encouragé</w:t>
      </w:r>
      <w:r w:rsidR="005E4400" w:rsidRPr="00F5520F">
        <w:rPr>
          <w:rStyle w:val="Appelnotedebasdep"/>
          <w:vertAlign w:val="superscript"/>
        </w:rPr>
        <w:footnoteReference w:id="3"/>
      </w:r>
      <w:r>
        <w:t>.</w:t>
      </w:r>
      <w:r w:rsidR="00E26C94">
        <w:t xml:space="preserve">  </w:t>
      </w:r>
      <w:r w:rsidR="00664FFA">
        <w:t xml:space="preserve"> </w:t>
      </w:r>
    </w:p>
    <w:p w14:paraId="214A0EFF" w14:textId="77777777" w:rsidR="00F1201A" w:rsidRDefault="00F1201A" w:rsidP="00F1201A">
      <w:pPr>
        <w:pStyle w:val="Titre1"/>
      </w:pPr>
      <w:r>
        <w:t>LE DROIT</w:t>
      </w:r>
    </w:p>
    <w:p w14:paraId="312E061C" w14:textId="77777777" w:rsidR="007A71D0" w:rsidRPr="007A71D0" w:rsidRDefault="007A71D0" w:rsidP="007A71D0">
      <w:pPr>
        <w:pStyle w:val="Titre2"/>
        <w:rPr>
          <w:lang w:eastAsia="fr-CA"/>
        </w:rPr>
      </w:pPr>
      <w:r w:rsidRPr="007A71D0">
        <w:rPr>
          <w:lang w:eastAsia="fr-CA"/>
        </w:rPr>
        <w:t>Les principes applicables dans l’imposition d’une peine</w:t>
      </w:r>
    </w:p>
    <w:p w14:paraId="4DAD1FDC" w14:textId="75A5F4F4" w:rsidR="007A71D0" w:rsidRPr="007A71D0" w:rsidRDefault="007A71D0" w:rsidP="00543E00">
      <w:pPr>
        <w:pStyle w:val="Paragraphe"/>
        <w:tabs>
          <w:tab w:val="clear" w:pos="360"/>
          <w:tab w:val="num" w:pos="0"/>
        </w:tabs>
        <w:spacing w:line="240" w:lineRule="auto"/>
        <w:rPr>
          <w:lang w:eastAsia="fr-CA"/>
        </w:rPr>
      </w:pPr>
      <w:r w:rsidRPr="007A71D0">
        <w:rPr>
          <w:lang w:eastAsia="fr-CA"/>
        </w:rPr>
        <w:t>C’est aux articles 718 et suivants du </w:t>
      </w:r>
      <w:r w:rsidR="00EC7216">
        <w:rPr>
          <w:i/>
          <w:iCs/>
          <w:lang w:eastAsia="fr-CA"/>
        </w:rPr>
        <w:t>Code criminel</w:t>
      </w:r>
      <w:r w:rsidRPr="007A71D0">
        <w:rPr>
          <w:lang w:eastAsia="fr-CA"/>
        </w:rPr>
        <w:t> que l’on retrouve les objectifs poursuivis par l’imposition d’une peine.</w:t>
      </w:r>
      <w:r w:rsidRPr="007A71D0">
        <w:rPr>
          <w:rFonts w:ascii="Times New Roman" w:hAnsi="Times New Roman"/>
          <w:lang w:eastAsia="fr-CA"/>
        </w:rPr>
        <w:t>   </w:t>
      </w:r>
      <w:r w:rsidRPr="007A71D0">
        <w:rPr>
          <w:lang w:eastAsia="fr-CA"/>
        </w:rPr>
        <w:t>Elle doit viser un ou plusieurs des objectifs suivants : dénoncer le comportement illégal ; dissuader les délinquants et quiconque de commettre des infractions ; isoler, au besoin, les délinquants ; favoriser la réinsertion sociale ; assurer la réparation des torts causés aux victimes et susciter la conscience de leurs responsabilités chez les délinquants, notamment, par la reconnaissance du tort qu'ils ont causé aux victimes et à la collectivité.</w:t>
      </w:r>
    </w:p>
    <w:p w14:paraId="05AC23E6" w14:textId="77777777" w:rsidR="007A71D0" w:rsidRPr="007A71D0" w:rsidRDefault="007A71D0" w:rsidP="00543E00">
      <w:pPr>
        <w:pStyle w:val="Paragraphe"/>
        <w:tabs>
          <w:tab w:val="clear" w:pos="360"/>
          <w:tab w:val="num" w:pos="0"/>
        </w:tabs>
        <w:spacing w:line="240" w:lineRule="auto"/>
        <w:rPr>
          <w:lang w:eastAsia="fr-CA"/>
        </w:rPr>
      </w:pPr>
      <w:r w:rsidRPr="007A71D0">
        <w:rPr>
          <w:rFonts w:ascii="Times New Roman" w:hAnsi="Times New Roman"/>
          <w:sz w:val="14"/>
          <w:szCs w:val="14"/>
          <w:lang w:eastAsia="fr-CA"/>
        </w:rPr>
        <w:t> </w:t>
      </w:r>
      <w:r w:rsidRPr="007A71D0">
        <w:rPr>
          <w:lang w:eastAsia="fr-CA"/>
        </w:rPr>
        <w:t>Tel que la Cour suprême du Canada l’a souligné dans </w:t>
      </w:r>
      <w:r w:rsidRPr="007A71D0">
        <w:rPr>
          <w:i/>
          <w:iCs/>
          <w:lang w:eastAsia="fr-CA"/>
        </w:rPr>
        <w:t>R. </w:t>
      </w:r>
      <w:r w:rsidRPr="007A71D0">
        <w:rPr>
          <w:lang w:eastAsia="fr-CA"/>
        </w:rPr>
        <w:t>c. </w:t>
      </w:r>
      <w:r w:rsidRPr="007A71D0">
        <w:rPr>
          <w:i/>
          <w:iCs/>
          <w:lang w:eastAsia="fr-CA"/>
        </w:rPr>
        <w:t>M. (C.A.)</w:t>
      </w:r>
      <w:r w:rsidRPr="007A71D0">
        <w:rPr>
          <w:lang w:eastAsia="fr-CA"/>
        </w:rPr>
        <w:t>, le devoir général du juge qui inflige la peine est de faire appel à tous les principes légitimes de détermination afin de fixer une peine « juste et appropriée », qui reflète la gravité de l’infraction commise et la culpabilité morale du contrevenant</w:t>
      </w:r>
      <w:r w:rsidRPr="007A71D0">
        <w:rPr>
          <w:vertAlign w:val="superscript"/>
          <w:lang w:eastAsia="fr-CA"/>
        </w:rPr>
        <w:footnoteReference w:id="4"/>
      </w:r>
      <w:r w:rsidRPr="007A71D0">
        <w:rPr>
          <w:lang w:eastAsia="fr-CA"/>
        </w:rPr>
        <w:t>.</w:t>
      </w:r>
    </w:p>
    <w:p w14:paraId="37E9F464" w14:textId="77777777" w:rsidR="007A71D0" w:rsidRPr="007A71D0" w:rsidRDefault="007A71D0" w:rsidP="00A3527D">
      <w:pPr>
        <w:pStyle w:val="Paragraphe"/>
        <w:tabs>
          <w:tab w:val="clear" w:pos="360"/>
          <w:tab w:val="num" w:pos="0"/>
        </w:tabs>
        <w:spacing w:line="240" w:lineRule="auto"/>
        <w:rPr>
          <w:lang w:eastAsia="fr-CA"/>
        </w:rPr>
      </w:pPr>
      <w:r w:rsidRPr="007A71D0">
        <w:rPr>
          <w:lang w:eastAsia="fr-CA"/>
        </w:rPr>
        <w:t>La peine doit être proportionnelle à la gravité de l'infraction et au degré de responsabilité du délinquant. </w:t>
      </w:r>
    </w:p>
    <w:p w14:paraId="25515EE5" w14:textId="77777777" w:rsidR="007A71D0" w:rsidRPr="007A71D0" w:rsidRDefault="007A71D0" w:rsidP="001B5120">
      <w:pPr>
        <w:pStyle w:val="Paragraphe"/>
        <w:tabs>
          <w:tab w:val="clear" w:pos="360"/>
          <w:tab w:val="num" w:pos="0"/>
        </w:tabs>
        <w:spacing w:line="240" w:lineRule="auto"/>
        <w:rPr>
          <w:lang w:eastAsia="fr-CA"/>
        </w:rPr>
      </w:pPr>
      <w:r w:rsidRPr="007A71D0">
        <w:rPr>
          <w:rFonts w:ascii="Times New Roman" w:hAnsi="Times New Roman"/>
          <w:sz w:val="14"/>
          <w:szCs w:val="14"/>
          <w:lang w:eastAsia="fr-CA"/>
        </w:rPr>
        <w:t> </w:t>
      </w:r>
      <w:r w:rsidRPr="007A71D0">
        <w:rPr>
          <w:lang w:eastAsia="fr-CA"/>
        </w:rPr>
        <w:t>Elle doit être adaptée aux circonstances aggravantes ou atténuantes liées à la perpétration de l'infraction ou à la situation du délinquant et le Tribunal doit éviter l'excès de nature ou de durée dans l'imposition de peines consécutives.</w:t>
      </w:r>
    </w:p>
    <w:p w14:paraId="3DB2445E" w14:textId="48C28B6C" w:rsidR="007A71D0" w:rsidRPr="007A71D0" w:rsidRDefault="007A71D0" w:rsidP="003A3C6A">
      <w:pPr>
        <w:pStyle w:val="Paragraphe"/>
        <w:tabs>
          <w:tab w:val="clear" w:pos="360"/>
          <w:tab w:val="num" w:pos="0"/>
        </w:tabs>
        <w:spacing w:line="240" w:lineRule="auto"/>
        <w:rPr>
          <w:lang w:eastAsia="fr-CA"/>
        </w:rPr>
      </w:pPr>
      <w:r w:rsidRPr="007A71D0">
        <w:rPr>
          <w:rFonts w:ascii="Times New Roman" w:hAnsi="Times New Roman"/>
          <w:sz w:val="14"/>
          <w:szCs w:val="14"/>
          <w:lang w:eastAsia="fr-CA"/>
        </w:rPr>
        <w:t> </w:t>
      </w:r>
      <w:r w:rsidRPr="007A71D0">
        <w:rPr>
          <w:lang w:eastAsia="fr-CA"/>
        </w:rPr>
        <w:t>Le principe selon lequel des peines semblables doivent être imposées pour des infractions semblables commises dans des circonstances semblables</w:t>
      </w:r>
      <w:r w:rsidR="00575D6A">
        <w:rPr>
          <w:lang w:eastAsia="fr-CA"/>
        </w:rPr>
        <w:t>,</w:t>
      </w:r>
      <w:r w:rsidRPr="007A71D0">
        <w:rPr>
          <w:lang w:eastAsia="fr-CA"/>
        </w:rPr>
        <w:t xml:space="preserve"> a toujours régi les décisions judiciaires. Le législateur a également fait sien ce principe  à l'</w:t>
      </w:r>
      <w:hyperlink r:id="rId8" w:anchor="art718.2_smooth" w:history="1">
        <w:r w:rsidR="00EC7216">
          <w:rPr>
            <w:lang w:eastAsia="fr-CA"/>
          </w:rPr>
          <w:t>article 718.2</w:t>
        </w:r>
      </w:hyperlink>
      <w:r w:rsidRPr="007A71D0">
        <w:rPr>
          <w:lang w:eastAsia="fr-CA"/>
        </w:rPr>
        <w:t> b) du </w:t>
      </w:r>
      <w:r w:rsidR="00EC7216">
        <w:rPr>
          <w:i/>
          <w:lang w:eastAsia="fr-CA"/>
        </w:rPr>
        <w:t>Code criminel</w:t>
      </w:r>
      <w:r w:rsidRPr="007A71D0">
        <w:rPr>
          <w:lang w:eastAsia="fr-CA"/>
        </w:rPr>
        <w:t>.</w:t>
      </w:r>
    </w:p>
    <w:p w14:paraId="7AF5A76E" w14:textId="7D69ED57" w:rsidR="007A71D0" w:rsidRPr="007A71D0" w:rsidRDefault="007A71D0" w:rsidP="002C55E4">
      <w:pPr>
        <w:pStyle w:val="Paragraphe"/>
        <w:tabs>
          <w:tab w:val="clear" w:pos="360"/>
        </w:tabs>
        <w:spacing w:line="240" w:lineRule="auto"/>
        <w:rPr>
          <w:lang w:eastAsia="fr-CA"/>
        </w:rPr>
      </w:pPr>
      <w:r w:rsidRPr="007A71D0">
        <w:rPr>
          <w:lang w:eastAsia="fr-CA"/>
        </w:rPr>
        <w:t>Si le principe de l'harmonisation des peines commande la prise en compte de</w:t>
      </w:r>
      <w:r w:rsidR="00575D6A">
        <w:rPr>
          <w:lang w:eastAsia="fr-CA"/>
        </w:rPr>
        <w:t xml:space="preserve"> la </w:t>
      </w:r>
      <w:r w:rsidRPr="007A71D0">
        <w:rPr>
          <w:lang w:eastAsia="fr-CA"/>
        </w:rPr>
        <w:t>jurisprudence en semblable matière, il est subordonné au principe fondamental de la proportionnalité</w:t>
      </w:r>
      <w:r w:rsidRPr="007A71D0">
        <w:rPr>
          <w:vertAlign w:val="superscript"/>
          <w:lang w:eastAsia="fr-CA"/>
        </w:rPr>
        <w:footnoteReference w:id="5"/>
      </w:r>
      <w:r w:rsidRPr="007A71D0">
        <w:rPr>
          <w:lang w:eastAsia="fr-CA"/>
        </w:rPr>
        <w:t>. Pour reprendre l’enseignement de la Cour suprême dans </w:t>
      </w:r>
      <w:r w:rsidRPr="007A71D0">
        <w:rPr>
          <w:i/>
          <w:iCs/>
          <w:lang w:eastAsia="fr-CA"/>
        </w:rPr>
        <w:t>R.</w:t>
      </w:r>
      <w:r w:rsidRPr="007A71D0">
        <w:rPr>
          <w:lang w:eastAsia="fr-CA"/>
        </w:rPr>
        <w:t> c. </w:t>
      </w:r>
      <w:r w:rsidRPr="007A71D0">
        <w:rPr>
          <w:i/>
          <w:iCs/>
          <w:lang w:eastAsia="fr-CA"/>
        </w:rPr>
        <w:t>Lacasse</w:t>
      </w:r>
      <w:r w:rsidRPr="007A71D0">
        <w:rPr>
          <w:i/>
          <w:iCs/>
          <w:vertAlign w:val="superscript"/>
          <w:lang w:eastAsia="fr-CA"/>
        </w:rPr>
        <w:footnoteReference w:id="6"/>
      </w:r>
      <w:r w:rsidRPr="007A71D0">
        <w:rPr>
          <w:i/>
          <w:iCs/>
          <w:lang w:eastAsia="fr-CA"/>
        </w:rPr>
        <w:t> :</w:t>
      </w:r>
      <w:r w:rsidRPr="007A71D0">
        <w:rPr>
          <w:lang w:eastAsia="fr-CA"/>
        </w:rPr>
        <w:t> </w:t>
      </w:r>
      <w:hyperlink r:id="rId9" w:history="1"/>
    </w:p>
    <w:p w14:paraId="3D252CA2" w14:textId="64B8B78F" w:rsidR="007A71D0" w:rsidRDefault="007A71D0" w:rsidP="00C83EFB">
      <w:pPr>
        <w:pStyle w:val="Citationenretrait"/>
        <w:rPr>
          <w:lang w:eastAsia="fr-CA"/>
        </w:rPr>
      </w:pPr>
      <w:r w:rsidRPr="007A71D0">
        <w:rPr>
          <w:lang w:eastAsia="fr-CA"/>
        </w:rPr>
        <w:t>[12]</w:t>
      </w:r>
      <w:r w:rsidR="00035C3E">
        <w:rPr>
          <w:lang w:eastAsia="fr-CA"/>
        </w:rPr>
        <w:tab/>
      </w:r>
      <w:r w:rsidRPr="007A71D0">
        <w:rPr>
          <w:lang w:eastAsia="fr-CA"/>
        </w:rPr>
        <w:t>[…]</w:t>
      </w:r>
      <w:r w:rsidR="00035C3E">
        <w:rPr>
          <w:lang w:eastAsia="fr-CA"/>
        </w:rPr>
        <w:t xml:space="preserve"> </w:t>
      </w:r>
      <w:r w:rsidRPr="007A71D0">
        <w:rPr>
          <w:lang w:eastAsia="fr-CA"/>
        </w:rPr>
        <w:t>la proportionnalité demeure le principe cardinal […]. Plus le crime commis et ses conséquences sont graves, ou plus le degré de responsabilité du délinquant est élevé, plus la peine sera lourde. En d’autres mots, la sévérité de la peine ne dépend pas seulement de la gravité des conséquences du crime, mais également de la culpabilité morale du délinquant</w:t>
      </w:r>
      <w:r w:rsidR="00035C3E">
        <w:rPr>
          <w:lang w:eastAsia="fr-CA"/>
        </w:rPr>
        <w:t xml:space="preserve"> […].</w:t>
      </w:r>
    </w:p>
    <w:p w14:paraId="1D66C317" w14:textId="64B931AB" w:rsidR="00CB6C1D" w:rsidRPr="007A71D0" w:rsidRDefault="00CB6C1D" w:rsidP="00C83EFB">
      <w:pPr>
        <w:pStyle w:val="Citationenretrait"/>
        <w:rPr>
          <w:lang w:eastAsia="fr-CA"/>
        </w:rPr>
      </w:pPr>
      <w:r>
        <w:rPr>
          <w:lang w:eastAsia="fr-CA"/>
        </w:rPr>
        <w:t>[…]</w:t>
      </w:r>
    </w:p>
    <w:p w14:paraId="562E1E7D" w14:textId="398C9B5E" w:rsidR="007A71D0" w:rsidRPr="007A71D0" w:rsidRDefault="007A71D0" w:rsidP="00C83EFB">
      <w:pPr>
        <w:pStyle w:val="Citationenretrait"/>
        <w:rPr>
          <w:u w:val="single"/>
          <w:lang w:eastAsia="fr-CA"/>
        </w:rPr>
      </w:pPr>
      <w:r w:rsidRPr="007A71D0">
        <w:rPr>
          <w:lang w:eastAsia="fr-CA"/>
        </w:rPr>
        <w:t>[53]</w:t>
      </w:r>
      <w:r w:rsidR="00035C3E">
        <w:rPr>
          <w:lang w:eastAsia="fr-CA"/>
        </w:rPr>
        <w:tab/>
      </w:r>
      <w:r w:rsidR="00035C3E" w:rsidRPr="007A71D0">
        <w:rPr>
          <w:lang w:eastAsia="fr-CA"/>
        </w:rPr>
        <w:t>[…]</w:t>
      </w:r>
      <w:r w:rsidR="00035C3E">
        <w:rPr>
          <w:lang w:eastAsia="fr-CA"/>
        </w:rPr>
        <w:t xml:space="preserve"> </w:t>
      </w:r>
      <w:r w:rsidRPr="007A71D0">
        <w:rPr>
          <w:lang w:eastAsia="fr-CA"/>
        </w:rPr>
        <w:t>La proportionnalité se détermine à la fois sur une base individuelle, c’est-à-dire à l’égard de l’accusé lui-même et de l’infraction qu’il a commise, ainsi que sur une base comparative des peines infligées pour des infractions semblables commises dans des circonstances semblables</w:t>
      </w:r>
      <w:r w:rsidRPr="007A71D0">
        <w:rPr>
          <w:u w:val="single"/>
          <w:lang w:eastAsia="fr-CA"/>
        </w:rPr>
        <w:t>. L’individualisation et l’harmonisation de la peine doivent être conciliées pour qu’il en résulte une peine proportionnelle : </w:t>
      </w:r>
      <w:r w:rsidR="00EC7216">
        <w:rPr>
          <w:u w:val="single"/>
          <w:lang w:eastAsia="fr-CA"/>
        </w:rPr>
        <w:t>al. 718.2</w:t>
      </w:r>
      <w:r w:rsidRPr="007A71D0">
        <w:rPr>
          <w:u w:val="single"/>
          <w:lang w:eastAsia="fr-CA"/>
        </w:rPr>
        <w:t> a) et b) du </w:t>
      </w:r>
      <w:hyperlink r:id="rId10" w:history="1">
        <w:r w:rsidR="00EC7216">
          <w:rPr>
            <w:i/>
            <w:iCs/>
            <w:u w:val="single"/>
            <w:lang w:eastAsia="fr-CA"/>
          </w:rPr>
          <w:t>Code criminel</w:t>
        </w:r>
      </w:hyperlink>
      <w:r w:rsidRPr="007A71D0">
        <w:rPr>
          <w:u w:val="single"/>
          <w:lang w:eastAsia="fr-CA"/>
        </w:rPr>
        <w:t>.</w:t>
      </w:r>
    </w:p>
    <w:p w14:paraId="425480DE" w14:textId="77777777" w:rsidR="007A71D0" w:rsidRPr="007A71D0" w:rsidRDefault="007A71D0" w:rsidP="00CD330D">
      <w:pPr>
        <w:pStyle w:val="Paragraphe"/>
        <w:numPr>
          <w:ilvl w:val="0"/>
          <w:numId w:val="0"/>
        </w:numPr>
        <w:spacing w:line="240" w:lineRule="auto"/>
        <w:ind w:left="5872" w:firstLine="734"/>
        <w:rPr>
          <w:sz w:val="22"/>
          <w:szCs w:val="22"/>
          <w:lang w:eastAsia="fr-CA"/>
        </w:rPr>
      </w:pPr>
      <w:r w:rsidRPr="007A71D0">
        <w:rPr>
          <w:sz w:val="22"/>
          <w:szCs w:val="22"/>
          <w:lang w:eastAsia="fr-CA"/>
        </w:rPr>
        <w:t>[Soulignement ajouté]</w:t>
      </w:r>
    </w:p>
    <w:p w14:paraId="4C8897EC" w14:textId="5CBD66E7" w:rsidR="007A71D0" w:rsidRDefault="007A71D0" w:rsidP="00543E00">
      <w:pPr>
        <w:pStyle w:val="Paragraphe"/>
        <w:tabs>
          <w:tab w:val="clear" w:pos="360"/>
          <w:tab w:val="num" w:pos="0"/>
        </w:tabs>
        <w:spacing w:line="240" w:lineRule="auto"/>
        <w:rPr>
          <w:lang w:eastAsia="fr-CA"/>
        </w:rPr>
      </w:pPr>
      <w:r w:rsidRPr="007A71D0">
        <w:rPr>
          <w:lang w:eastAsia="fr-CA"/>
        </w:rPr>
        <w:t xml:space="preserve">Le Tribunal doit éviter l’excès de nature et de durée dans l’infliction des peines, cherchant toujours à déterminer la peine juste la moins contraignante lorsque les circonstances le justifient (718.2 (d) (e) du </w:t>
      </w:r>
      <w:r w:rsidRPr="007A71D0">
        <w:rPr>
          <w:i/>
          <w:lang w:eastAsia="fr-CA"/>
        </w:rPr>
        <w:t>C. cr.</w:t>
      </w:r>
      <w:r w:rsidRPr="007A71D0">
        <w:rPr>
          <w:lang w:eastAsia="fr-CA"/>
        </w:rPr>
        <w:t>)</w:t>
      </w:r>
      <w:r w:rsidR="00175648">
        <w:rPr>
          <w:lang w:eastAsia="fr-CA"/>
        </w:rPr>
        <w:t xml:space="preserve">. </w:t>
      </w:r>
      <w:r w:rsidRPr="007A71D0">
        <w:rPr>
          <w:lang w:eastAsia="fr-CA"/>
        </w:rPr>
        <w:t>Encore une fois, le principe de la proportionnalité sera déterminant</w:t>
      </w:r>
      <w:r w:rsidRPr="007A71D0">
        <w:rPr>
          <w:vertAlign w:val="superscript"/>
          <w:lang w:eastAsia="fr-CA"/>
        </w:rPr>
        <w:footnoteReference w:id="7"/>
      </w:r>
      <w:r w:rsidRPr="007A71D0">
        <w:rPr>
          <w:lang w:eastAsia="fr-CA"/>
        </w:rPr>
        <w:t>.</w:t>
      </w:r>
    </w:p>
    <w:p w14:paraId="19F717B4" w14:textId="594D95B9" w:rsidR="0068003F" w:rsidRDefault="0068003F" w:rsidP="0068003F">
      <w:pPr>
        <w:pStyle w:val="Paragraphe"/>
        <w:spacing w:line="240" w:lineRule="auto"/>
        <w:rPr>
          <w:lang w:val="fr-FR"/>
        </w:rPr>
      </w:pPr>
      <w:r>
        <w:rPr>
          <w:lang w:eastAsia="fr-CA"/>
        </w:rPr>
        <w:t>En 2019</w:t>
      </w:r>
      <w:r w:rsidRPr="0068003F">
        <w:rPr>
          <w:lang w:val="fr-FR"/>
        </w:rPr>
        <w:t xml:space="preserve">, dans </w:t>
      </w:r>
      <w:r w:rsidRPr="0068003F">
        <w:rPr>
          <w:i/>
          <w:iCs/>
          <w:lang w:val="fr-FR"/>
        </w:rPr>
        <w:t>Trudel</w:t>
      </w:r>
      <w:r w:rsidRPr="0068003F">
        <w:rPr>
          <w:lang w:val="fr-FR"/>
        </w:rPr>
        <w:t xml:space="preserve"> c. </w:t>
      </w:r>
      <w:r w:rsidRPr="0068003F">
        <w:rPr>
          <w:i/>
          <w:iCs/>
          <w:lang w:val="fr-FR"/>
        </w:rPr>
        <w:t>R.</w:t>
      </w:r>
      <w:r w:rsidRPr="0068003F">
        <w:rPr>
          <w:vertAlign w:val="superscript"/>
          <w:lang w:val="fr-FR"/>
        </w:rPr>
        <w:footnoteReference w:id="8"/>
      </w:r>
      <w:r w:rsidRPr="0068003F">
        <w:rPr>
          <w:lang w:val="fr-FR"/>
        </w:rPr>
        <w:t xml:space="preserve">, la Cour d'appel du Québec rappelle que l'harmonisation </w:t>
      </w:r>
      <w:r w:rsidR="007C1A44" w:rsidRPr="0068003F">
        <w:rPr>
          <w:lang w:val="fr-FR"/>
        </w:rPr>
        <w:t>des peines</w:t>
      </w:r>
      <w:r w:rsidRPr="0068003F">
        <w:rPr>
          <w:lang w:val="fr-FR"/>
        </w:rPr>
        <w:t xml:space="preserve"> ne signifie pas qu'il doit y avoir identité des peines entre coaccusés :</w:t>
      </w:r>
    </w:p>
    <w:p w14:paraId="0283255A" w14:textId="3235D2CB" w:rsidR="0068003F" w:rsidRPr="0068003F" w:rsidRDefault="0068003F" w:rsidP="0068003F">
      <w:pPr>
        <w:pStyle w:val="Citationenretrait"/>
        <w:rPr>
          <w:sz w:val="24"/>
          <w:lang w:val="fr-FR"/>
        </w:rPr>
      </w:pPr>
      <w:r w:rsidRPr="0068003F">
        <w:rPr>
          <w:lang w:val="fr-FR"/>
        </w:rPr>
        <w:t>[6]</w:t>
      </w:r>
      <w:r w:rsidR="003261BC">
        <w:rPr>
          <w:lang w:val="fr-FR"/>
        </w:rPr>
        <w:tab/>
      </w:r>
      <w:r w:rsidRPr="0068003F">
        <w:rPr>
          <w:lang w:val="fr-FR"/>
        </w:rPr>
        <w:t>[…] L’harmonisation des peines, faut-il le rappeler, « ne signifie pas qu’il doit y avoir identité de peines entre des complices ni entre des délinquants similaires ». Ce principe et celui de l’individualisation de la peine doivent être conciliés. C’est ce que la juge a fait ici en soulignant l’absence de facteur atténuant et le degré d’implication élevé de l’appelant dans la perpétration du crime.</w:t>
      </w:r>
    </w:p>
    <w:p w14:paraId="4BC7348A" w14:textId="68ACBB05" w:rsidR="0068003F" w:rsidRDefault="0068003F" w:rsidP="009C2095">
      <w:pPr>
        <w:tabs>
          <w:tab w:val="center" w:pos="4320"/>
          <w:tab w:val="right" w:pos="8640"/>
        </w:tabs>
        <w:ind w:left="567" w:right="567"/>
        <w:rPr>
          <w:rFonts w:cs="Arial"/>
          <w:sz w:val="22"/>
          <w:szCs w:val="22"/>
          <w:lang w:val="fr-FR"/>
        </w:rPr>
      </w:pPr>
      <w:r>
        <w:rPr>
          <w:rFonts w:cs="Arial"/>
          <w:sz w:val="22"/>
          <w:szCs w:val="22"/>
          <w:lang w:val="fr-FR"/>
        </w:rPr>
        <w:tab/>
      </w:r>
      <w:r>
        <w:rPr>
          <w:rFonts w:cs="Arial"/>
          <w:sz w:val="22"/>
          <w:szCs w:val="22"/>
          <w:lang w:val="fr-FR"/>
        </w:rPr>
        <w:tab/>
        <w:t>[</w:t>
      </w:r>
      <w:r w:rsidRPr="0068003F">
        <w:rPr>
          <w:rFonts w:cs="Arial"/>
          <w:sz w:val="22"/>
          <w:szCs w:val="22"/>
          <w:lang w:val="fr-FR"/>
        </w:rPr>
        <w:t>Références omises</w:t>
      </w:r>
      <w:r>
        <w:rPr>
          <w:rFonts w:cs="Arial"/>
          <w:sz w:val="22"/>
          <w:szCs w:val="22"/>
          <w:lang w:val="fr-FR"/>
        </w:rPr>
        <w:t>]</w:t>
      </w:r>
    </w:p>
    <w:p w14:paraId="3276D8CB" w14:textId="58686F09" w:rsidR="003C11AB" w:rsidRPr="00BF55C7" w:rsidRDefault="007C1A44" w:rsidP="003C11AB">
      <w:pPr>
        <w:pStyle w:val="Paragraphe"/>
        <w:spacing w:line="240" w:lineRule="auto"/>
        <w:rPr>
          <w:rStyle w:val="Numrodepage"/>
          <w:rFonts w:cs="Arial"/>
          <w:szCs w:val="24"/>
        </w:rPr>
      </w:pPr>
      <w:r w:rsidRPr="00BF55C7">
        <w:rPr>
          <w:rStyle w:val="Numrodepage"/>
          <w:rFonts w:cs="Arial"/>
          <w:szCs w:val="24"/>
        </w:rPr>
        <w:t>D</w:t>
      </w:r>
      <w:r w:rsidR="003C11AB" w:rsidRPr="00BF55C7">
        <w:rPr>
          <w:rStyle w:val="Numrodepage"/>
          <w:rFonts w:cs="Arial"/>
          <w:szCs w:val="24"/>
        </w:rPr>
        <w:t>ans</w:t>
      </w:r>
      <w:r w:rsidRPr="00BF55C7">
        <w:rPr>
          <w:rStyle w:val="Numrodepage"/>
          <w:rFonts w:cs="Arial"/>
          <w:szCs w:val="24"/>
        </w:rPr>
        <w:t xml:space="preserve"> un arrêt récent, rendu par la Cour d'appel du Québec en 2020, dans le dossier</w:t>
      </w:r>
      <w:r w:rsidR="003C11AB" w:rsidRPr="00BF55C7">
        <w:rPr>
          <w:rStyle w:val="Numrodepage"/>
          <w:rFonts w:cs="Arial"/>
          <w:szCs w:val="24"/>
        </w:rPr>
        <w:t xml:space="preserve"> </w:t>
      </w:r>
      <w:r w:rsidR="003C11AB" w:rsidRPr="00BF55C7">
        <w:rPr>
          <w:rStyle w:val="Numrodepage"/>
          <w:rFonts w:cs="Arial"/>
          <w:i/>
          <w:iCs/>
          <w:szCs w:val="24"/>
        </w:rPr>
        <w:t xml:space="preserve">Vallières </w:t>
      </w:r>
      <w:r w:rsidR="003C11AB" w:rsidRPr="00BF55C7">
        <w:rPr>
          <w:rStyle w:val="Numrodepage"/>
          <w:rFonts w:cs="Arial"/>
          <w:szCs w:val="24"/>
        </w:rPr>
        <w:t xml:space="preserve">c. </w:t>
      </w:r>
      <w:r w:rsidR="003C11AB" w:rsidRPr="00BF55C7">
        <w:rPr>
          <w:rStyle w:val="Numrodepage"/>
          <w:rFonts w:cs="Arial"/>
          <w:i/>
          <w:iCs/>
          <w:szCs w:val="24"/>
        </w:rPr>
        <w:t>R.</w:t>
      </w:r>
      <w:r w:rsidR="003C11AB" w:rsidRPr="00BF55C7">
        <w:rPr>
          <w:rStyle w:val="Appelnotedebasdep"/>
          <w:rFonts w:cs="Arial"/>
          <w:szCs w:val="24"/>
          <w:vertAlign w:val="superscript"/>
        </w:rPr>
        <w:footnoteReference w:id="9"/>
      </w:r>
      <w:r w:rsidRPr="00BF55C7">
        <w:rPr>
          <w:rStyle w:val="Numrodepage"/>
          <w:rFonts w:cs="Arial"/>
          <w:i/>
          <w:iCs/>
          <w:szCs w:val="24"/>
        </w:rPr>
        <w:t xml:space="preserve">, </w:t>
      </w:r>
      <w:r w:rsidRPr="00BF55C7">
        <w:rPr>
          <w:rStyle w:val="Numrodepage"/>
          <w:rFonts w:cs="Arial"/>
          <w:szCs w:val="24"/>
        </w:rPr>
        <w:t>cette dernière</w:t>
      </w:r>
      <w:r w:rsidR="003C11AB" w:rsidRPr="00BF55C7">
        <w:rPr>
          <w:rStyle w:val="Numrodepage"/>
          <w:rFonts w:cs="Arial"/>
          <w:szCs w:val="24"/>
        </w:rPr>
        <w:t xml:space="preserve"> rappelle les indices permettant au juge d'évaluer la culpabilité morale distincte de chacun des coaccusés :</w:t>
      </w:r>
    </w:p>
    <w:p w14:paraId="1467B7F8" w14:textId="77777777" w:rsidR="003C11AB" w:rsidRPr="009C6EE6" w:rsidRDefault="003C11AB" w:rsidP="003C11AB">
      <w:pPr>
        <w:pStyle w:val="Pieddepage"/>
        <w:jc w:val="both"/>
        <w:rPr>
          <w:rStyle w:val="Numrodepage"/>
          <w:rFonts w:cs="Arial"/>
          <w:sz w:val="22"/>
          <w:szCs w:val="22"/>
        </w:rPr>
      </w:pPr>
    </w:p>
    <w:p w14:paraId="6A095EDC" w14:textId="77777777" w:rsidR="003C11AB" w:rsidRPr="009C6EE6" w:rsidRDefault="003C11AB" w:rsidP="003C11AB">
      <w:pPr>
        <w:pStyle w:val="Pieddepage"/>
        <w:ind w:left="567" w:right="567"/>
        <w:jc w:val="both"/>
        <w:rPr>
          <w:rStyle w:val="Numrodepage"/>
          <w:rFonts w:cs="Arial"/>
          <w:sz w:val="22"/>
          <w:szCs w:val="22"/>
        </w:rPr>
      </w:pPr>
      <w:r w:rsidRPr="009C6EE6">
        <w:rPr>
          <w:rStyle w:val="Numrodepage"/>
          <w:rFonts w:cs="Arial"/>
          <w:sz w:val="22"/>
          <w:szCs w:val="22"/>
        </w:rPr>
        <w:t xml:space="preserve">[204]     Même si plusieurs accusés sont déclarés coupables d’une même infraction criminelle, leur responsabilité réelle peut différer, ce qui influencera leurs peines respectives. Dans l’arrêt </w:t>
      </w:r>
      <w:r w:rsidRPr="009C6EE6">
        <w:rPr>
          <w:rStyle w:val="Numrodepage"/>
          <w:rFonts w:cs="Arial"/>
          <w:i/>
          <w:iCs/>
          <w:sz w:val="22"/>
          <w:szCs w:val="22"/>
        </w:rPr>
        <w:t>R.</w:t>
      </w:r>
      <w:r w:rsidRPr="009C6EE6">
        <w:rPr>
          <w:rStyle w:val="Numrodepage"/>
          <w:rFonts w:cs="Arial"/>
          <w:sz w:val="22"/>
          <w:szCs w:val="22"/>
        </w:rPr>
        <w:t xml:space="preserve"> c. </w:t>
      </w:r>
      <w:r w:rsidRPr="009C6EE6">
        <w:rPr>
          <w:rStyle w:val="Numrodepage"/>
          <w:rFonts w:cs="Arial"/>
          <w:i/>
          <w:iCs/>
          <w:sz w:val="22"/>
          <w:szCs w:val="22"/>
        </w:rPr>
        <w:t>Brisson</w:t>
      </w:r>
      <w:r w:rsidRPr="009C6EE6">
        <w:rPr>
          <w:rStyle w:val="Numrodepage"/>
          <w:rFonts w:cs="Arial"/>
          <w:sz w:val="22"/>
          <w:szCs w:val="22"/>
        </w:rPr>
        <w:t>, notre Cour donne plusieurs indices permettant au juge de la peine d’évaluer la culpabilité morale distincte de chaque contrevenant :</w:t>
      </w:r>
    </w:p>
    <w:p w14:paraId="04891FDA" w14:textId="77777777" w:rsidR="003C11AB" w:rsidRPr="009C6EE6" w:rsidRDefault="003C11AB" w:rsidP="003C11AB">
      <w:pPr>
        <w:pStyle w:val="Pieddepage"/>
        <w:ind w:left="567" w:right="567"/>
        <w:jc w:val="both"/>
        <w:rPr>
          <w:rStyle w:val="Numrodepage"/>
          <w:rFonts w:cs="Arial"/>
          <w:sz w:val="22"/>
          <w:szCs w:val="22"/>
        </w:rPr>
      </w:pPr>
    </w:p>
    <w:p w14:paraId="1B97A053" w14:textId="77777777" w:rsidR="003C11AB" w:rsidRPr="009C6EE6" w:rsidRDefault="003C11AB" w:rsidP="009C6EE6">
      <w:pPr>
        <w:pStyle w:val="Pieddepage"/>
        <w:ind w:left="1418" w:right="567"/>
        <w:jc w:val="both"/>
        <w:rPr>
          <w:rStyle w:val="Numrodepage"/>
          <w:rFonts w:cs="Arial"/>
          <w:sz w:val="22"/>
          <w:szCs w:val="22"/>
        </w:rPr>
      </w:pPr>
      <w:r w:rsidRPr="009C6EE6">
        <w:rPr>
          <w:rStyle w:val="Numrodepage"/>
          <w:rFonts w:cs="Arial"/>
          <w:sz w:val="22"/>
          <w:szCs w:val="22"/>
        </w:rPr>
        <w:t>[20]      Ainsi, le rôle joué dans la perpétration de l’infraction, le degré de participation, les comportements et attitudes adoptés, les risques sciemment encourus et leurs conséquences, la motivation sous-jacente et la volonté d’accomplir le dessein criminel sont tous des éléments qui influenceront le niveau de responsabilité morale d’un délinquant :</w:t>
      </w:r>
    </w:p>
    <w:p w14:paraId="22EE577C" w14:textId="77777777" w:rsidR="003C11AB" w:rsidRPr="009C6EE6" w:rsidRDefault="003C11AB" w:rsidP="009C6EE6">
      <w:pPr>
        <w:pStyle w:val="Pieddepage"/>
        <w:ind w:left="1418" w:right="567"/>
        <w:jc w:val="both"/>
        <w:rPr>
          <w:rStyle w:val="Numrodepage"/>
          <w:rFonts w:cs="Arial"/>
          <w:sz w:val="22"/>
          <w:szCs w:val="22"/>
        </w:rPr>
      </w:pPr>
    </w:p>
    <w:p w14:paraId="2C9F06E4" w14:textId="77777777" w:rsidR="003C11AB" w:rsidRPr="009C6EE6" w:rsidRDefault="003C11AB" w:rsidP="009C6EE6">
      <w:pPr>
        <w:pStyle w:val="Pieddepage"/>
        <w:ind w:left="1418" w:right="567"/>
        <w:jc w:val="both"/>
        <w:rPr>
          <w:rStyle w:val="Numrodepage"/>
          <w:rFonts w:cs="Arial"/>
          <w:sz w:val="22"/>
          <w:szCs w:val="22"/>
        </w:rPr>
      </w:pPr>
      <w:r w:rsidRPr="009C6EE6">
        <w:rPr>
          <w:rStyle w:val="Numrodepage"/>
          <w:rFonts w:cs="Arial"/>
          <w:sz w:val="22"/>
          <w:szCs w:val="22"/>
        </w:rPr>
        <w:t xml:space="preserve">[…]           En contexte criminel, par contraste, le châtiment se traduit par la détermination objective, raisonnée et mesurée d'une peine appropriée, reflétant adéquatement </w:t>
      </w:r>
      <w:r w:rsidRPr="009C6EE6">
        <w:rPr>
          <w:rStyle w:val="Numrodepage"/>
          <w:rFonts w:cs="Arial"/>
          <w:sz w:val="22"/>
          <w:szCs w:val="22"/>
          <w:u w:val="single"/>
        </w:rPr>
        <w:t>la culpabilité morale du délinquant, compte tenu des risques pris intentionnellement par le contrevenant, du préjudice qu'il a causé en conséquence et du caractère normatif de sa conduite.</w:t>
      </w:r>
      <w:r w:rsidRPr="009C6EE6">
        <w:rPr>
          <w:rStyle w:val="Numrodepage"/>
          <w:rFonts w:cs="Arial"/>
          <w:sz w:val="22"/>
          <w:szCs w:val="22"/>
        </w:rPr>
        <w:t xml:space="preserve"> […] [</w:t>
      </w:r>
      <w:r w:rsidRPr="009C6EE6">
        <w:rPr>
          <w:rStyle w:val="Numrodepage"/>
          <w:rFonts w:cs="Arial"/>
          <w:i/>
          <w:iCs/>
          <w:sz w:val="22"/>
          <w:szCs w:val="22"/>
        </w:rPr>
        <w:t>R.</w:t>
      </w:r>
      <w:r w:rsidRPr="009C6EE6">
        <w:rPr>
          <w:rStyle w:val="Numrodepage"/>
          <w:rFonts w:cs="Arial"/>
          <w:sz w:val="22"/>
          <w:szCs w:val="22"/>
        </w:rPr>
        <w:t xml:space="preserve"> c. </w:t>
      </w:r>
      <w:r w:rsidRPr="009C6EE6">
        <w:rPr>
          <w:rStyle w:val="Numrodepage"/>
          <w:rFonts w:cs="Arial"/>
          <w:i/>
          <w:iCs/>
          <w:sz w:val="22"/>
          <w:szCs w:val="22"/>
        </w:rPr>
        <w:t>M. (C.A.),</w:t>
      </w:r>
      <w:r w:rsidRPr="009C6EE6">
        <w:rPr>
          <w:rStyle w:val="Numrodepage"/>
          <w:rFonts w:cs="Arial"/>
          <w:sz w:val="22"/>
          <w:szCs w:val="22"/>
        </w:rPr>
        <w:t xml:space="preserve"> 1996 CanLII 230 (CSC), [1996] 1 R.C.S. 500.]</w:t>
      </w:r>
    </w:p>
    <w:p w14:paraId="6BD8204F" w14:textId="77777777" w:rsidR="003C11AB" w:rsidRPr="009C6EE6" w:rsidRDefault="003C11AB" w:rsidP="009C6EE6">
      <w:pPr>
        <w:pStyle w:val="Pieddepage"/>
        <w:ind w:left="1418" w:right="567"/>
        <w:jc w:val="both"/>
        <w:rPr>
          <w:rStyle w:val="Numrodepage"/>
          <w:rFonts w:cs="Arial"/>
          <w:sz w:val="22"/>
          <w:szCs w:val="22"/>
        </w:rPr>
      </w:pPr>
    </w:p>
    <w:p w14:paraId="5D5C5B7A" w14:textId="7CE46A03" w:rsidR="003C11AB" w:rsidRPr="009C6EE6" w:rsidRDefault="003C11AB" w:rsidP="009C6EE6">
      <w:pPr>
        <w:pStyle w:val="Pieddepage"/>
        <w:ind w:left="1418" w:right="567"/>
        <w:jc w:val="right"/>
        <w:rPr>
          <w:rStyle w:val="Numrodepage"/>
          <w:rFonts w:cs="Arial"/>
          <w:sz w:val="22"/>
          <w:szCs w:val="22"/>
        </w:rPr>
      </w:pPr>
      <w:r w:rsidRPr="009C6EE6">
        <w:rPr>
          <w:rStyle w:val="Numrodepage"/>
          <w:rFonts w:cs="Arial"/>
          <w:sz w:val="22"/>
          <w:szCs w:val="22"/>
        </w:rPr>
        <w:t>[Soulignements de la Cour]</w:t>
      </w:r>
    </w:p>
    <w:p w14:paraId="3B2E3D00" w14:textId="77777777" w:rsidR="003C11AB" w:rsidRPr="009C6EE6" w:rsidRDefault="003C11AB" w:rsidP="009C6EE6">
      <w:pPr>
        <w:pStyle w:val="Pieddepage"/>
        <w:ind w:left="1418" w:right="567"/>
        <w:jc w:val="both"/>
        <w:rPr>
          <w:rStyle w:val="Numrodepage"/>
          <w:rFonts w:cs="Arial"/>
          <w:sz w:val="22"/>
          <w:szCs w:val="22"/>
        </w:rPr>
      </w:pPr>
    </w:p>
    <w:p w14:paraId="77E6EF21" w14:textId="77777777" w:rsidR="003C11AB" w:rsidRPr="009C6EE6" w:rsidRDefault="003C11AB" w:rsidP="009C6EE6">
      <w:pPr>
        <w:pStyle w:val="Pieddepage"/>
        <w:ind w:left="1418" w:right="567"/>
        <w:jc w:val="both"/>
        <w:rPr>
          <w:rStyle w:val="Numrodepage"/>
          <w:rFonts w:cs="Arial"/>
          <w:sz w:val="22"/>
          <w:szCs w:val="22"/>
        </w:rPr>
      </w:pPr>
      <w:r w:rsidRPr="009C6EE6">
        <w:rPr>
          <w:rStyle w:val="Numrodepage"/>
          <w:rFonts w:cs="Arial"/>
          <w:sz w:val="22"/>
          <w:szCs w:val="22"/>
        </w:rPr>
        <w:t>[21]      Peu importe le processus légal par lequel plusieurs délinquants sont reconnus coupables d’une même infraction, la culpabilité morale distincte de chacun sera examinée au stade de la détermination de la peine :</w:t>
      </w:r>
    </w:p>
    <w:p w14:paraId="7170C5CA" w14:textId="77777777" w:rsidR="003C11AB" w:rsidRPr="009C6EE6" w:rsidRDefault="003C11AB" w:rsidP="009C6EE6">
      <w:pPr>
        <w:pStyle w:val="Pieddepage"/>
        <w:ind w:left="1418" w:right="567"/>
        <w:jc w:val="both"/>
        <w:rPr>
          <w:rStyle w:val="Numrodepage"/>
          <w:rFonts w:cs="Arial"/>
          <w:sz w:val="22"/>
          <w:szCs w:val="22"/>
        </w:rPr>
      </w:pPr>
    </w:p>
    <w:p w14:paraId="0E60B984" w14:textId="77777777" w:rsidR="003C11AB" w:rsidRPr="009C6EE6" w:rsidRDefault="003C11AB" w:rsidP="008F384C">
      <w:pPr>
        <w:pStyle w:val="Pieddepage"/>
        <w:ind w:left="2127" w:right="567"/>
        <w:jc w:val="both"/>
        <w:rPr>
          <w:rStyle w:val="Numrodepage"/>
          <w:rFonts w:cs="Arial"/>
          <w:sz w:val="22"/>
          <w:szCs w:val="22"/>
        </w:rPr>
      </w:pPr>
      <w:r w:rsidRPr="009C6EE6">
        <w:rPr>
          <w:rStyle w:val="Numrodepage"/>
          <w:rFonts w:cs="Arial"/>
          <w:sz w:val="22"/>
          <w:szCs w:val="22"/>
          <w:lang w:val="en-CA"/>
        </w:rPr>
        <w:t xml:space="preserve">(…) Where more than one offender is involved, </w:t>
      </w:r>
      <w:r w:rsidRPr="009C6EE6">
        <w:rPr>
          <w:rStyle w:val="Numrodepage"/>
          <w:rFonts w:cs="Arial"/>
          <w:sz w:val="22"/>
          <w:szCs w:val="22"/>
          <w:u w:val="single"/>
          <w:lang w:val="en-CA"/>
        </w:rPr>
        <w:t>the role played in the commission of the offence is a relevant factor in sentencing,</w:t>
      </w:r>
      <w:r w:rsidRPr="009C6EE6">
        <w:rPr>
          <w:rStyle w:val="Numrodepage"/>
          <w:rFonts w:cs="Arial"/>
          <w:sz w:val="22"/>
          <w:szCs w:val="22"/>
          <w:lang w:val="en-CA"/>
        </w:rPr>
        <w:t xml:space="preserve"> as it enables the court to deal with an important consideration: assessing the offender’s personal responsibility pursuant to section 718.1 of the Criminal Code. A minor role will tend to produce a lower sentence, and the principal offender can expect to be dealt with more severely. (…) [Clayton C. Ruby, Gerald J. Chan et Nader R. Hasan, Sentencing, 8th ed., Markham, LexisNexis, 2012, paragr. </w:t>
      </w:r>
      <w:r w:rsidRPr="009C6EE6">
        <w:rPr>
          <w:rStyle w:val="Numrodepage"/>
          <w:rFonts w:cs="Arial"/>
          <w:sz w:val="22"/>
          <w:szCs w:val="22"/>
        </w:rPr>
        <w:t>5.231, 5.232.].</w:t>
      </w:r>
    </w:p>
    <w:p w14:paraId="2FB9BC6B" w14:textId="77777777" w:rsidR="003C11AB" w:rsidRPr="009C6EE6" w:rsidRDefault="003C11AB" w:rsidP="009C6EE6">
      <w:pPr>
        <w:pStyle w:val="Pieddepage"/>
        <w:ind w:left="1418" w:right="567"/>
        <w:jc w:val="both"/>
        <w:rPr>
          <w:rStyle w:val="Numrodepage"/>
          <w:rFonts w:cs="Arial"/>
          <w:sz w:val="22"/>
          <w:szCs w:val="22"/>
        </w:rPr>
      </w:pPr>
    </w:p>
    <w:p w14:paraId="037E28F2" w14:textId="77777777" w:rsidR="003C11AB" w:rsidRPr="009C6EE6" w:rsidRDefault="003C11AB" w:rsidP="009C6EE6">
      <w:pPr>
        <w:pStyle w:val="Pieddepage"/>
        <w:ind w:left="1418" w:right="567"/>
        <w:jc w:val="both"/>
        <w:rPr>
          <w:rStyle w:val="Numrodepage"/>
          <w:rFonts w:cs="Arial"/>
          <w:sz w:val="22"/>
          <w:szCs w:val="22"/>
        </w:rPr>
      </w:pPr>
      <w:r w:rsidRPr="009C6EE6">
        <w:rPr>
          <w:rStyle w:val="Numrodepage"/>
          <w:rFonts w:cs="Arial"/>
          <w:sz w:val="22"/>
          <w:szCs w:val="22"/>
        </w:rPr>
        <w:t>[22]      Dans tous les cas où il y a plusieurs parties à une infraction, la responsabilité morale peut être distinguée de la responsabilité pénale selon les circonstances propres à chacune.</w:t>
      </w:r>
    </w:p>
    <w:p w14:paraId="19F577C0" w14:textId="77777777" w:rsidR="003C11AB" w:rsidRPr="009C6EE6" w:rsidRDefault="003C11AB" w:rsidP="009C6EE6">
      <w:pPr>
        <w:pStyle w:val="Pieddepage"/>
        <w:ind w:left="1418" w:right="567"/>
        <w:jc w:val="both"/>
        <w:rPr>
          <w:rStyle w:val="Numrodepage"/>
          <w:rFonts w:cs="Arial"/>
          <w:sz w:val="22"/>
          <w:szCs w:val="22"/>
        </w:rPr>
      </w:pPr>
    </w:p>
    <w:p w14:paraId="78FFBE30" w14:textId="27BDBE03" w:rsidR="003C11AB" w:rsidRPr="009C6EE6" w:rsidRDefault="003C11AB" w:rsidP="009C6EE6">
      <w:pPr>
        <w:pStyle w:val="Pieddepage"/>
        <w:ind w:left="1418" w:right="567"/>
        <w:jc w:val="both"/>
        <w:rPr>
          <w:rStyle w:val="Numrodepage"/>
          <w:rFonts w:cs="Arial"/>
          <w:sz w:val="22"/>
          <w:szCs w:val="22"/>
        </w:rPr>
      </w:pPr>
      <w:r w:rsidRPr="009C6EE6">
        <w:rPr>
          <w:rStyle w:val="Numrodepage"/>
          <w:rFonts w:cs="Arial"/>
          <w:sz w:val="22"/>
          <w:szCs w:val="22"/>
        </w:rPr>
        <w:t>[23]      Un juge peut donc, à bon droit, tenir compte des différences entre la responsabilité morale de chacun des coaccusés selon leurs comportements respectifs, les risques engendrés par leurs comportements et leurs conséquences […]</w:t>
      </w:r>
      <w:r w:rsidR="0023423F">
        <w:rPr>
          <w:rStyle w:val="Numrodepage"/>
          <w:rFonts w:cs="Arial"/>
          <w:sz w:val="22"/>
          <w:szCs w:val="22"/>
        </w:rPr>
        <w:t>.</w:t>
      </w:r>
    </w:p>
    <w:p w14:paraId="0630358C" w14:textId="77777777" w:rsidR="003C11AB" w:rsidRPr="003C11AB" w:rsidRDefault="003C11AB" w:rsidP="009C6EE6">
      <w:pPr>
        <w:pStyle w:val="Pieddepage"/>
        <w:ind w:left="1418" w:right="567"/>
        <w:jc w:val="both"/>
        <w:rPr>
          <w:rStyle w:val="Numrodepage"/>
          <w:rFonts w:cs="Arial"/>
          <w:sz w:val="22"/>
          <w:szCs w:val="22"/>
          <w:highlight w:val="yellow"/>
        </w:rPr>
      </w:pPr>
    </w:p>
    <w:p w14:paraId="726F9B92" w14:textId="2FC18180" w:rsidR="003C11AB" w:rsidRPr="002D3DD7" w:rsidRDefault="003C11AB" w:rsidP="00C34BFB">
      <w:pPr>
        <w:pStyle w:val="Pieddepage"/>
        <w:ind w:left="567" w:right="567"/>
        <w:jc w:val="right"/>
        <w:rPr>
          <w:rStyle w:val="Numrodepage"/>
          <w:rFonts w:cs="Arial"/>
          <w:sz w:val="22"/>
          <w:szCs w:val="22"/>
        </w:rPr>
      </w:pPr>
      <w:r w:rsidRPr="002D3DD7">
        <w:rPr>
          <w:rStyle w:val="Numrodepage"/>
          <w:rFonts w:cs="Arial"/>
          <w:sz w:val="22"/>
          <w:szCs w:val="22"/>
        </w:rPr>
        <w:t>[Certaines références omises; soulignements ajoutés par la Cour]</w:t>
      </w:r>
    </w:p>
    <w:p w14:paraId="3EB01605" w14:textId="02A7319B" w:rsidR="003C11AB" w:rsidRPr="00BF55C7" w:rsidRDefault="002D3DD7" w:rsidP="00573205">
      <w:pPr>
        <w:pStyle w:val="Paragraphe"/>
        <w:tabs>
          <w:tab w:val="clear" w:pos="360"/>
          <w:tab w:val="num" w:pos="0"/>
        </w:tabs>
        <w:spacing w:line="240" w:lineRule="auto"/>
        <w:rPr>
          <w:rStyle w:val="Numrodepage"/>
          <w:rFonts w:cs="Arial"/>
          <w:szCs w:val="24"/>
        </w:rPr>
      </w:pPr>
      <w:r w:rsidRPr="00BF55C7">
        <w:rPr>
          <w:rStyle w:val="Numrodepage"/>
          <w:rFonts w:cs="Arial"/>
          <w:szCs w:val="24"/>
        </w:rPr>
        <w:t>Dans ce même arrêt, l</w:t>
      </w:r>
      <w:r w:rsidR="003C11AB" w:rsidRPr="00BF55C7">
        <w:rPr>
          <w:rStyle w:val="Numrodepage"/>
          <w:rFonts w:cs="Arial"/>
          <w:szCs w:val="24"/>
        </w:rPr>
        <w:t>a Cour d'appel note</w:t>
      </w:r>
      <w:r w:rsidR="00FD0B3C">
        <w:rPr>
          <w:rStyle w:val="Numrodepage"/>
          <w:rFonts w:cs="Arial"/>
          <w:szCs w:val="24"/>
        </w:rPr>
        <w:t>,</w:t>
      </w:r>
      <w:r w:rsidR="003C11AB" w:rsidRPr="00BF55C7">
        <w:rPr>
          <w:rStyle w:val="Numrodepage"/>
          <w:rFonts w:cs="Arial"/>
          <w:szCs w:val="24"/>
        </w:rPr>
        <w:t xml:space="preserve"> également</w:t>
      </w:r>
      <w:r w:rsidR="00FD0B3C">
        <w:rPr>
          <w:rStyle w:val="Numrodepage"/>
          <w:rFonts w:cs="Arial"/>
          <w:szCs w:val="24"/>
        </w:rPr>
        <w:t>,</w:t>
      </w:r>
      <w:r w:rsidR="003C11AB" w:rsidRPr="00BF55C7">
        <w:rPr>
          <w:rStyle w:val="Numrodepage"/>
          <w:rFonts w:cs="Arial"/>
          <w:szCs w:val="24"/>
        </w:rPr>
        <w:t xml:space="preserve"> que le principe de </w:t>
      </w:r>
      <w:r w:rsidR="00206F39">
        <w:rPr>
          <w:rStyle w:val="Numrodepage"/>
          <w:rFonts w:cs="Arial"/>
          <w:szCs w:val="24"/>
        </w:rPr>
        <w:t xml:space="preserve">la </w:t>
      </w:r>
      <w:r w:rsidR="003C11AB" w:rsidRPr="00BF55C7">
        <w:rPr>
          <w:rStyle w:val="Numrodepage"/>
          <w:rFonts w:cs="Arial"/>
          <w:szCs w:val="24"/>
        </w:rPr>
        <w:t>parité des peines entre coaccusés n'est qu'une modalité du principe d'harmonisation des peines:</w:t>
      </w:r>
    </w:p>
    <w:p w14:paraId="04499077" w14:textId="77777777" w:rsidR="003C11AB" w:rsidRPr="00573205" w:rsidRDefault="003C11AB" w:rsidP="003C11AB">
      <w:pPr>
        <w:pStyle w:val="Pieddepage"/>
        <w:jc w:val="both"/>
        <w:rPr>
          <w:rStyle w:val="Numrodepage"/>
          <w:rFonts w:cs="Arial"/>
          <w:sz w:val="22"/>
          <w:szCs w:val="22"/>
        </w:rPr>
      </w:pPr>
    </w:p>
    <w:p w14:paraId="1537E61F" w14:textId="77777777" w:rsidR="003C11AB" w:rsidRPr="00D552F8" w:rsidRDefault="003C11AB" w:rsidP="00D552F8">
      <w:pPr>
        <w:pStyle w:val="Citationenretrait"/>
        <w:rPr>
          <w:rStyle w:val="Citationintgre"/>
          <w:i w:val="0"/>
        </w:rPr>
      </w:pPr>
      <w:r w:rsidRPr="00D552F8">
        <w:rPr>
          <w:rStyle w:val="Citationintgre"/>
          <w:i w:val="0"/>
        </w:rPr>
        <w:t>[205]     Le principe de parité des peines entre les coaccusés n’est qu’une modalité spécifique du principe d’harmonisation des peines pour les infractions semblables commises dans des circonstances semblables, principe lui-même « subordonné au principe fondamental de la proportionnalité ». En ce sens, le principe de parité des peines entre les coaccusés ne justifie pas l’intervention d’une cour d’appel lorsque des peines disparates imposées à des coaccusés sont justifiées, notamment par les caractéristiques personnelles des coaccusés ou par une différence dans leur degré d’implication dans les infractions reprochées.</w:t>
      </w:r>
    </w:p>
    <w:p w14:paraId="0CF25E6B" w14:textId="442A3885" w:rsidR="003C11AB" w:rsidRPr="006D3A1A" w:rsidRDefault="00494B01" w:rsidP="006D3A1A">
      <w:pPr>
        <w:pStyle w:val="Citationenretrait"/>
        <w:ind w:left="6606"/>
        <w:rPr>
          <w:rStyle w:val="Numrodepage"/>
        </w:rPr>
      </w:pPr>
      <w:r w:rsidRPr="00D552F8">
        <w:rPr>
          <w:rStyle w:val="Citationintgre"/>
          <w:i w:val="0"/>
        </w:rPr>
        <w:t>[</w:t>
      </w:r>
      <w:r w:rsidR="00573205" w:rsidRPr="00D552F8">
        <w:rPr>
          <w:rStyle w:val="Citationintgre"/>
          <w:i w:val="0"/>
        </w:rPr>
        <w:t>Références</w:t>
      </w:r>
      <w:r w:rsidR="003C11AB" w:rsidRPr="00D552F8">
        <w:rPr>
          <w:rStyle w:val="Citationintgre"/>
          <w:i w:val="0"/>
        </w:rPr>
        <w:t xml:space="preserve"> omises</w:t>
      </w:r>
      <w:r w:rsidRPr="00D552F8">
        <w:rPr>
          <w:rStyle w:val="Citationintgre"/>
          <w:i w:val="0"/>
        </w:rPr>
        <w:t>]</w:t>
      </w:r>
    </w:p>
    <w:p w14:paraId="76B3A484" w14:textId="73939B17" w:rsidR="003C11AB" w:rsidRPr="00660923" w:rsidRDefault="003C11AB" w:rsidP="008F60E7">
      <w:pPr>
        <w:pStyle w:val="Paragraphe"/>
        <w:tabs>
          <w:tab w:val="clear" w:pos="360"/>
          <w:tab w:val="num" w:pos="0"/>
        </w:tabs>
        <w:spacing w:line="240" w:lineRule="auto"/>
        <w:rPr>
          <w:rStyle w:val="Numrodepage"/>
          <w:rFonts w:cs="Arial"/>
          <w:szCs w:val="24"/>
        </w:rPr>
      </w:pPr>
      <w:r w:rsidRPr="00BF55C7">
        <w:rPr>
          <w:rStyle w:val="Numrodepage"/>
          <w:rFonts w:cs="Arial"/>
          <w:szCs w:val="24"/>
        </w:rPr>
        <w:t>En l'espèce,</w:t>
      </w:r>
      <w:r w:rsidR="00766527">
        <w:rPr>
          <w:rStyle w:val="Numrodepage"/>
          <w:rFonts w:cs="Arial"/>
          <w:szCs w:val="24"/>
        </w:rPr>
        <w:t xml:space="preserve"> </w:t>
      </w:r>
      <w:r w:rsidRPr="00BF55C7">
        <w:rPr>
          <w:rStyle w:val="Numrodepage"/>
          <w:rFonts w:cs="Arial"/>
          <w:szCs w:val="24"/>
        </w:rPr>
        <w:t xml:space="preserve">la Cour d'appel est d'avis que « la disparité entre les rôles de Richard Vallières et d’Avik Caron, en tenant compte des facteurs d’individualisation de la peine propres à chacun des délinquants, permet raisonnablement de justifier un écart de trois ans par rapport à la peine de </w:t>
      </w:r>
      <w:r w:rsidR="003C7449" w:rsidRPr="00BF55C7">
        <w:rPr>
          <w:rStyle w:val="Numrodepage"/>
          <w:rFonts w:cs="Arial"/>
          <w:szCs w:val="24"/>
        </w:rPr>
        <w:t>cinq ans imposés</w:t>
      </w:r>
      <w:r w:rsidRPr="00BF55C7">
        <w:rPr>
          <w:rStyle w:val="Numrodepage"/>
          <w:rFonts w:cs="Arial"/>
          <w:szCs w:val="24"/>
        </w:rPr>
        <w:t xml:space="preserve"> à Caron pour le vol et le trafic de sirop d’érable »</w:t>
      </w:r>
      <w:r w:rsidRPr="00BF55C7">
        <w:rPr>
          <w:rStyle w:val="Appelnotedebasdep"/>
          <w:rFonts w:cs="Arial"/>
          <w:szCs w:val="24"/>
          <w:vertAlign w:val="superscript"/>
        </w:rPr>
        <w:footnoteReference w:id="10"/>
      </w:r>
      <w:r w:rsidR="00351363">
        <w:rPr>
          <w:rStyle w:val="Numrodepage"/>
          <w:rFonts w:cs="Arial"/>
          <w:szCs w:val="24"/>
        </w:rPr>
        <w:t>.</w:t>
      </w:r>
    </w:p>
    <w:p w14:paraId="7FE59DA4" w14:textId="586D4D32" w:rsidR="003C11AB" w:rsidRPr="008F50B2" w:rsidRDefault="00FF0318" w:rsidP="003C11AB">
      <w:pPr>
        <w:pStyle w:val="Paragraphe"/>
        <w:tabs>
          <w:tab w:val="clear" w:pos="360"/>
          <w:tab w:val="num" w:pos="0"/>
        </w:tabs>
        <w:spacing w:line="240" w:lineRule="auto"/>
        <w:rPr>
          <w:rStyle w:val="Numrodepage"/>
          <w:rFonts w:cs="Arial"/>
          <w:szCs w:val="24"/>
        </w:rPr>
      </w:pPr>
      <w:r w:rsidRPr="00BF55C7">
        <w:rPr>
          <w:rStyle w:val="Numrodepage"/>
          <w:rFonts w:cs="Arial"/>
          <w:szCs w:val="24"/>
        </w:rPr>
        <w:t>Dans un autre arrêt plus récent</w:t>
      </w:r>
      <w:r w:rsidR="002E7CF6">
        <w:rPr>
          <w:rStyle w:val="Numrodepage"/>
          <w:rFonts w:cs="Arial"/>
          <w:szCs w:val="24"/>
        </w:rPr>
        <w:t>,</w:t>
      </w:r>
      <w:r w:rsidRPr="00BF55C7">
        <w:rPr>
          <w:rStyle w:val="Numrodepage"/>
          <w:rFonts w:cs="Arial"/>
          <w:szCs w:val="24"/>
        </w:rPr>
        <w:t xml:space="preserve"> rendu en 2022</w:t>
      </w:r>
      <w:r w:rsidR="003C11AB" w:rsidRPr="00BF55C7">
        <w:rPr>
          <w:rStyle w:val="Numrodepage"/>
          <w:rFonts w:cs="Arial"/>
          <w:szCs w:val="24"/>
        </w:rPr>
        <w:t xml:space="preserve"> dans</w:t>
      </w:r>
      <w:r w:rsidRPr="00BF55C7">
        <w:rPr>
          <w:rStyle w:val="Numrodepage"/>
          <w:rFonts w:cs="Arial"/>
          <w:szCs w:val="24"/>
        </w:rPr>
        <w:t xml:space="preserve"> le dossier</w:t>
      </w:r>
      <w:r w:rsidR="003C11AB" w:rsidRPr="00BF55C7">
        <w:rPr>
          <w:rStyle w:val="Numrodepage"/>
          <w:rFonts w:cs="Arial"/>
          <w:szCs w:val="24"/>
        </w:rPr>
        <w:t xml:space="preserve"> </w:t>
      </w:r>
      <w:r w:rsidR="003C11AB" w:rsidRPr="00BF55C7">
        <w:rPr>
          <w:rStyle w:val="Numrodepage"/>
          <w:rFonts w:cs="Arial"/>
          <w:i/>
          <w:iCs/>
          <w:szCs w:val="24"/>
        </w:rPr>
        <w:t>Giroux</w:t>
      </w:r>
      <w:r w:rsidR="003C11AB" w:rsidRPr="00BF55C7">
        <w:rPr>
          <w:rStyle w:val="Numrodepage"/>
          <w:rFonts w:cs="Arial"/>
          <w:szCs w:val="24"/>
        </w:rPr>
        <w:t xml:space="preserve"> c. </w:t>
      </w:r>
      <w:r w:rsidR="003C11AB" w:rsidRPr="00BF55C7">
        <w:rPr>
          <w:rStyle w:val="Numrodepage"/>
          <w:rFonts w:cs="Arial"/>
          <w:i/>
          <w:iCs/>
          <w:szCs w:val="24"/>
        </w:rPr>
        <w:t>R.</w:t>
      </w:r>
      <w:r w:rsidR="003C11AB" w:rsidRPr="00BF55C7">
        <w:rPr>
          <w:rStyle w:val="Appelnotedebasdep"/>
          <w:rFonts w:cs="Arial"/>
          <w:szCs w:val="24"/>
          <w:vertAlign w:val="superscript"/>
        </w:rPr>
        <w:footnoteReference w:id="11"/>
      </w:r>
      <w:r w:rsidR="001976ED">
        <w:rPr>
          <w:rStyle w:val="Numrodepage"/>
          <w:rFonts w:cs="Arial"/>
          <w:szCs w:val="24"/>
        </w:rPr>
        <w:t xml:space="preserve">, </w:t>
      </w:r>
      <w:r w:rsidR="003C11AB" w:rsidRPr="00BF55C7">
        <w:rPr>
          <w:rStyle w:val="Numrodepage"/>
          <w:rFonts w:cs="Arial"/>
          <w:szCs w:val="24"/>
        </w:rPr>
        <w:t xml:space="preserve">la </w:t>
      </w:r>
      <w:r w:rsidRPr="00BF55C7">
        <w:rPr>
          <w:rStyle w:val="Numrodepage"/>
          <w:rFonts w:cs="Arial"/>
          <w:szCs w:val="24"/>
        </w:rPr>
        <w:t xml:space="preserve">même </w:t>
      </w:r>
      <w:r w:rsidR="003C11AB" w:rsidRPr="00BF55C7">
        <w:rPr>
          <w:rStyle w:val="Numrodepage"/>
          <w:rFonts w:cs="Arial"/>
          <w:szCs w:val="24"/>
        </w:rPr>
        <w:t>Cour</w:t>
      </w:r>
      <w:r w:rsidRPr="00BF55C7">
        <w:rPr>
          <w:rStyle w:val="Numrodepage"/>
          <w:rFonts w:cs="Arial"/>
          <w:szCs w:val="24"/>
        </w:rPr>
        <w:t xml:space="preserve"> </w:t>
      </w:r>
      <w:r w:rsidR="003C11AB" w:rsidRPr="00BF55C7">
        <w:rPr>
          <w:rStyle w:val="Numrodepage"/>
          <w:rFonts w:cs="Arial"/>
          <w:szCs w:val="24"/>
        </w:rPr>
        <w:t>rappelle</w:t>
      </w:r>
      <w:r w:rsidR="000136C7">
        <w:rPr>
          <w:rStyle w:val="Numrodepage"/>
          <w:rFonts w:cs="Arial"/>
          <w:szCs w:val="24"/>
        </w:rPr>
        <w:t>,</w:t>
      </w:r>
      <w:r w:rsidR="003C11AB" w:rsidRPr="00BF55C7">
        <w:rPr>
          <w:rStyle w:val="Numrodepage"/>
          <w:rFonts w:cs="Arial"/>
          <w:szCs w:val="24"/>
        </w:rPr>
        <w:t xml:space="preserve"> enfin</w:t>
      </w:r>
      <w:r w:rsidR="000136C7">
        <w:rPr>
          <w:rStyle w:val="Numrodepage"/>
          <w:rFonts w:cs="Arial"/>
          <w:szCs w:val="24"/>
        </w:rPr>
        <w:t>,</w:t>
      </w:r>
      <w:r w:rsidR="003C11AB" w:rsidRPr="00BF55C7">
        <w:rPr>
          <w:rStyle w:val="Numrodepage"/>
          <w:rFonts w:cs="Arial"/>
          <w:szCs w:val="24"/>
        </w:rPr>
        <w:t xml:space="preserve"> que la détermination de la peine demeure un processus intrinsèquement individualisé :</w:t>
      </w:r>
    </w:p>
    <w:p w14:paraId="1E2ADDF6" w14:textId="1D65D6B9" w:rsidR="003C11AB" w:rsidRPr="00106085" w:rsidRDefault="003C11AB" w:rsidP="00106085">
      <w:pPr>
        <w:pStyle w:val="Citationenretrait"/>
        <w:rPr>
          <w:rStyle w:val="Numrodepage"/>
        </w:rPr>
      </w:pPr>
      <w:r w:rsidRPr="00106085">
        <w:rPr>
          <w:rStyle w:val="Numrodepage"/>
        </w:rPr>
        <w:t>[19]      Dans Calderon c. R., notre Cour note que « [l]a cohérence entre les peines infligées à des délinquants semblables, pour des infractions semblables et commises dans des circonstances semblables, est l’une des pierres angulaires du système de justice canadien ». La clé de voûte demeure toutefois celle réitérée par les juges majoritaires de la Cour suprême dans R. c. Parranto:</w:t>
      </w:r>
    </w:p>
    <w:p w14:paraId="6D91E65A" w14:textId="77777777" w:rsidR="003C11AB" w:rsidRPr="00FF0318" w:rsidRDefault="003C11AB" w:rsidP="00100D73">
      <w:pPr>
        <w:pStyle w:val="Pieddepage"/>
        <w:ind w:left="1134" w:right="567"/>
        <w:jc w:val="both"/>
        <w:rPr>
          <w:rStyle w:val="Numrodepage"/>
          <w:rFonts w:cs="Arial"/>
          <w:sz w:val="22"/>
          <w:szCs w:val="22"/>
        </w:rPr>
      </w:pPr>
      <w:r w:rsidRPr="00FF0318">
        <w:rPr>
          <w:rStyle w:val="Numrodepage"/>
          <w:rFonts w:cs="Arial"/>
          <w:sz w:val="22"/>
          <w:szCs w:val="22"/>
        </w:rPr>
        <w:t>[38]   Comme nous l’avons déjà dit, la détermination de la peine est une démarche individualisée, et la parité joue un rôle secondaire par rapport à la proportionnalité. Il faut donc s’attendre à des écarts par rapport aux points de départ, ainsi qu’à des peines rajustées au-dessus ou en dessous de la fourchette concernée. Même les écarts marqués ne doivent pas être considérés comme indiquant à première vue que la peine est entachée d’une erreur ou qu’elle est manifestement non indiquée. La justesse de la peine s’évalue en fonction des principes et des objectifs de la détermination de la peine prévus au Code, et non en fonction de l’ampleur de l’écart de la peine par rapport aux lignes directrices données par les cours d’appel sur le fondement d’une appréciation quantitative.</w:t>
      </w:r>
    </w:p>
    <w:p w14:paraId="113F0F8C" w14:textId="5987EE20" w:rsidR="003C11AB" w:rsidRPr="00FF0318" w:rsidRDefault="00FF0318" w:rsidP="003C11AB">
      <w:pPr>
        <w:pStyle w:val="Pieddepage"/>
        <w:ind w:left="567" w:right="567"/>
        <w:jc w:val="right"/>
        <w:rPr>
          <w:rStyle w:val="Numrodepage"/>
          <w:rFonts w:cs="Arial"/>
          <w:sz w:val="22"/>
          <w:szCs w:val="22"/>
        </w:rPr>
      </w:pPr>
      <w:r>
        <w:rPr>
          <w:rStyle w:val="Numrodepage"/>
          <w:rFonts w:cs="Arial"/>
          <w:sz w:val="22"/>
          <w:szCs w:val="22"/>
        </w:rPr>
        <w:t>[</w:t>
      </w:r>
      <w:r w:rsidRPr="00FF0318">
        <w:rPr>
          <w:rStyle w:val="Numrodepage"/>
          <w:rFonts w:cs="Arial"/>
          <w:sz w:val="22"/>
          <w:szCs w:val="22"/>
        </w:rPr>
        <w:t>Références</w:t>
      </w:r>
      <w:r w:rsidR="003C11AB" w:rsidRPr="00FF0318">
        <w:rPr>
          <w:rStyle w:val="Numrodepage"/>
          <w:rFonts w:cs="Arial"/>
          <w:sz w:val="22"/>
          <w:szCs w:val="22"/>
        </w:rPr>
        <w:t xml:space="preserve"> omises</w:t>
      </w:r>
      <w:r>
        <w:rPr>
          <w:rStyle w:val="Numrodepage"/>
          <w:rFonts w:cs="Arial"/>
          <w:sz w:val="22"/>
          <w:szCs w:val="22"/>
        </w:rPr>
        <w:t>]</w:t>
      </w:r>
    </w:p>
    <w:p w14:paraId="3B442349" w14:textId="77777777" w:rsidR="003C11AB" w:rsidRPr="003C11AB" w:rsidRDefault="003C11AB" w:rsidP="003C11AB">
      <w:pPr>
        <w:pStyle w:val="Pieddepage"/>
        <w:jc w:val="both"/>
        <w:rPr>
          <w:rStyle w:val="Numrodepage"/>
          <w:rFonts w:cs="Arial"/>
          <w:sz w:val="22"/>
          <w:szCs w:val="22"/>
          <w:highlight w:val="yellow"/>
        </w:rPr>
      </w:pPr>
    </w:p>
    <w:p w14:paraId="458FA341" w14:textId="5BAF455B" w:rsidR="003C11AB" w:rsidRDefault="003C11AB" w:rsidP="00AA4B26">
      <w:pPr>
        <w:pStyle w:val="Paragraphe"/>
        <w:tabs>
          <w:tab w:val="clear" w:pos="360"/>
          <w:tab w:val="num" w:pos="0"/>
        </w:tabs>
        <w:spacing w:line="240" w:lineRule="auto"/>
        <w:rPr>
          <w:rStyle w:val="Numrodepage"/>
          <w:rFonts w:cs="Arial"/>
          <w:szCs w:val="24"/>
        </w:rPr>
      </w:pPr>
      <w:r w:rsidRPr="00BF55C7">
        <w:rPr>
          <w:rStyle w:val="Numrodepage"/>
          <w:rFonts w:cs="Arial"/>
          <w:szCs w:val="24"/>
        </w:rPr>
        <w:t xml:space="preserve">En </w:t>
      </w:r>
      <w:r w:rsidR="00B3167D" w:rsidRPr="00BF55C7">
        <w:rPr>
          <w:rStyle w:val="Numrodepage"/>
          <w:rFonts w:cs="Arial"/>
          <w:szCs w:val="24"/>
        </w:rPr>
        <w:t>effet</w:t>
      </w:r>
      <w:r w:rsidRPr="00BF55C7">
        <w:rPr>
          <w:rStyle w:val="Numrodepage"/>
          <w:rFonts w:cs="Arial"/>
          <w:szCs w:val="24"/>
        </w:rPr>
        <w:t xml:space="preserve">, </w:t>
      </w:r>
      <w:r w:rsidR="00B3167D" w:rsidRPr="00BF55C7">
        <w:rPr>
          <w:rStyle w:val="Numrodepage"/>
          <w:rFonts w:cs="Arial"/>
          <w:szCs w:val="24"/>
        </w:rPr>
        <w:t xml:space="preserve">dans cet arrêt </w:t>
      </w:r>
      <w:r w:rsidRPr="00BF55C7">
        <w:rPr>
          <w:rStyle w:val="Numrodepage"/>
          <w:rFonts w:cs="Arial"/>
          <w:szCs w:val="24"/>
        </w:rPr>
        <w:t xml:space="preserve">la Cour </w:t>
      </w:r>
      <w:r w:rsidR="00B3167D" w:rsidRPr="00BF55C7">
        <w:rPr>
          <w:rStyle w:val="Numrodepage"/>
          <w:rFonts w:cs="Arial"/>
          <w:szCs w:val="24"/>
        </w:rPr>
        <w:t xml:space="preserve">a été </w:t>
      </w:r>
      <w:r w:rsidRPr="00BF55C7">
        <w:rPr>
          <w:rStyle w:val="Numrodepage"/>
          <w:rFonts w:cs="Arial"/>
          <w:szCs w:val="24"/>
        </w:rPr>
        <w:t>d’avis que le juge de première instance a bien tenu compte des critères de détermination de la peine et considéré que l’appelant était une tête dirigeante, qui occupait un rôle de propriétaire ou de franchisé de territoire dans le cadre de son réseau de trafic de stupéfiants. Il s’agit d’une des raisons qui l’ont amené à distinguer la peine qu’il a infligé à l’appelant de celles des coaccusés.</w:t>
      </w:r>
    </w:p>
    <w:p w14:paraId="6E049709" w14:textId="21862FF8" w:rsidR="00844E87" w:rsidRPr="00844E87" w:rsidRDefault="00844E87" w:rsidP="00844E87">
      <w:pPr>
        <w:pStyle w:val="Paragraphe"/>
        <w:tabs>
          <w:tab w:val="clear" w:pos="360"/>
          <w:tab w:val="num" w:pos="0"/>
        </w:tabs>
        <w:spacing w:line="240" w:lineRule="auto"/>
        <w:rPr>
          <w:rFonts w:cs="Arial"/>
          <w:szCs w:val="24"/>
        </w:rPr>
      </w:pPr>
      <w:r>
        <w:rPr>
          <w:rStyle w:val="Numrodepage"/>
          <w:rFonts w:cs="Arial"/>
          <w:szCs w:val="24"/>
        </w:rPr>
        <w:t>Dans ledit arrêt, La peine infligée</w:t>
      </w:r>
      <w:r w:rsidR="000136C7">
        <w:rPr>
          <w:rStyle w:val="Numrodepage"/>
          <w:rFonts w:cs="Arial"/>
          <w:szCs w:val="24"/>
        </w:rPr>
        <w:t xml:space="preserve"> a </w:t>
      </w:r>
      <w:r>
        <w:rPr>
          <w:rStyle w:val="Numrodepage"/>
          <w:rFonts w:cs="Arial"/>
          <w:szCs w:val="24"/>
        </w:rPr>
        <w:t>été de 84 mois</w:t>
      </w:r>
      <w:r w:rsidR="004E6594">
        <w:rPr>
          <w:rStyle w:val="Numrodepage"/>
          <w:rFonts w:cs="Arial"/>
          <w:szCs w:val="24"/>
        </w:rPr>
        <w:t>,</w:t>
      </w:r>
      <w:r>
        <w:rPr>
          <w:rStyle w:val="Numrodepage"/>
          <w:rFonts w:cs="Arial"/>
          <w:szCs w:val="24"/>
        </w:rPr>
        <w:t xml:space="preserve"> mais ce dossier se distingue du dossier sous étude du fait que l’accusé dans ce dossier ne joue pas un rôle principal dans le réseau de trafic et aussi, il est sans antécédents judiciaires.</w:t>
      </w:r>
      <w:r w:rsidRPr="00844E87">
        <w:rPr>
          <w:rStyle w:val="Numrodepage"/>
          <w:rFonts w:cs="Arial"/>
          <w:szCs w:val="24"/>
        </w:rPr>
        <w:t xml:space="preserve">   </w:t>
      </w:r>
    </w:p>
    <w:p w14:paraId="53C38DD6" w14:textId="2745FDB7" w:rsidR="00570C55" w:rsidRPr="007A71D0" w:rsidRDefault="007A71D0" w:rsidP="00E70519">
      <w:pPr>
        <w:pStyle w:val="Paragraphe"/>
        <w:tabs>
          <w:tab w:val="clear" w:pos="360"/>
          <w:tab w:val="num" w:pos="0"/>
        </w:tabs>
        <w:spacing w:line="240" w:lineRule="auto"/>
        <w:rPr>
          <w:lang w:eastAsia="fr-CA"/>
        </w:rPr>
      </w:pPr>
      <w:r w:rsidRPr="007A71D0">
        <w:rPr>
          <w:lang w:eastAsia="fr-CA"/>
        </w:rPr>
        <w:t xml:space="preserve">D’autres considérations, qui ne sont pas spécifiquement énoncées dans les dispositions du </w:t>
      </w:r>
      <w:r w:rsidRPr="007A71D0">
        <w:rPr>
          <w:i/>
          <w:lang w:eastAsia="fr-CA"/>
        </w:rPr>
        <w:t>Code criminel</w:t>
      </w:r>
      <w:r w:rsidRPr="007A71D0">
        <w:rPr>
          <w:lang w:eastAsia="fr-CA"/>
        </w:rPr>
        <w:t>, entrent également en jeu dans le processus de la détermination de la peine</w:t>
      </w:r>
      <w:r w:rsidRPr="007A71D0">
        <w:rPr>
          <w:vertAlign w:val="superscript"/>
          <w:lang w:eastAsia="fr-CA"/>
        </w:rPr>
        <w:footnoteReference w:id="12"/>
      </w:r>
      <w:r w:rsidR="00881C09">
        <w:rPr>
          <w:lang w:eastAsia="fr-CA"/>
        </w:rPr>
        <w:t>.</w:t>
      </w:r>
      <w:r w:rsidR="004E5795">
        <w:rPr>
          <w:vertAlign w:val="superscript"/>
          <w:lang w:eastAsia="fr-CA"/>
        </w:rPr>
        <w:t xml:space="preserve"> </w:t>
      </w:r>
      <w:r w:rsidRPr="007A71D0">
        <w:rPr>
          <w:lang w:eastAsia="fr-CA"/>
        </w:rPr>
        <w:t>Nombre de ces considérations peuvent parfois être considérées comme des facteurs aggravants ou atténuants</w:t>
      </w:r>
      <w:r w:rsidR="00F738D9">
        <w:rPr>
          <w:lang w:eastAsia="fr-CA"/>
        </w:rPr>
        <w:t>.</w:t>
      </w:r>
      <w:r w:rsidRPr="007A71D0">
        <w:rPr>
          <w:lang w:eastAsia="fr-CA"/>
        </w:rPr>
        <w:t xml:space="preserve"> </w:t>
      </w:r>
    </w:p>
    <w:p w14:paraId="63880EC1" w14:textId="77777777" w:rsidR="00F1201A" w:rsidRDefault="00F1201A" w:rsidP="00F1201A">
      <w:pPr>
        <w:pStyle w:val="Titre1"/>
        <w:rPr>
          <w:lang w:eastAsia="fr-CA"/>
        </w:rPr>
      </w:pPr>
      <w:r w:rsidRPr="00B5624F">
        <w:rPr>
          <w:lang w:eastAsia="fr-CA"/>
        </w:rPr>
        <w:t>APPLICATION DES FACTEURS PÉNOLOGIQUES</w:t>
      </w:r>
    </w:p>
    <w:p w14:paraId="75AAF906" w14:textId="77777777" w:rsidR="001D1E0D" w:rsidRPr="001D1E0D" w:rsidRDefault="001D1E0D" w:rsidP="001D1E0D">
      <w:pPr>
        <w:pStyle w:val="Titre2"/>
        <w:rPr>
          <w:lang w:eastAsia="fr-CA"/>
        </w:rPr>
      </w:pPr>
      <w:r w:rsidRPr="001D1E0D">
        <w:rPr>
          <w:lang w:eastAsia="fr-CA"/>
        </w:rPr>
        <w:t>La dénonciation et la dissuasion</w:t>
      </w:r>
    </w:p>
    <w:p w14:paraId="3B203F22" w14:textId="77777777" w:rsidR="001D1E0D" w:rsidRPr="001D1E0D" w:rsidRDefault="001D1E0D" w:rsidP="00927079">
      <w:pPr>
        <w:pStyle w:val="Paragraphe"/>
        <w:tabs>
          <w:tab w:val="clear" w:pos="360"/>
          <w:tab w:val="num" w:pos="0"/>
        </w:tabs>
        <w:spacing w:line="240" w:lineRule="auto"/>
        <w:rPr>
          <w:lang w:eastAsia="fr-CA"/>
        </w:rPr>
      </w:pPr>
      <w:r w:rsidRPr="001D1E0D">
        <w:rPr>
          <w:rFonts w:ascii="Times New Roman" w:hAnsi="Times New Roman"/>
          <w:sz w:val="14"/>
          <w:szCs w:val="14"/>
          <w:lang w:eastAsia="fr-CA"/>
        </w:rPr>
        <w:t> </w:t>
      </w:r>
      <w:r w:rsidRPr="001D1E0D">
        <w:rPr>
          <w:lang w:eastAsia="fr-CA"/>
        </w:rPr>
        <w:t>En prononçant la peine, le juge doit garder à l’esprit les valeurs dominantes de la société. La dénonciation est la façon dont la société communique qu’elle condamne la conduite du contrevenant. Comme l’a expliqué le juge Lamer dans </w:t>
      </w:r>
      <w:r w:rsidRPr="001D1E0D">
        <w:rPr>
          <w:i/>
          <w:iCs/>
          <w:lang w:eastAsia="fr-CA"/>
        </w:rPr>
        <w:t>R. c. M. (C.A.)</w:t>
      </w:r>
      <w:r w:rsidRPr="001D1E0D">
        <w:rPr>
          <w:lang w:eastAsia="fr-CA"/>
        </w:rPr>
        <w:t> :</w:t>
      </w:r>
    </w:p>
    <w:p w14:paraId="5F22E12D" w14:textId="3D4BF66C" w:rsidR="001D1E0D" w:rsidRPr="001D1E0D" w:rsidRDefault="001D1E0D" w:rsidP="001D1E0D">
      <w:pPr>
        <w:pStyle w:val="Citationenretrait"/>
        <w:rPr>
          <w:lang w:eastAsia="fr-CA"/>
        </w:rPr>
      </w:pPr>
      <w:r w:rsidRPr="001D1E0D">
        <w:rPr>
          <w:lang w:eastAsia="fr-CA"/>
        </w:rPr>
        <w:t>[81</w:t>
      </w:r>
      <w:r w:rsidR="00D66B21" w:rsidRPr="001D1E0D">
        <w:rPr>
          <w:lang w:eastAsia="fr-CA"/>
        </w:rPr>
        <w:t xml:space="preserve">] </w:t>
      </w:r>
      <w:r w:rsidR="00F7699F">
        <w:rPr>
          <w:lang w:eastAsia="fr-CA"/>
        </w:rPr>
        <w:tab/>
      </w:r>
      <w:r w:rsidR="00D66B21" w:rsidRPr="001D1E0D">
        <w:rPr>
          <w:lang w:eastAsia="fr-CA"/>
        </w:rPr>
        <w:t>[</w:t>
      </w:r>
      <w:r w:rsidRPr="001D1E0D">
        <w:rPr>
          <w:lang w:eastAsia="fr-CA"/>
        </w:rPr>
        <w:t>…] Pour sa part, l'objectif de réprobation commande que la peine indique que la société condamne la conduite de ce contrevenant.  Bref, une peine assortie d'un élément réprobateur représente une déclaration collective, ayant valeur de symbole, que la conduite du contrevenant doit être punie parce qu'elle a porté atteinte au code des valeurs fondamentales de notre société qui sont constatées dans notre droit pénal substantiel</w:t>
      </w:r>
      <w:r w:rsidR="006F682C">
        <w:rPr>
          <w:lang w:eastAsia="fr-CA"/>
        </w:rPr>
        <w:t xml:space="preserve"> […]</w:t>
      </w:r>
      <w:r w:rsidRPr="001D1E0D">
        <w:rPr>
          <w:lang w:eastAsia="fr-CA"/>
        </w:rPr>
        <w:t>.</w:t>
      </w:r>
    </w:p>
    <w:p w14:paraId="582575C8" w14:textId="6356C4C5" w:rsidR="001D1E0D" w:rsidRPr="001D1E0D" w:rsidRDefault="001D1E0D" w:rsidP="00927079">
      <w:pPr>
        <w:pStyle w:val="Paragraphe"/>
        <w:tabs>
          <w:tab w:val="clear" w:pos="360"/>
          <w:tab w:val="num" w:pos="0"/>
        </w:tabs>
        <w:spacing w:line="240" w:lineRule="auto"/>
        <w:rPr>
          <w:lang w:eastAsia="fr-CA"/>
        </w:rPr>
      </w:pPr>
      <w:r w:rsidRPr="001D1E0D">
        <w:rPr>
          <w:rFonts w:ascii="Times New Roman" w:hAnsi="Times New Roman"/>
          <w:sz w:val="14"/>
          <w:szCs w:val="14"/>
          <w:lang w:eastAsia="fr-CA"/>
        </w:rPr>
        <w:t> </w:t>
      </w:r>
      <w:r w:rsidRPr="001D1E0D">
        <w:rPr>
          <w:lang w:eastAsia="fr-CA"/>
        </w:rPr>
        <w:t>Le but de la dissuasion générale est de décourager d’autres personnes qui seraient tentées d’imiter l’accusé</w:t>
      </w:r>
      <w:r w:rsidR="00E01698">
        <w:rPr>
          <w:lang w:eastAsia="fr-CA"/>
        </w:rPr>
        <w:t xml:space="preserve"> et commettre des infractions semblables</w:t>
      </w:r>
      <w:r w:rsidRPr="001D1E0D">
        <w:rPr>
          <w:lang w:eastAsia="fr-CA"/>
        </w:rPr>
        <w:t>.</w:t>
      </w:r>
      <w:r w:rsidR="009E7C46">
        <w:rPr>
          <w:lang w:eastAsia="fr-CA"/>
        </w:rPr>
        <w:t xml:space="preserve"> En l’espèce, les gestes commis ont des effets ravageurs sur les individus et la société dans sa totalité</w:t>
      </w:r>
      <w:r w:rsidR="00E05421">
        <w:rPr>
          <w:lang w:eastAsia="fr-CA"/>
        </w:rPr>
        <w:t xml:space="preserve">, d’où l’importance que la peine à imposer ait un objectif essentiel de dénonciation et de </w:t>
      </w:r>
      <w:r w:rsidR="00E61EC7">
        <w:rPr>
          <w:lang w:eastAsia="fr-CA"/>
        </w:rPr>
        <w:t>dissuasion.</w:t>
      </w:r>
      <w:r w:rsidRPr="001D1E0D">
        <w:rPr>
          <w:lang w:eastAsia="fr-CA"/>
        </w:rPr>
        <w:t xml:space="preserve"> </w:t>
      </w:r>
    </w:p>
    <w:p w14:paraId="30244BDB" w14:textId="77777777" w:rsidR="001D1E0D" w:rsidRPr="001D1E0D" w:rsidRDefault="001D1E0D" w:rsidP="001D1E0D">
      <w:pPr>
        <w:pStyle w:val="Titre2"/>
        <w:rPr>
          <w:kern w:val="28"/>
          <w:lang w:val="fr-FR" w:eastAsia="fr-CA"/>
        </w:rPr>
      </w:pPr>
      <w:r w:rsidRPr="001D1E0D">
        <w:rPr>
          <w:rFonts w:ascii="Times New Roman" w:hAnsi="Times New Roman"/>
          <w:kern w:val="28"/>
          <w:sz w:val="14"/>
          <w:szCs w:val="14"/>
          <w:lang w:val="fr-FR" w:eastAsia="fr-CA"/>
        </w:rPr>
        <w:t> </w:t>
      </w:r>
      <w:r w:rsidRPr="001D1E0D">
        <w:rPr>
          <w:kern w:val="28"/>
          <w:lang w:val="fr-FR" w:eastAsia="fr-CA"/>
        </w:rPr>
        <w:t xml:space="preserve"> </w:t>
      </w:r>
      <w:r w:rsidRPr="001D1E0D">
        <w:rPr>
          <w:lang w:val="fr-FR" w:eastAsia="fr-CA"/>
        </w:rPr>
        <w:t>La proportionnalité.</w:t>
      </w:r>
    </w:p>
    <w:p w14:paraId="7B7ECDFF" w14:textId="17F96E30" w:rsidR="001D1E0D" w:rsidRDefault="001D1E0D" w:rsidP="00056E38">
      <w:pPr>
        <w:pStyle w:val="Paragraphe"/>
        <w:tabs>
          <w:tab w:val="clear" w:pos="360"/>
        </w:tabs>
        <w:spacing w:line="240" w:lineRule="auto"/>
        <w:rPr>
          <w:lang w:val="fr-FR" w:eastAsia="fr-CA"/>
        </w:rPr>
      </w:pPr>
      <w:r w:rsidRPr="001D1E0D">
        <w:rPr>
          <w:lang w:val="fr-FR" w:eastAsia="fr-CA"/>
        </w:rPr>
        <w:t xml:space="preserve"> Tel que mentionné dans une section précédente, un des principes fondamentaux d</w:t>
      </w:r>
      <w:r w:rsidR="00E455F0">
        <w:rPr>
          <w:lang w:val="fr-FR" w:eastAsia="fr-CA"/>
        </w:rPr>
        <w:t>e</w:t>
      </w:r>
      <w:r w:rsidRPr="001D1E0D">
        <w:rPr>
          <w:lang w:val="fr-FR" w:eastAsia="fr-CA"/>
        </w:rPr>
        <w:t xml:space="preserve"> la détermination de la peine est que celle-ci doit être proportionnelle à la gravité de l’offense et au degré de responsabilité de l’accusé (</w:t>
      </w:r>
      <w:r w:rsidR="00EC7216">
        <w:rPr>
          <w:lang w:val="fr-FR" w:eastAsia="fr-CA"/>
        </w:rPr>
        <w:t>art. 718.1</w:t>
      </w:r>
      <w:r w:rsidRPr="001D1E0D">
        <w:rPr>
          <w:lang w:val="fr-FR" w:eastAsia="fr-CA"/>
        </w:rPr>
        <w:t xml:space="preserve"> du </w:t>
      </w:r>
      <w:hyperlink r:id="rId11" w:history="1">
        <w:r w:rsidR="00EC7216">
          <w:rPr>
            <w:i/>
            <w:lang w:val="fr-FR" w:eastAsia="fr-CA"/>
          </w:rPr>
          <w:t>C.cr</w:t>
        </w:r>
      </w:hyperlink>
      <w:r w:rsidRPr="001D1E0D">
        <w:rPr>
          <w:i/>
          <w:lang w:val="fr-FR" w:eastAsia="fr-CA"/>
        </w:rPr>
        <w:t>.</w:t>
      </w:r>
      <w:r w:rsidRPr="001D1E0D">
        <w:rPr>
          <w:lang w:val="fr-FR" w:eastAsia="fr-CA"/>
        </w:rPr>
        <w:t xml:space="preserve">). Par ce principe, la peine ne doit pas être plus sévère de ce qui est juste et approprié considérant la gravité de l’offense et la culpabilité morale de l’accusé. </w:t>
      </w:r>
    </w:p>
    <w:p w14:paraId="1A319091" w14:textId="0F8C02EE" w:rsidR="00A11F08" w:rsidRDefault="0032155F" w:rsidP="00056E38">
      <w:pPr>
        <w:pStyle w:val="Paragraphe"/>
        <w:tabs>
          <w:tab w:val="clear" w:pos="360"/>
        </w:tabs>
        <w:spacing w:line="240" w:lineRule="auto"/>
        <w:rPr>
          <w:lang w:val="fr-FR" w:eastAsia="fr-CA"/>
        </w:rPr>
      </w:pPr>
      <w:r>
        <w:rPr>
          <w:lang w:val="fr-FR" w:eastAsia="fr-CA"/>
        </w:rPr>
        <w:t xml:space="preserve">Il est évident que les infractions commises par l’accusé sont assez graves et exigent une peine proportionnelle. Rappelons à ce propos que la Cour </w:t>
      </w:r>
      <w:r w:rsidR="003A0990">
        <w:rPr>
          <w:lang w:val="fr-FR" w:eastAsia="fr-CA"/>
        </w:rPr>
        <w:t>d’appel du</w:t>
      </w:r>
      <w:r>
        <w:rPr>
          <w:lang w:val="fr-FR" w:eastAsia="fr-CA"/>
        </w:rPr>
        <w:t xml:space="preserve"> Québec a </w:t>
      </w:r>
      <w:r w:rsidR="00E760AF">
        <w:rPr>
          <w:lang w:val="fr-FR" w:eastAsia="fr-CA"/>
        </w:rPr>
        <w:t>réitéré</w:t>
      </w:r>
      <w:r>
        <w:rPr>
          <w:lang w:val="fr-FR" w:eastAsia="fr-CA"/>
        </w:rPr>
        <w:t xml:space="preserve"> dans deux arrêts </w:t>
      </w:r>
      <w:r w:rsidR="00A11F08">
        <w:rPr>
          <w:lang w:val="fr-FR" w:eastAsia="fr-CA"/>
        </w:rPr>
        <w:t>récents la</w:t>
      </w:r>
      <w:r w:rsidR="00844E87">
        <w:rPr>
          <w:lang w:val="fr-FR" w:eastAsia="fr-CA"/>
        </w:rPr>
        <w:t xml:space="preserve"> « gravité</w:t>
      </w:r>
      <w:r w:rsidR="00A11F08">
        <w:rPr>
          <w:lang w:val="fr-FR" w:eastAsia="fr-CA"/>
        </w:rPr>
        <w:t xml:space="preserve"> afférente aux crimes reliés au trafic des stupéfiants» et rappelle l’invitation des «tribunaux à considérer de façon évolutive l’accumulation des dommages causés aux différentes communautés par l’augmentation significative des crimes se rapportant à la distribution des stupéfiants »</w:t>
      </w:r>
      <w:r w:rsidR="00A11F08" w:rsidRPr="00A11F08">
        <w:rPr>
          <w:rStyle w:val="Appelnotedebasdep"/>
          <w:vertAlign w:val="superscript"/>
          <w:lang w:val="fr-FR" w:eastAsia="fr-CA"/>
        </w:rPr>
        <w:footnoteReference w:id="13"/>
      </w:r>
      <w:r w:rsidR="00A11F08">
        <w:rPr>
          <w:lang w:val="fr-FR" w:eastAsia="fr-CA"/>
        </w:rPr>
        <w:t>.</w:t>
      </w:r>
    </w:p>
    <w:p w14:paraId="1ED2D99A" w14:textId="3F10F91E" w:rsidR="0032155F" w:rsidRPr="001D1E0D" w:rsidRDefault="00A11F08" w:rsidP="00056E38">
      <w:pPr>
        <w:pStyle w:val="Paragraphe"/>
        <w:tabs>
          <w:tab w:val="clear" w:pos="360"/>
        </w:tabs>
        <w:spacing w:line="240" w:lineRule="auto"/>
        <w:rPr>
          <w:lang w:val="fr-FR" w:eastAsia="fr-CA"/>
        </w:rPr>
      </w:pPr>
      <w:r>
        <w:rPr>
          <w:lang w:val="fr-FR" w:eastAsia="fr-CA"/>
        </w:rPr>
        <w:t xml:space="preserve">Dans le cas de trafic de </w:t>
      </w:r>
      <w:r w:rsidR="009C0C43">
        <w:rPr>
          <w:lang w:val="fr-FR" w:eastAsia="fr-CA"/>
        </w:rPr>
        <w:t>drogue</w:t>
      </w:r>
      <w:r w:rsidR="003A0990">
        <w:rPr>
          <w:lang w:val="fr-FR" w:eastAsia="fr-CA"/>
        </w:rPr>
        <w:t xml:space="preserve"> pour des quantités d’envergure, la Cour d’appel note également qu’«[a]u Québec, les peines globales imposées pour des délinquants opérants dans les réseaux d’envergure et se situant en haut de la hiérarchie oscill</w:t>
      </w:r>
      <w:r w:rsidR="00E70C8D">
        <w:rPr>
          <w:lang w:val="fr-FR" w:eastAsia="fr-CA"/>
        </w:rPr>
        <w:t>e</w:t>
      </w:r>
      <w:r w:rsidR="003A0990">
        <w:rPr>
          <w:lang w:val="fr-FR" w:eastAsia="fr-CA"/>
        </w:rPr>
        <w:t>nt entre 5 et 12 ans selon les jugements recensés par le Tribunal»</w:t>
      </w:r>
      <w:r w:rsidR="003A0990" w:rsidRPr="003A0990">
        <w:rPr>
          <w:rStyle w:val="Appelnotedebasdep"/>
          <w:vertAlign w:val="superscript"/>
          <w:lang w:val="fr-FR" w:eastAsia="fr-CA"/>
        </w:rPr>
        <w:footnoteReference w:id="14"/>
      </w:r>
      <w:r w:rsidR="003A0990" w:rsidRPr="003A0990">
        <w:rPr>
          <w:vertAlign w:val="superscript"/>
          <w:lang w:val="fr-FR" w:eastAsia="fr-CA"/>
        </w:rPr>
        <w:t xml:space="preserve"> </w:t>
      </w:r>
      <w:r w:rsidR="003A0990">
        <w:rPr>
          <w:lang w:val="fr-FR" w:eastAsia="fr-CA"/>
        </w:rPr>
        <w:t>.</w:t>
      </w:r>
      <w:r w:rsidR="003A0990" w:rsidRPr="003A0990">
        <w:rPr>
          <w:vertAlign w:val="superscript"/>
          <w:lang w:val="fr-FR" w:eastAsia="fr-CA"/>
        </w:rPr>
        <w:t xml:space="preserve"> </w:t>
      </w:r>
      <w:r w:rsidR="003A0990">
        <w:rPr>
          <w:lang w:val="fr-FR" w:eastAsia="fr-CA"/>
        </w:rPr>
        <w:t xml:space="preserve"> </w:t>
      </w:r>
      <w:r>
        <w:rPr>
          <w:lang w:val="fr-FR" w:eastAsia="fr-CA"/>
        </w:rPr>
        <w:t xml:space="preserve"> </w:t>
      </w:r>
      <w:r w:rsidR="0032155F">
        <w:rPr>
          <w:lang w:val="fr-FR" w:eastAsia="fr-CA"/>
        </w:rPr>
        <w:t xml:space="preserve"> </w:t>
      </w:r>
    </w:p>
    <w:p w14:paraId="4AB1ADBE" w14:textId="77777777" w:rsidR="001D1E0D" w:rsidRPr="001D1E0D" w:rsidRDefault="001D1E0D" w:rsidP="001D1E0D">
      <w:pPr>
        <w:pStyle w:val="Titre2"/>
        <w:rPr>
          <w:lang w:val="fr-FR" w:eastAsia="fr-CA"/>
        </w:rPr>
      </w:pPr>
      <w:r w:rsidRPr="001D1E0D">
        <w:rPr>
          <w:lang w:val="fr-FR" w:eastAsia="fr-CA"/>
        </w:rPr>
        <w:t>Les facteurs aggravants et atténuants</w:t>
      </w:r>
    </w:p>
    <w:p w14:paraId="1D63207A" w14:textId="6F971CF4" w:rsidR="001D1E0D" w:rsidRPr="001D1E0D" w:rsidRDefault="001D1E0D" w:rsidP="00AD2927">
      <w:pPr>
        <w:pStyle w:val="Paragraphe"/>
        <w:spacing w:line="240" w:lineRule="auto"/>
        <w:rPr>
          <w:lang w:val="fr-FR" w:eastAsia="fr-CA"/>
        </w:rPr>
      </w:pPr>
      <w:r w:rsidRPr="001D1E0D">
        <w:rPr>
          <w:rFonts w:ascii="Times New Roman" w:hAnsi="Times New Roman"/>
          <w:lang w:val="fr-FR" w:eastAsia="fr-CA"/>
        </w:rPr>
        <w:t xml:space="preserve"> </w:t>
      </w:r>
      <w:r w:rsidRPr="001D1E0D">
        <w:rPr>
          <w:lang w:val="fr-FR" w:eastAsia="fr-CA"/>
        </w:rPr>
        <w:t>L’</w:t>
      </w:r>
      <w:r w:rsidR="00EC7216">
        <w:rPr>
          <w:lang w:val="fr-FR" w:eastAsia="fr-CA"/>
        </w:rPr>
        <w:t>article 718.2</w:t>
      </w:r>
      <w:r w:rsidRPr="001D1E0D">
        <w:rPr>
          <w:lang w:val="fr-FR" w:eastAsia="fr-CA"/>
        </w:rPr>
        <w:t xml:space="preserve"> du </w:t>
      </w:r>
      <w:hyperlink r:id="rId12" w:history="1">
        <w:r w:rsidR="00EC7216">
          <w:rPr>
            <w:i/>
            <w:lang w:val="fr-FR" w:eastAsia="fr-CA"/>
          </w:rPr>
          <w:t>Code criminel</w:t>
        </w:r>
      </w:hyperlink>
      <w:r w:rsidRPr="001D1E0D">
        <w:rPr>
          <w:lang w:val="fr-FR" w:eastAsia="fr-CA"/>
        </w:rPr>
        <w:t xml:space="preserve"> requiert que le Tribunal examine les facteurs aggravants et atténuants par rapport aux circonstances de la cause et aux circonstances de l’accusé. </w:t>
      </w:r>
    </w:p>
    <w:p w14:paraId="7EE1A29C" w14:textId="77777777" w:rsidR="001D1E0D" w:rsidRPr="001D1E0D" w:rsidRDefault="001D1E0D" w:rsidP="001D1E0D">
      <w:pPr>
        <w:pStyle w:val="Titre3"/>
      </w:pPr>
      <w:r w:rsidRPr="001D1E0D">
        <w:t>Les facteurs aggravants</w:t>
      </w:r>
    </w:p>
    <w:p w14:paraId="31284704" w14:textId="15EF7911" w:rsidR="001D1E0D" w:rsidRPr="001D1E0D" w:rsidRDefault="001D1E0D" w:rsidP="00862468">
      <w:pPr>
        <w:pStyle w:val="Paragraphe"/>
        <w:tabs>
          <w:tab w:val="clear" w:pos="360"/>
        </w:tabs>
        <w:rPr>
          <w:lang w:val="fr-FR" w:eastAsia="fr-CA"/>
        </w:rPr>
      </w:pPr>
      <w:r w:rsidRPr="001D1E0D">
        <w:rPr>
          <w:lang w:val="fr-FR" w:eastAsia="fr-CA"/>
        </w:rPr>
        <w:t>Dans cette affaire, il existe un certain nombre de facteurs aggravants</w:t>
      </w:r>
      <w:r w:rsidR="005838DC">
        <w:rPr>
          <w:lang w:val="fr-FR" w:eastAsia="fr-CA"/>
        </w:rPr>
        <w:t>,</w:t>
      </w:r>
      <w:r w:rsidRPr="001D1E0D">
        <w:rPr>
          <w:lang w:val="fr-FR" w:eastAsia="fr-CA"/>
        </w:rPr>
        <w:t xml:space="preserve"> </w:t>
      </w:r>
      <w:r w:rsidR="00684A4F" w:rsidRPr="001D1E0D">
        <w:rPr>
          <w:lang w:val="fr-FR" w:eastAsia="fr-CA"/>
        </w:rPr>
        <w:t>notamment</w:t>
      </w:r>
      <w:r w:rsidR="004A7E01">
        <w:rPr>
          <w:lang w:val="fr-FR" w:eastAsia="fr-CA"/>
        </w:rPr>
        <w:t> :</w:t>
      </w:r>
    </w:p>
    <w:p w14:paraId="7139202B" w14:textId="05202B0C" w:rsidR="001D1E0D" w:rsidRPr="00A82895" w:rsidRDefault="001D1E0D" w:rsidP="001D1E0D">
      <w:pPr>
        <w:numPr>
          <w:ilvl w:val="0"/>
          <w:numId w:val="23"/>
        </w:numPr>
        <w:spacing w:before="100" w:beforeAutospacing="1" w:after="100" w:afterAutospacing="1"/>
        <w:ind w:left="709"/>
        <w:contextualSpacing/>
        <w:jc w:val="both"/>
        <w:rPr>
          <w:rFonts w:cs="Arial"/>
          <w:szCs w:val="24"/>
          <w:lang w:val="fr-FR"/>
        </w:rPr>
      </w:pPr>
      <w:r w:rsidRPr="00D638C1">
        <w:rPr>
          <w:lang w:val="fr-FR" w:eastAsia="fr-CA"/>
        </w:rPr>
        <w:t>L</w:t>
      </w:r>
      <w:r w:rsidR="00D638C1" w:rsidRPr="00D638C1">
        <w:rPr>
          <w:lang w:val="fr-FR" w:eastAsia="fr-CA"/>
        </w:rPr>
        <w:t xml:space="preserve">a </w:t>
      </w:r>
      <w:r w:rsidR="00C421A4">
        <w:rPr>
          <w:lang w:val="fr-FR" w:eastAsia="fr-CA"/>
        </w:rPr>
        <w:t xml:space="preserve">nature et la </w:t>
      </w:r>
      <w:r w:rsidR="00D638C1" w:rsidRPr="00D638C1">
        <w:rPr>
          <w:lang w:val="fr-FR" w:eastAsia="fr-CA"/>
        </w:rPr>
        <w:t>quan</w:t>
      </w:r>
      <w:r w:rsidR="00D638C1">
        <w:rPr>
          <w:lang w:val="fr-FR" w:eastAsia="fr-CA"/>
        </w:rPr>
        <w:t>tité</w:t>
      </w:r>
      <w:r w:rsidR="00D638C1" w:rsidRPr="00D638C1">
        <w:rPr>
          <w:lang w:val="fr-FR" w:eastAsia="fr-CA"/>
        </w:rPr>
        <w:t xml:space="preserve"> très importante des stupéfiants saisi</w:t>
      </w:r>
      <w:r w:rsidR="00D638C1">
        <w:rPr>
          <w:lang w:val="fr-FR" w:eastAsia="fr-CA"/>
        </w:rPr>
        <w:t>e</w:t>
      </w:r>
      <w:r w:rsidR="00D638C1" w:rsidRPr="00D638C1">
        <w:rPr>
          <w:lang w:val="fr-FR" w:eastAsia="fr-CA"/>
        </w:rPr>
        <w:t xml:space="preserve"> entre les mains de l’accusé</w:t>
      </w:r>
      <w:r w:rsidR="0027190D">
        <w:rPr>
          <w:lang w:val="fr-FR" w:eastAsia="fr-CA"/>
        </w:rPr>
        <w:t> ;</w:t>
      </w:r>
      <w:r w:rsidR="00D638C1" w:rsidRPr="00D638C1">
        <w:rPr>
          <w:lang w:val="fr-FR" w:eastAsia="fr-CA"/>
        </w:rPr>
        <w:t xml:space="preserve"> </w:t>
      </w:r>
    </w:p>
    <w:p w14:paraId="3BA58E32" w14:textId="067A1464" w:rsidR="00A82895" w:rsidRPr="002B01A0" w:rsidRDefault="00A82895" w:rsidP="001D1E0D">
      <w:pPr>
        <w:numPr>
          <w:ilvl w:val="0"/>
          <w:numId w:val="23"/>
        </w:numPr>
        <w:spacing w:before="100" w:beforeAutospacing="1" w:after="100" w:afterAutospacing="1"/>
        <w:ind w:left="709"/>
        <w:contextualSpacing/>
        <w:jc w:val="both"/>
        <w:rPr>
          <w:rFonts w:cs="Arial"/>
          <w:szCs w:val="24"/>
          <w:lang w:val="fr-FR"/>
        </w:rPr>
      </w:pPr>
      <w:r>
        <w:rPr>
          <w:lang w:val="fr-FR" w:eastAsia="fr-CA"/>
        </w:rPr>
        <w:t>Les effets ravageurs de la drogue sur la communauté ;</w:t>
      </w:r>
    </w:p>
    <w:p w14:paraId="1E422C3C" w14:textId="7B2AA84F" w:rsidR="002B01A0" w:rsidRPr="002B01A0" w:rsidRDefault="002B01A0" w:rsidP="001D1E0D">
      <w:pPr>
        <w:numPr>
          <w:ilvl w:val="0"/>
          <w:numId w:val="23"/>
        </w:numPr>
        <w:spacing w:before="100" w:beforeAutospacing="1" w:after="100" w:afterAutospacing="1"/>
        <w:ind w:left="709"/>
        <w:contextualSpacing/>
        <w:jc w:val="both"/>
        <w:rPr>
          <w:rFonts w:cs="Arial"/>
          <w:szCs w:val="24"/>
          <w:lang w:val="fr-FR"/>
        </w:rPr>
      </w:pPr>
      <w:r>
        <w:rPr>
          <w:lang w:val="fr-FR" w:eastAsia="fr-CA"/>
        </w:rPr>
        <w:t>Le nombre des transactions ;</w:t>
      </w:r>
    </w:p>
    <w:p w14:paraId="2E87D3D0" w14:textId="0958380E" w:rsidR="002B01A0" w:rsidRPr="00D638C1" w:rsidRDefault="002B01A0" w:rsidP="001D1E0D">
      <w:pPr>
        <w:numPr>
          <w:ilvl w:val="0"/>
          <w:numId w:val="23"/>
        </w:numPr>
        <w:spacing w:before="100" w:beforeAutospacing="1" w:after="100" w:afterAutospacing="1"/>
        <w:ind w:left="709"/>
        <w:contextualSpacing/>
        <w:jc w:val="both"/>
        <w:rPr>
          <w:rFonts w:cs="Arial"/>
          <w:szCs w:val="24"/>
          <w:lang w:val="fr-FR"/>
        </w:rPr>
      </w:pPr>
      <w:r>
        <w:rPr>
          <w:lang w:val="fr-FR" w:eastAsia="fr-CA"/>
        </w:rPr>
        <w:t>La proximité des gens criminalisés faisant partie du groupe les Minotaures.</w:t>
      </w:r>
    </w:p>
    <w:p w14:paraId="39895F8E" w14:textId="31C87FD7" w:rsidR="005838DC" w:rsidRDefault="0027190D" w:rsidP="001D1E0D">
      <w:pPr>
        <w:numPr>
          <w:ilvl w:val="0"/>
          <w:numId w:val="23"/>
        </w:numPr>
        <w:spacing w:before="100" w:beforeAutospacing="1" w:after="100" w:afterAutospacing="1"/>
        <w:ind w:left="709"/>
        <w:contextualSpacing/>
        <w:jc w:val="both"/>
        <w:rPr>
          <w:rFonts w:cs="Arial"/>
          <w:szCs w:val="24"/>
          <w:lang w:val="fr-FR"/>
        </w:rPr>
      </w:pPr>
      <w:r>
        <w:rPr>
          <w:rFonts w:cs="Arial"/>
          <w:szCs w:val="24"/>
          <w:lang w:val="fr-FR"/>
        </w:rPr>
        <w:t>Le rôle important joué par l’accusé dans l’entreposage des stupéfiants</w:t>
      </w:r>
      <w:r w:rsidR="009C535B">
        <w:rPr>
          <w:rFonts w:cs="Arial"/>
          <w:szCs w:val="24"/>
          <w:lang w:val="fr-FR"/>
        </w:rPr>
        <w:t>, il constitue un rouage important car sans lui le réseau ne serait pas fonctionnel</w:t>
      </w:r>
      <w:r>
        <w:rPr>
          <w:rFonts w:cs="Arial"/>
          <w:szCs w:val="24"/>
          <w:lang w:val="fr-FR"/>
        </w:rPr>
        <w:t> ;</w:t>
      </w:r>
    </w:p>
    <w:p w14:paraId="73DD1EFD" w14:textId="30EB42F3" w:rsidR="00B45FBD" w:rsidRDefault="00B45FBD" w:rsidP="001D1E0D">
      <w:pPr>
        <w:numPr>
          <w:ilvl w:val="0"/>
          <w:numId w:val="23"/>
        </w:numPr>
        <w:spacing w:before="100" w:beforeAutospacing="1" w:after="100" w:afterAutospacing="1"/>
        <w:ind w:left="709"/>
        <w:contextualSpacing/>
        <w:jc w:val="both"/>
        <w:rPr>
          <w:rFonts w:cs="Arial"/>
          <w:szCs w:val="24"/>
          <w:lang w:val="fr-FR"/>
        </w:rPr>
      </w:pPr>
      <w:r>
        <w:rPr>
          <w:rFonts w:cs="Arial"/>
          <w:szCs w:val="24"/>
          <w:lang w:val="fr-FR"/>
        </w:rPr>
        <w:t>La planification et la sophistication dans l’implication de l’accusé ;</w:t>
      </w:r>
    </w:p>
    <w:p w14:paraId="639CCFBC" w14:textId="2F441BA0" w:rsidR="002318A0" w:rsidRDefault="00B45FBD" w:rsidP="00B45FBD">
      <w:pPr>
        <w:pStyle w:val="Paragraphe"/>
        <w:tabs>
          <w:tab w:val="clear" w:pos="360"/>
          <w:tab w:val="num" w:pos="0"/>
        </w:tabs>
        <w:spacing w:line="240" w:lineRule="auto"/>
        <w:rPr>
          <w:lang w:val="fr-FR"/>
        </w:rPr>
      </w:pPr>
      <w:r>
        <w:rPr>
          <w:lang w:val="fr-FR"/>
        </w:rPr>
        <w:t xml:space="preserve">Tout au long de l’enquête, </w:t>
      </w:r>
      <w:r w:rsidR="0006518E">
        <w:rPr>
          <w:lang w:val="fr-FR"/>
        </w:rPr>
        <w:t xml:space="preserve">la preuve démontre que </w:t>
      </w:r>
      <w:r>
        <w:rPr>
          <w:lang w:val="fr-FR"/>
        </w:rPr>
        <w:t>des PGP ont été utilisés afin de permettre aux membres de l’organisation de communiquer entre eux, afin d’échapper à la captation de l’écoute</w:t>
      </w:r>
      <w:r w:rsidR="0033008D">
        <w:rPr>
          <w:lang w:val="fr-FR"/>
        </w:rPr>
        <w:t xml:space="preserve"> électronique par les policiers.</w:t>
      </w:r>
      <w:r>
        <w:rPr>
          <w:lang w:val="fr-FR"/>
        </w:rPr>
        <w:t xml:space="preserve"> </w:t>
      </w:r>
    </w:p>
    <w:p w14:paraId="15FE7463" w14:textId="3E2033E1" w:rsidR="00631F7B" w:rsidRDefault="002318A0" w:rsidP="00631F7B">
      <w:pPr>
        <w:pStyle w:val="Paragraphe"/>
        <w:tabs>
          <w:tab w:val="clear" w:pos="360"/>
          <w:tab w:val="num" w:pos="0"/>
        </w:tabs>
        <w:spacing w:line="240" w:lineRule="auto"/>
        <w:rPr>
          <w:lang w:val="fr-FR"/>
        </w:rPr>
      </w:pPr>
      <w:r>
        <w:rPr>
          <w:lang w:val="fr-FR"/>
        </w:rPr>
        <w:t>Dans la trame factuelle</w:t>
      </w:r>
      <w:r w:rsidR="00B846E1">
        <w:rPr>
          <w:lang w:val="fr-FR"/>
        </w:rPr>
        <w:t xml:space="preserve"> </w:t>
      </w:r>
      <w:r>
        <w:rPr>
          <w:lang w:val="fr-FR"/>
        </w:rPr>
        <w:t>présentée par les parties</w:t>
      </w:r>
      <w:r w:rsidR="00342000">
        <w:rPr>
          <w:lang w:val="fr-FR"/>
        </w:rPr>
        <w:t>, l’accusé reconnaît ceci :</w:t>
      </w:r>
    </w:p>
    <w:p w14:paraId="3AFA1EC3" w14:textId="4EDDB8AD" w:rsidR="00631F7B" w:rsidRDefault="00631F7B" w:rsidP="00631F7B">
      <w:pPr>
        <w:pStyle w:val="Citationenretrait"/>
        <w:rPr>
          <w:lang w:val="fr-FR"/>
        </w:rPr>
      </w:pPr>
      <w:r>
        <w:rPr>
          <w:lang w:val="fr-FR"/>
        </w:rPr>
        <w:t>2.22</w:t>
      </w:r>
      <w:r w:rsidR="002318A0">
        <w:rPr>
          <w:lang w:val="fr-FR"/>
        </w:rPr>
        <w:t xml:space="preserve"> </w:t>
      </w:r>
      <w:r>
        <w:rPr>
          <w:lang w:val="fr-FR"/>
        </w:rPr>
        <w:tab/>
        <w:t xml:space="preserve">L’analyse du téléphone PGP de Félix-Olivier </w:t>
      </w:r>
      <w:r w:rsidR="00B846E1">
        <w:rPr>
          <w:lang w:val="fr-FR"/>
        </w:rPr>
        <w:t>Boisjoly</w:t>
      </w:r>
      <w:r>
        <w:rPr>
          <w:lang w:val="fr-FR"/>
        </w:rPr>
        <w:t xml:space="preserve"> a démontré que ce dernier :</w:t>
      </w:r>
    </w:p>
    <w:p w14:paraId="00C14E83" w14:textId="68164544" w:rsidR="0019500C" w:rsidRDefault="00631F7B" w:rsidP="00631F7B">
      <w:pPr>
        <w:pStyle w:val="Citationenretrait"/>
        <w:rPr>
          <w:lang w:val="fr-FR"/>
        </w:rPr>
      </w:pPr>
      <w:r>
        <w:rPr>
          <w:lang w:val="fr-FR"/>
        </w:rPr>
        <w:t>-</w:t>
      </w:r>
      <w:r>
        <w:rPr>
          <w:lang w:val="fr-FR"/>
        </w:rPr>
        <w:tab/>
        <w:t>emploi l’adresse</w:t>
      </w:r>
      <w:r w:rsidR="0019500C">
        <w:rPr>
          <w:lang w:val="fr-FR"/>
        </w:rPr>
        <w:t xml:space="preserve"> courriel </w:t>
      </w:r>
      <w:r w:rsidR="006E6417">
        <w:rPr>
          <w:lang w:val="fr-FR"/>
        </w:rPr>
        <w:t>[...]</w:t>
      </w:r>
      <w:r w:rsidR="00EC7216">
        <w:rPr>
          <w:lang w:val="fr-FR"/>
        </w:rPr>
        <w:t>@cryptocloud.mobi</w:t>
      </w:r>
    </w:p>
    <w:p w14:paraId="4C742F94" w14:textId="219894B9" w:rsidR="00B45FBD" w:rsidRPr="00684A4F" w:rsidRDefault="0019500C" w:rsidP="00631F7B">
      <w:pPr>
        <w:pStyle w:val="Citationenretrait"/>
        <w:rPr>
          <w:lang w:val="fr-FR"/>
        </w:rPr>
      </w:pPr>
      <w:r>
        <w:rPr>
          <w:lang w:val="fr-FR"/>
        </w:rPr>
        <w:tab/>
        <w:t>-</w:t>
      </w:r>
      <w:r>
        <w:rPr>
          <w:lang w:val="fr-FR"/>
        </w:rPr>
        <w:tab/>
        <w:t>Tente de se créer un réseau de trafic de stupéfiants, mais ne peut le faire</w:t>
      </w:r>
      <w:r w:rsidR="00262272">
        <w:rPr>
          <w:lang w:val="fr-FR"/>
        </w:rPr>
        <w:t xml:space="preserve"> sans l’aide de Lukens Michel qui connait mieux les gens du milieu criminalisé</w:t>
      </w:r>
      <w:r w:rsidR="007239EE" w:rsidRPr="007239EE">
        <w:rPr>
          <w:rStyle w:val="Appelnotedebasdep"/>
          <w:vertAlign w:val="superscript"/>
          <w:lang w:val="fr-FR"/>
        </w:rPr>
        <w:footnoteReference w:id="15"/>
      </w:r>
      <w:r w:rsidR="00262272">
        <w:rPr>
          <w:lang w:val="fr-FR"/>
        </w:rPr>
        <w:t>.</w:t>
      </w:r>
      <w:r>
        <w:rPr>
          <w:lang w:val="fr-FR"/>
        </w:rPr>
        <w:t xml:space="preserve"> </w:t>
      </w:r>
      <w:r w:rsidR="00631F7B">
        <w:rPr>
          <w:lang w:val="fr-FR"/>
        </w:rPr>
        <w:t xml:space="preserve"> </w:t>
      </w:r>
      <w:r w:rsidR="00B45FBD">
        <w:rPr>
          <w:lang w:val="fr-FR"/>
        </w:rPr>
        <w:t xml:space="preserve">  </w:t>
      </w:r>
    </w:p>
    <w:p w14:paraId="72F1198D" w14:textId="77777777" w:rsidR="001D1E0D" w:rsidRPr="001D1E0D" w:rsidRDefault="001D1E0D" w:rsidP="00D72CA9">
      <w:pPr>
        <w:pStyle w:val="Titre3"/>
      </w:pPr>
      <w:r w:rsidRPr="001D1E0D">
        <w:t xml:space="preserve">Les facteurs atténuants </w:t>
      </w:r>
    </w:p>
    <w:p w14:paraId="266E2498" w14:textId="77777777" w:rsidR="001D1E0D" w:rsidRPr="001D1E0D" w:rsidRDefault="001D1E0D" w:rsidP="00D01F27">
      <w:pPr>
        <w:pStyle w:val="Paragraphe"/>
        <w:tabs>
          <w:tab w:val="clear" w:pos="360"/>
          <w:tab w:val="num" w:pos="0"/>
        </w:tabs>
        <w:rPr>
          <w:lang w:val="fr-FR" w:eastAsia="fr-CA"/>
        </w:rPr>
      </w:pPr>
      <w:r w:rsidRPr="001D1E0D">
        <w:rPr>
          <w:lang w:val="fr-FR" w:eastAsia="fr-CA"/>
        </w:rPr>
        <w:t>Au chapitre des éléments atténuants, le Tribunal note les facteurs suivants :</w:t>
      </w:r>
    </w:p>
    <w:p w14:paraId="6A7EA41F" w14:textId="02D82B47" w:rsidR="001D1E0D" w:rsidRDefault="001D1E0D" w:rsidP="001D1E0D">
      <w:pPr>
        <w:numPr>
          <w:ilvl w:val="0"/>
          <w:numId w:val="23"/>
        </w:numPr>
        <w:spacing w:before="100" w:beforeAutospacing="1" w:after="100" w:afterAutospacing="1"/>
        <w:contextualSpacing/>
        <w:rPr>
          <w:rFonts w:cs="Arial"/>
          <w:szCs w:val="24"/>
          <w:lang w:val="fr-FR" w:eastAsia="fr-CA"/>
        </w:rPr>
      </w:pPr>
      <w:r w:rsidRPr="001D1E0D">
        <w:rPr>
          <w:rFonts w:cs="Arial"/>
          <w:szCs w:val="24"/>
          <w:lang w:val="fr-FR" w:eastAsia="fr-CA"/>
        </w:rPr>
        <w:t>Il a plaidé coupable</w:t>
      </w:r>
      <w:r w:rsidR="00262A29">
        <w:rPr>
          <w:rFonts w:cs="Arial"/>
          <w:szCs w:val="24"/>
          <w:lang w:val="fr-FR" w:eastAsia="fr-CA"/>
        </w:rPr>
        <w:t> ;</w:t>
      </w:r>
    </w:p>
    <w:p w14:paraId="176B2F5A" w14:textId="01CBFD99" w:rsidR="001D1E0D" w:rsidRPr="001D1E0D" w:rsidRDefault="001D1E0D" w:rsidP="00C14325">
      <w:pPr>
        <w:pStyle w:val="Paragraphe"/>
        <w:spacing w:line="240" w:lineRule="auto"/>
        <w:rPr>
          <w:lang w:val="fr-FR" w:eastAsia="fr-CA"/>
        </w:rPr>
      </w:pPr>
      <w:r w:rsidRPr="001D1E0D">
        <w:rPr>
          <w:lang w:val="fr-FR" w:eastAsia="fr-CA"/>
        </w:rPr>
        <w:t xml:space="preserve">Dans </w:t>
      </w:r>
      <w:r w:rsidRPr="001D1E0D">
        <w:rPr>
          <w:i/>
          <w:szCs w:val="24"/>
          <w:lang w:val="fr-FR" w:eastAsia="fr-CA"/>
        </w:rPr>
        <w:t>Perron c. R.</w:t>
      </w:r>
      <w:r w:rsidRPr="001D1E0D">
        <w:rPr>
          <w:i/>
          <w:szCs w:val="24"/>
          <w:vertAlign w:val="superscript"/>
          <w:lang w:val="fr-FR" w:eastAsia="fr-CA"/>
        </w:rPr>
        <w:footnoteReference w:id="16"/>
      </w:r>
      <w:r w:rsidRPr="001D1E0D">
        <w:rPr>
          <w:i/>
          <w:szCs w:val="24"/>
          <w:lang w:val="fr-FR" w:eastAsia="fr-CA"/>
        </w:rPr>
        <w:t>,</w:t>
      </w:r>
      <w:r w:rsidRPr="001D1E0D">
        <w:rPr>
          <w:szCs w:val="24"/>
          <w:lang w:val="fr-FR" w:eastAsia="fr-CA"/>
        </w:rPr>
        <w:t xml:space="preserve"> la</w:t>
      </w:r>
      <w:r w:rsidRPr="001D1E0D">
        <w:rPr>
          <w:lang w:val="fr-FR" w:eastAsia="fr-CA"/>
        </w:rPr>
        <w:t xml:space="preserve"> Cour d’appel résume l’état du droit quant à l’impact d’un plaidoyer de culpabilité sur la peine comme suit : </w:t>
      </w:r>
    </w:p>
    <w:p w14:paraId="06044D5D" w14:textId="78F4AA75" w:rsidR="001D1E0D" w:rsidRPr="001D1E0D" w:rsidRDefault="001D1E0D" w:rsidP="001D1E0D">
      <w:pPr>
        <w:spacing w:before="120" w:after="120"/>
        <w:ind w:left="1021" w:right="1021"/>
        <w:jc w:val="both"/>
        <w:rPr>
          <w:kern w:val="24"/>
          <w:sz w:val="22"/>
          <w:lang w:eastAsia="fr-CA"/>
        </w:rPr>
      </w:pPr>
      <w:r w:rsidRPr="001D1E0D">
        <w:rPr>
          <w:rFonts w:cs="Arial"/>
          <w:kern w:val="24"/>
          <w:sz w:val="22"/>
          <w:szCs w:val="22"/>
        </w:rPr>
        <w:t>[10]</w:t>
      </w:r>
      <w:r w:rsidR="00491874">
        <w:rPr>
          <w:rFonts w:cs="Arial"/>
          <w:kern w:val="24"/>
          <w:sz w:val="22"/>
          <w:szCs w:val="22"/>
        </w:rPr>
        <w:tab/>
      </w:r>
      <w:r w:rsidRPr="001D1E0D">
        <w:rPr>
          <w:rFonts w:cs="Arial"/>
          <w:kern w:val="24"/>
          <w:sz w:val="22"/>
          <w:szCs w:val="22"/>
        </w:rPr>
        <w:t>De manière générale, deux facteurs expliquent la valeur atténuante qu’on accorde à un plaidoyer de culpabilité</w:t>
      </w:r>
      <w:r w:rsidRPr="001D1E0D">
        <w:rPr>
          <w:kern w:val="24"/>
          <w:sz w:val="22"/>
        </w:rPr>
        <w:t> : (1) il est la manifestation des remords de l’accusé qui avoue sa participation à l’infraction et (2) il contribue à une saine administration de la justice</w:t>
      </w:r>
      <w:r w:rsidR="00EB541F">
        <w:rPr>
          <w:kern w:val="24"/>
          <w:sz w:val="22"/>
        </w:rPr>
        <w:t xml:space="preserve"> […]</w:t>
      </w:r>
      <w:r w:rsidRPr="001D1E0D">
        <w:rPr>
          <w:kern w:val="24"/>
          <w:sz w:val="22"/>
        </w:rPr>
        <w:t>.</w:t>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r>
      <w:r w:rsidRPr="001D1E0D">
        <w:rPr>
          <w:kern w:val="24"/>
          <w:sz w:val="22"/>
        </w:rPr>
        <w:tab/>
        <w:t>[Renvoi</w:t>
      </w:r>
      <w:r w:rsidR="00EB541F">
        <w:rPr>
          <w:kern w:val="24"/>
          <w:sz w:val="22"/>
        </w:rPr>
        <w:t>s</w:t>
      </w:r>
      <w:r w:rsidRPr="001D1E0D">
        <w:rPr>
          <w:kern w:val="24"/>
          <w:sz w:val="22"/>
        </w:rPr>
        <w:t xml:space="preserve"> omis].</w:t>
      </w:r>
    </w:p>
    <w:p w14:paraId="4A2D6670" w14:textId="6465895A" w:rsidR="006800DA" w:rsidRPr="006800DA" w:rsidRDefault="001D1E0D" w:rsidP="004E5795">
      <w:pPr>
        <w:pStyle w:val="Paragraphe"/>
        <w:tabs>
          <w:tab w:val="clear" w:pos="360"/>
          <w:tab w:val="num" w:pos="0"/>
        </w:tabs>
        <w:spacing w:line="240" w:lineRule="auto"/>
        <w:rPr>
          <w:rFonts w:cs="Arial"/>
          <w:szCs w:val="24"/>
          <w:lang w:val="fr-FR" w:eastAsia="fr-CA"/>
        </w:rPr>
      </w:pPr>
      <w:r w:rsidRPr="001D1E0D">
        <w:rPr>
          <w:lang w:eastAsia="fr-CA"/>
        </w:rPr>
        <w:t>Tout aussi important, le plaidoyer</w:t>
      </w:r>
      <w:r w:rsidR="00382262">
        <w:rPr>
          <w:lang w:eastAsia="fr-CA"/>
        </w:rPr>
        <w:t xml:space="preserve"> de culpabilité</w:t>
      </w:r>
      <w:r w:rsidRPr="001D1E0D">
        <w:rPr>
          <w:lang w:eastAsia="fr-CA"/>
        </w:rPr>
        <w:t xml:space="preserve"> évite à </w:t>
      </w:r>
      <w:r w:rsidR="00D638C1">
        <w:rPr>
          <w:lang w:eastAsia="fr-CA"/>
        </w:rPr>
        <w:t>l’appareil judiciaire le gaspillage d’importantes ressources judiciaires en vain</w:t>
      </w:r>
      <w:r w:rsidR="00A43528">
        <w:rPr>
          <w:lang w:eastAsia="fr-CA"/>
        </w:rPr>
        <w:t xml:space="preserve"> et q</w:t>
      </w:r>
      <w:r w:rsidRPr="001D1E0D">
        <w:rPr>
          <w:lang w:eastAsia="fr-CA"/>
        </w:rPr>
        <w:t xml:space="preserve">uoi qu’il en soit, le plaidoyer de l’accusé conserve toujours une valeur atténuante, même diminuée. </w:t>
      </w:r>
    </w:p>
    <w:p w14:paraId="7BA363FC" w14:textId="57070A5B" w:rsidR="006800DA" w:rsidRPr="006800DA" w:rsidRDefault="006800DA" w:rsidP="006800DA">
      <w:pPr>
        <w:pStyle w:val="Paragraphe"/>
        <w:numPr>
          <w:ilvl w:val="0"/>
          <w:numId w:val="23"/>
        </w:numPr>
        <w:spacing w:line="240" w:lineRule="auto"/>
        <w:rPr>
          <w:rFonts w:cs="Arial"/>
          <w:szCs w:val="24"/>
          <w:lang w:val="fr-FR" w:eastAsia="fr-CA"/>
        </w:rPr>
      </w:pPr>
      <w:r>
        <w:rPr>
          <w:rFonts w:cs="Arial"/>
          <w:szCs w:val="24"/>
          <w:lang w:val="fr-FR" w:eastAsia="fr-CA"/>
        </w:rPr>
        <w:t>La durée de la peine imposée aux coaccusés qui ont des rôles principaux dans le trafic des stupéfiants ;</w:t>
      </w:r>
    </w:p>
    <w:p w14:paraId="549C91A4" w14:textId="7CC3B929" w:rsidR="001D1E0D" w:rsidRPr="00976EC2" w:rsidRDefault="001D1E0D" w:rsidP="001D1E0D">
      <w:pPr>
        <w:numPr>
          <w:ilvl w:val="0"/>
          <w:numId w:val="23"/>
        </w:numPr>
        <w:spacing w:before="100" w:beforeAutospacing="1" w:after="100" w:afterAutospacing="1"/>
        <w:contextualSpacing/>
        <w:rPr>
          <w:rFonts w:cs="Arial"/>
          <w:szCs w:val="24"/>
          <w:lang w:val="fr-FR" w:eastAsia="fr-CA"/>
        </w:rPr>
      </w:pPr>
      <w:r w:rsidRPr="00976EC2">
        <w:rPr>
          <w:rFonts w:cs="Arial"/>
          <w:szCs w:val="24"/>
          <w:lang w:val="fr-FR" w:eastAsia="fr-CA"/>
        </w:rPr>
        <w:t>Aucun antécédent</w:t>
      </w:r>
      <w:r w:rsidR="00976EC2">
        <w:rPr>
          <w:rFonts w:cs="Arial"/>
          <w:szCs w:val="24"/>
          <w:lang w:val="fr-FR" w:eastAsia="fr-CA"/>
        </w:rPr>
        <w:t xml:space="preserve"> judiciaire</w:t>
      </w:r>
      <w:r w:rsidR="0027190D">
        <w:rPr>
          <w:rFonts w:cs="Arial"/>
          <w:szCs w:val="24"/>
          <w:lang w:val="fr-FR" w:eastAsia="fr-CA"/>
        </w:rPr>
        <w:t> ;</w:t>
      </w:r>
    </w:p>
    <w:p w14:paraId="158C25A9" w14:textId="574E8B63" w:rsidR="001D1E0D" w:rsidRPr="00976EC2" w:rsidRDefault="001D1E0D" w:rsidP="00187A0F">
      <w:pPr>
        <w:pStyle w:val="Paragraphe"/>
        <w:tabs>
          <w:tab w:val="clear" w:pos="360"/>
          <w:tab w:val="num" w:pos="0"/>
        </w:tabs>
        <w:spacing w:line="240" w:lineRule="auto"/>
        <w:rPr>
          <w:lang w:val="fr-FR" w:eastAsia="fr-CA"/>
        </w:rPr>
      </w:pPr>
      <w:r w:rsidRPr="00976EC2">
        <w:rPr>
          <w:lang w:val="fr-FR" w:eastAsia="fr-CA"/>
        </w:rPr>
        <w:t>L’accusé n’a pas d’antécédents judiciaires</w:t>
      </w:r>
      <w:r w:rsidR="00976EC2">
        <w:rPr>
          <w:lang w:val="fr-FR" w:eastAsia="fr-CA"/>
        </w:rPr>
        <w:t xml:space="preserve">, il fait face à la justice pour la première fois </w:t>
      </w:r>
      <w:r w:rsidRPr="00976EC2">
        <w:rPr>
          <w:lang w:val="fr-FR" w:eastAsia="fr-CA"/>
        </w:rPr>
        <w:t>et il n’y a pas eu de récidive depuis</w:t>
      </w:r>
      <w:r w:rsidR="00144B0E">
        <w:rPr>
          <w:lang w:val="fr-FR" w:eastAsia="fr-CA"/>
        </w:rPr>
        <w:t xml:space="preserve"> son arrestation</w:t>
      </w:r>
      <w:r w:rsidRPr="00976EC2">
        <w:rPr>
          <w:lang w:val="fr-FR" w:eastAsia="fr-CA"/>
        </w:rPr>
        <w:t>.</w:t>
      </w:r>
      <w:r w:rsidR="00976EC2">
        <w:rPr>
          <w:lang w:val="fr-FR" w:eastAsia="fr-CA"/>
        </w:rPr>
        <w:t xml:space="preserve"> </w:t>
      </w:r>
    </w:p>
    <w:p w14:paraId="346D0504" w14:textId="38667020" w:rsidR="00A82895" w:rsidRDefault="00A82895" w:rsidP="001D1E0D">
      <w:pPr>
        <w:numPr>
          <w:ilvl w:val="0"/>
          <w:numId w:val="23"/>
        </w:numPr>
        <w:spacing w:before="120" w:after="120"/>
        <w:jc w:val="both"/>
        <w:rPr>
          <w:kern w:val="28"/>
          <w:lang w:val="fr-FR" w:eastAsia="fr-CA"/>
        </w:rPr>
      </w:pPr>
      <w:r>
        <w:rPr>
          <w:kern w:val="28"/>
          <w:lang w:val="fr-FR" w:eastAsia="fr-CA"/>
        </w:rPr>
        <w:t>Rapport présenetenciel positif ;</w:t>
      </w:r>
    </w:p>
    <w:p w14:paraId="4CE84B46" w14:textId="38F995D3" w:rsidR="00A82895" w:rsidRDefault="00A82895" w:rsidP="001D1E0D">
      <w:pPr>
        <w:numPr>
          <w:ilvl w:val="0"/>
          <w:numId w:val="23"/>
        </w:numPr>
        <w:spacing w:before="120" w:after="120"/>
        <w:jc w:val="both"/>
        <w:rPr>
          <w:kern w:val="28"/>
          <w:lang w:val="fr-FR" w:eastAsia="fr-CA"/>
        </w:rPr>
      </w:pPr>
      <w:r>
        <w:rPr>
          <w:kern w:val="28"/>
          <w:lang w:val="fr-FR" w:eastAsia="fr-CA"/>
        </w:rPr>
        <w:t xml:space="preserve">Impact important de </w:t>
      </w:r>
      <w:r w:rsidR="00A35D6F">
        <w:rPr>
          <w:kern w:val="28"/>
          <w:lang w:val="fr-FR" w:eastAsia="fr-CA"/>
        </w:rPr>
        <w:t>l’arrestation ;</w:t>
      </w:r>
    </w:p>
    <w:p w14:paraId="3C8D7925" w14:textId="146CFE86" w:rsidR="001D1E0D" w:rsidRPr="00B63DD6" w:rsidRDefault="001D1E0D" w:rsidP="001D1E0D">
      <w:pPr>
        <w:numPr>
          <w:ilvl w:val="0"/>
          <w:numId w:val="23"/>
        </w:numPr>
        <w:spacing w:before="120" w:after="120"/>
        <w:jc w:val="both"/>
        <w:rPr>
          <w:kern w:val="28"/>
          <w:lang w:val="fr-FR" w:eastAsia="fr-CA"/>
        </w:rPr>
      </w:pPr>
      <w:r w:rsidRPr="00B63DD6">
        <w:rPr>
          <w:kern w:val="28"/>
          <w:lang w:val="fr-FR" w:eastAsia="fr-CA"/>
        </w:rPr>
        <w:t>Risque de récidive modér</w:t>
      </w:r>
      <w:r w:rsidR="0027190D">
        <w:rPr>
          <w:kern w:val="28"/>
          <w:lang w:val="fr-FR" w:eastAsia="fr-CA"/>
        </w:rPr>
        <w:t>é ;</w:t>
      </w:r>
    </w:p>
    <w:p w14:paraId="6F75561A" w14:textId="6FA6566B" w:rsidR="001D1E0D" w:rsidRPr="00B63DD6" w:rsidRDefault="001D1E0D" w:rsidP="00E210C0">
      <w:pPr>
        <w:pStyle w:val="Paragraphe"/>
        <w:spacing w:line="240" w:lineRule="auto"/>
        <w:rPr>
          <w:lang w:val="fr-FR" w:eastAsia="fr-CA"/>
        </w:rPr>
      </w:pPr>
      <w:r w:rsidRPr="00B63DD6">
        <w:rPr>
          <w:lang w:val="fr-FR" w:eastAsia="fr-CA"/>
        </w:rPr>
        <w:t xml:space="preserve">Dans le </w:t>
      </w:r>
      <w:r w:rsidR="004C3C24">
        <w:rPr>
          <w:lang w:val="fr-FR" w:eastAsia="fr-CA"/>
        </w:rPr>
        <w:t>r</w:t>
      </w:r>
      <w:r w:rsidRPr="00B63DD6">
        <w:rPr>
          <w:lang w:val="fr-FR" w:eastAsia="fr-CA"/>
        </w:rPr>
        <w:t>apport présentenciel</w:t>
      </w:r>
      <w:r w:rsidR="00546B23">
        <w:rPr>
          <w:lang w:val="fr-FR" w:eastAsia="fr-CA"/>
        </w:rPr>
        <w:t>, l’agente de probation a conclu que</w:t>
      </w:r>
      <w:r w:rsidR="005E2759" w:rsidRPr="00B63DD6">
        <w:rPr>
          <w:lang w:val="fr-FR" w:eastAsia="fr-CA"/>
        </w:rPr>
        <w:t xml:space="preserve"> </w:t>
      </w:r>
      <w:r w:rsidRPr="00B63DD6">
        <w:rPr>
          <w:lang w:val="fr-FR" w:eastAsia="fr-CA"/>
        </w:rPr>
        <w:t>le risque de récidive est jugé</w:t>
      </w:r>
      <w:r w:rsidR="00B63DD6" w:rsidRPr="00B63DD6">
        <w:rPr>
          <w:lang w:val="fr-FR" w:eastAsia="fr-CA"/>
        </w:rPr>
        <w:t xml:space="preserve"> faible à </w:t>
      </w:r>
      <w:r w:rsidR="004E5795" w:rsidRPr="00B63DD6">
        <w:rPr>
          <w:lang w:val="fr-FR" w:eastAsia="fr-CA"/>
        </w:rPr>
        <w:t>court</w:t>
      </w:r>
      <w:r w:rsidR="00B63DD6" w:rsidRPr="00B63DD6">
        <w:rPr>
          <w:lang w:val="fr-FR" w:eastAsia="fr-CA"/>
        </w:rPr>
        <w:t xml:space="preserve"> terme</w:t>
      </w:r>
      <w:r w:rsidRPr="00B63DD6">
        <w:rPr>
          <w:lang w:val="fr-FR" w:eastAsia="fr-CA"/>
        </w:rPr>
        <w:t>. D</w:t>
      </w:r>
      <w:r w:rsidR="00195C5C" w:rsidRPr="00B63DD6">
        <w:rPr>
          <w:lang w:val="fr-FR" w:eastAsia="fr-CA"/>
        </w:rPr>
        <w:t>u</w:t>
      </w:r>
      <w:r w:rsidRPr="00B63DD6">
        <w:rPr>
          <w:lang w:val="fr-FR" w:eastAsia="fr-CA"/>
        </w:rPr>
        <w:t>dit rapport</w:t>
      </w:r>
      <w:r w:rsidR="0082298E">
        <w:rPr>
          <w:lang w:val="fr-FR" w:eastAsia="fr-CA"/>
        </w:rPr>
        <w:t>,</w:t>
      </w:r>
      <w:r w:rsidRPr="00B63DD6">
        <w:rPr>
          <w:lang w:val="fr-FR" w:eastAsia="fr-CA"/>
        </w:rPr>
        <w:t xml:space="preserve"> il semble que le simple dépôt des accusations </w:t>
      </w:r>
      <w:r w:rsidR="00F87018">
        <w:rPr>
          <w:lang w:val="fr-FR" w:eastAsia="fr-CA"/>
        </w:rPr>
        <w:t>a eu</w:t>
      </w:r>
      <w:r w:rsidRPr="00B63DD6">
        <w:rPr>
          <w:lang w:val="fr-FR" w:eastAsia="fr-CA"/>
        </w:rPr>
        <w:t xml:space="preserve"> un effet dissuasif important sur l’accusé. Tel que mentionné plus haut, il n’y a pas eu de récidive depuis </w:t>
      </w:r>
      <w:r w:rsidR="00B63DD6" w:rsidRPr="00B63DD6">
        <w:rPr>
          <w:lang w:val="fr-FR" w:eastAsia="fr-CA"/>
        </w:rPr>
        <w:t>l'année 2018</w:t>
      </w:r>
    </w:p>
    <w:p w14:paraId="03751E68" w14:textId="0FCD864D" w:rsidR="001D1E0D" w:rsidRPr="001D1E0D" w:rsidRDefault="001D1E0D" w:rsidP="001D1E0D">
      <w:pPr>
        <w:numPr>
          <w:ilvl w:val="0"/>
          <w:numId w:val="23"/>
        </w:numPr>
        <w:spacing w:before="120" w:after="120"/>
        <w:jc w:val="both"/>
        <w:rPr>
          <w:kern w:val="28"/>
          <w:lang w:val="fr-FR" w:eastAsia="fr-CA"/>
        </w:rPr>
      </w:pPr>
      <w:r w:rsidRPr="001D1E0D">
        <w:rPr>
          <w:kern w:val="28"/>
          <w:lang w:val="fr-FR" w:eastAsia="fr-CA"/>
        </w:rPr>
        <w:t>L’accusé travaille</w:t>
      </w:r>
      <w:r w:rsidR="00AD10CE">
        <w:rPr>
          <w:kern w:val="28"/>
          <w:lang w:val="fr-FR" w:eastAsia="fr-CA"/>
        </w:rPr>
        <w:t> ;</w:t>
      </w:r>
    </w:p>
    <w:p w14:paraId="6C26FFCE" w14:textId="2F307A8C" w:rsidR="00AD10CE" w:rsidRPr="00CA4190" w:rsidRDefault="00DB031F" w:rsidP="00962E49">
      <w:pPr>
        <w:pStyle w:val="Paragraphe"/>
        <w:spacing w:line="240" w:lineRule="auto"/>
        <w:rPr>
          <w:lang w:val="fr-FR" w:eastAsia="fr-CA"/>
        </w:rPr>
      </w:pPr>
      <w:r>
        <w:t>L'accusé</w:t>
      </w:r>
      <w:r w:rsidR="002875C2">
        <w:t xml:space="preserve"> a toujours été présent au travail et n'a enregistré aucune période sans </w:t>
      </w:r>
      <w:r w:rsidR="002875C2" w:rsidRPr="00CA4190">
        <w:t>emploi</w:t>
      </w:r>
      <w:r w:rsidR="001D1E0D" w:rsidRPr="00CA4190">
        <w:rPr>
          <w:lang w:val="fr-FR" w:eastAsia="fr-CA"/>
        </w:rPr>
        <w:t>. Par son travail, tout au moins, il contribue de façon positive à la société.</w:t>
      </w:r>
    </w:p>
    <w:p w14:paraId="56E38B87" w14:textId="6FC55AE1" w:rsidR="00AD10CE" w:rsidRDefault="00AD10CE" w:rsidP="001D1E0D">
      <w:pPr>
        <w:numPr>
          <w:ilvl w:val="0"/>
          <w:numId w:val="23"/>
        </w:numPr>
        <w:spacing w:before="120" w:after="120"/>
        <w:jc w:val="both"/>
        <w:rPr>
          <w:kern w:val="28"/>
          <w:lang w:val="fr-FR" w:eastAsia="fr-CA"/>
        </w:rPr>
      </w:pPr>
      <w:r>
        <w:rPr>
          <w:kern w:val="28"/>
          <w:lang w:val="fr-FR" w:eastAsia="fr-CA"/>
        </w:rPr>
        <w:t xml:space="preserve">L’accusé fait preuve d’une bonne </w:t>
      </w:r>
      <w:r w:rsidR="00962E49">
        <w:rPr>
          <w:kern w:val="28"/>
          <w:lang w:val="fr-FR" w:eastAsia="fr-CA"/>
        </w:rPr>
        <w:t>réhabilitation ;</w:t>
      </w:r>
    </w:p>
    <w:p w14:paraId="37BB03BC" w14:textId="5A28A2AD" w:rsidR="001D1E0D" w:rsidRPr="00CA4190" w:rsidRDefault="001D1E0D" w:rsidP="001D1E0D">
      <w:pPr>
        <w:numPr>
          <w:ilvl w:val="0"/>
          <w:numId w:val="23"/>
        </w:numPr>
        <w:spacing w:before="120" w:after="120"/>
        <w:jc w:val="both"/>
        <w:rPr>
          <w:kern w:val="28"/>
          <w:lang w:val="fr-FR" w:eastAsia="fr-CA"/>
        </w:rPr>
      </w:pPr>
      <w:r w:rsidRPr="00CA4190">
        <w:rPr>
          <w:kern w:val="28"/>
          <w:lang w:val="fr-FR" w:eastAsia="fr-CA"/>
        </w:rPr>
        <w:t>Il exprime des remords</w:t>
      </w:r>
      <w:r w:rsidR="009F2BD0">
        <w:rPr>
          <w:kern w:val="28"/>
          <w:lang w:val="fr-FR" w:eastAsia="fr-CA"/>
        </w:rPr>
        <w:t>.</w:t>
      </w:r>
    </w:p>
    <w:p w14:paraId="1C8B198B" w14:textId="77777777" w:rsidR="001D1E0D" w:rsidRPr="00CA4190" w:rsidRDefault="001D1E0D" w:rsidP="00962E49">
      <w:pPr>
        <w:pStyle w:val="Paragraphe"/>
        <w:rPr>
          <w:lang w:val="fr-FR" w:eastAsia="fr-CA"/>
        </w:rPr>
      </w:pPr>
      <w:r w:rsidRPr="00CA4190">
        <w:rPr>
          <w:lang w:val="fr-FR" w:eastAsia="fr-CA"/>
        </w:rPr>
        <w:t xml:space="preserve">Le Tribunal note, toutefois, la nature tardive des remords exprimés par l’accusé. </w:t>
      </w:r>
    </w:p>
    <w:p w14:paraId="112916E7" w14:textId="13F92348" w:rsidR="001D1E0D" w:rsidRPr="001D1E0D" w:rsidRDefault="001D1E0D" w:rsidP="0061690B">
      <w:pPr>
        <w:pStyle w:val="Titre2"/>
        <w:rPr>
          <w:lang w:eastAsia="fr-CA"/>
        </w:rPr>
      </w:pPr>
      <w:r w:rsidRPr="001D1E0D">
        <w:rPr>
          <w:lang w:eastAsia="fr-CA"/>
        </w:rPr>
        <w:t xml:space="preserve">Principe de l’harmonisation des </w:t>
      </w:r>
      <w:r w:rsidR="000C518E" w:rsidRPr="001D1E0D">
        <w:rPr>
          <w:lang w:eastAsia="fr-CA"/>
        </w:rPr>
        <w:t>peines (</w:t>
      </w:r>
      <w:r w:rsidRPr="001D1E0D">
        <w:rPr>
          <w:lang w:eastAsia="fr-CA"/>
        </w:rPr>
        <w:t xml:space="preserve">jurisprudence) </w:t>
      </w:r>
    </w:p>
    <w:p w14:paraId="7060493F" w14:textId="77777777" w:rsidR="001D1E0D" w:rsidRPr="001D1E0D" w:rsidRDefault="001D1E0D" w:rsidP="003A2B71">
      <w:pPr>
        <w:pStyle w:val="Titre3"/>
        <w:rPr>
          <w:lang w:eastAsia="fr-CA"/>
        </w:rPr>
      </w:pPr>
      <w:r w:rsidRPr="003A2B71">
        <w:t>Remarques</w:t>
      </w:r>
      <w:r w:rsidRPr="001D1E0D">
        <w:rPr>
          <w:lang w:eastAsia="fr-CA"/>
        </w:rPr>
        <w:t xml:space="preserve"> préliminaires</w:t>
      </w:r>
    </w:p>
    <w:p w14:paraId="38E6F1F8" w14:textId="29E5EAA5" w:rsidR="001D1E0D" w:rsidRPr="001D1E0D" w:rsidRDefault="001D1E0D" w:rsidP="00D57A73">
      <w:pPr>
        <w:pStyle w:val="Paragraphe"/>
        <w:tabs>
          <w:tab w:val="clear" w:pos="360"/>
        </w:tabs>
        <w:spacing w:line="240" w:lineRule="auto"/>
        <w:rPr>
          <w:lang w:eastAsia="fr-CA"/>
        </w:rPr>
      </w:pPr>
      <w:r w:rsidRPr="001D1E0D">
        <w:rPr>
          <w:rFonts w:ascii="Times New Roman" w:hAnsi="Times New Roman"/>
          <w:sz w:val="14"/>
          <w:szCs w:val="14"/>
          <w:lang w:eastAsia="fr-CA"/>
        </w:rPr>
        <w:t> </w:t>
      </w:r>
      <w:r w:rsidRPr="001D1E0D">
        <w:rPr>
          <w:lang w:eastAsia="fr-CA"/>
        </w:rPr>
        <w:t>Quant au principe de l’harmonisation des peines</w:t>
      </w:r>
      <w:r w:rsidR="00D26786">
        <w:rPr>
          <w:lang w:eastAsia="fr-CA"/>
        </w:rPr>
        <w:t>,</w:t>
      </w:r>
      <w:r w:rsidRPr="001D1E0D">
        <w:rPr>
          <w:lang w:eastAsia="fr-CA"/>
        </w:rPr>
        <w:t xml:space="preserve"> il y a lieu de faire les remarques suivantes : toute étude comparative comporte, en soi, des limites. Il est difficile</w:t>
      </w:r>
      <w:r w:rsidR="00FA3A44">
        <w:rPr>
          <w:lang w:eastAsia="fr-CA"/>
        </w:rPr>
        <w:t>,</w:t>
      </w:r>
      <w:r w:rsidRPr="001D1E0D">
        <w:rPr>
          <w:lang w:eastAsia="fr-CA"/>
        </w:rPr>
        <w:t xml:space="preserve"> sinon impossible</w:t>
      </w:r>
      <w:r w:rsidR="00A81D45">
        <w:rPr>
          <w:lang w:eastAsia="fr-CA"/>
        </w:rPr>
        <w:t>,</w:t>
      </w:r>
      <w:r w:rsidRPr="001D1E0D">
        <w:rPr>
          <w:lang w:eastAsia="fr-CA"/>
        </w:rPr>
        <w:t xml:space="preserve"> de trouver deux dossiers dont les circonstances sont à tout point identiques. Dans </w:t>
      </w:r>
      <w:r w:rsidRPr="001D1E0D">
        <w:rPr>
          <w:i/>
          <w:iCs/>
          <w:lang w:eastAsia="fr-CA"/>
        </w:rPr>
        <w:t>R. c. Bernier</w:t>
      </w:r>
      <w:r w:rsidR="006748DF" w:rsidRPr="006748DF">
        <w:rPr>
          <w:rStyle w:val="Appelnotedebasdep"/>
          <w:i/>
          <w:iCs/>
          <w:vertAlign w:val="superscript"/>
          <w:lang w:eastAsia="fr-CA"/>
        </w:rPr>
        <w:footnoteReference w:id="17"/>
      </w:r>
      <w:r w:rsidR="006748DF">
        <w:rPr>
          <w:lang w:eastAsia="fr-CA"/>
        </w:rPr>
        <w:t>,</w:t>
      </w:r>
      <w:r w:rsidRPr="001D1E0D">
        <w:rPr>
          <w:lang w:eastAsia="fr-CA"/>
        </w:rPr>
        <w:t xml:space="preserve"> notre Cour d’appel, au paragraphe 67, a repris les propos de la Cour suprême dans </w:t>
      </w:r>
      <w:r w:rsidRPr="001D1E0D">
        <w:rPr>
          <w:i/>
          <w:iCs/>
          <w:lang w:eastAsia="fr-CA"/>
        </w:rPr>
        <w:t xml:space="preserve">R. c. M. (C.A.), </w:t>
      </w:r>
      <w:r w:rsidRPr="001D1E0D">
        <w:rPr>
          <w:lang w:eastAsia="fr-CA"/>
        </w:rPr>
        <w:t>précité, pour souligner les limites inhérentes au principe de l’harmonisation des peines et pour souligner l’importance du </w:t>
      </w:r>
      <w:r w:rsidR="001C7CAE" w:rsidRPr="001D1E0D">
        <w:rPr>
          <w:lang w:eastAsia="fr-CA"/>
        </w:rPr>
        <w:t>principe de</w:t>
      </w:r>
      <w:r w:rsidRPr="001D1E0D">
        <w:rPr>
          <w:lang w:eastAsia="fr-CA"/>
        </w:rPr>
        <w:t xml:space="preserve"> l’individualisation de la peine :</w:t>
      </w:r>
    </w:p>
    <w:p w14:paraId="0EDD8925" w14:textId="2C192D4C" w:rsidR="001D1E0D" w:rsidRPr="00C83EFB" w:rsidRDefault="001D1E0D" w:rsidP="00C83EFB">
      <w:pPr>
        <w:pStyle w:val="Citationenretrait"/>
      </w:pPr>
      <w:r w:rsidRPr="00C83EFB">
        <w:t>[67</w:t>
      </w:r>
      <w:r w:rsidR="004C59BC" w:rsidRPr="00C83EFB">
        <w:t xml:space="preserve">] </w:t>
      </w:r>
      <w:r w:rsidR="004E7398">
        <w:tab/>
      </w:r>
      <w:r w:rsidR="00A81D45">
        <w:t>[…]</w:t>
      </w:r>
      <w:r w:rsidR="00BB2B83">
        <w:t xml:space="preserve"> </w:t>
      </w:r>
      <w:r w:rsidR="004C59BC" w:rsidRPr="00C83EFB">
        <w:t>La</w:t>
      </w:r>
      <w:r w:rsidRPr="00C83EFB">
        <w:t xml:space="preserve"> détermination de la peine est un processus intrinsèquement individualisé, et la recherche d’une peine appropriée applicable à tous les délinquants similaires, pour des crimes similaires, sera souvent un exercice stérile et théorique</w:t>
      </w:r>
      <w:r w:rsidRPr="007524CE">
        <w:rPr>
          <w:vertAlign w:val="superscript"/>
        </w:rPr>
        <w:footnoteReference w:id="18"/>
      </w:r>
      <w:r w:rsidR="007524CE">
        <w:t>.</w:t>
      </w:r>
      <w:r w:rsidRPr="00C83EFB">
        <w:t xml:space="preserve"> </w:t>
      </w:r>
    </w:p>
    <w:p w14:paraId="63E2FFF2" w14:textId="26D643E5" w:rsidR="001D1E0D" w:rsidRPr="001D1E0D" w:rsidRDefault="001D1E0D" w:rsidP="00D57A73">
      <w:pPr>
        <w:pStyle w:val="Paragraphe"/>
        <w:tabs>
          <w:tab w:val="clear" w:pos="360"/>
        </w:tabs>
        <w:spacing w:line="240" w:lineRule="auto"/>
        <w:rPr>
          <w:lang w:eastAsia="fr-CA"/>
        </w:rPr>
      </w:pPr>
      <w:r w:rsidRPr="001D1E0D">
        <w:rPr>
          <w:rFonts w:ascii="Times New Roman" w:hAnsi="Times New Roman"/>
          <w:sz w:val="14"/>
          <w:szCs w:val="14"/>
          <w:lang w:eastAsia="fr-CA"/>
        </w:rPr>
        <w:t> </w:t>
      </w:r>
      <w:r w:rsidRPr="001D1E0D">
        <w:rPr>
          <w:lang w:eastAsia="fr-CA"/>
        </w:rPr>
        <w:t>Au paragraphe 66 dans </w:t>
      </w:r>
      <w:r w:rsidR="00F93FD6" w:rsidRPr="001D1E0D">
        <w:rPr>
          <w:i/>
          <w:iCs/>
          <w:lang w:eastAsia="fr-CA"/>
        </w:rPr>
        <w:t>R. c. Bernier</w:t>
      </w:r>
      <w:r w:rsidRPr="001D1E0D">
        <w:rPr>
          <w:lang w:eastAsia="fr-CA"/>
        </w:rPr>
        <w:t>, </w:t>
      </w:r>
      <w:r w:rsidRPr="001D1E0D">
        <w:rPr>
          <w:i/>
          <w:iCs/>
          <w:lang w:eastAsia="fr-CA"/>
        </w:rPr>
        <w:t>supra</w:t>
      </w:r>
      <w:r w:rsidRPr="001D1E0D">
        <w:rPr>
          <w:lang w:eastAsia="fr-CA"/>
        </w:rPr>
        <w:t>, la Cour d’appel a cité les propos du juge Doherty de la Cour d’appel de l’Ontario pour expliquer comment le principe de l’individualisation de la peine accorde un pouvoir discrétionnaire considérable aux juges d’instance dans la détermination de la peine :</w:t>
      </w:r>
    </w:p>
    <w:p w14:paraId="1681C6E6" w14:textId="7EF97BD2" w:rsidR="001D1E0D" w:rsidRPr="001D1E0D" w:rsidRDefault="001D1E0D" w:rsidP="001D1E0D">
      <w:pPr>
        <w:spacing w:before="120" w:after="120"/>
        <w:ind w:left="720" w:right="720"/>
        <w:jc w:val="both"/>
        <w:rPr>
          <w:rFonts w:cs="Arial"/>
          <w:sz w:val="22"/>
          <w:szCs w:val="22"/>
          <w:lang w:val="en-CA" w:eastAsia="fr-CA"/>
        </w:rPr>
      </w:pPr>
      <w:r w:rsidRPr="001D1E0D">
        <w:rPr>
          <w:rFonts w:cs="Arial"/>
          <w:sz w:val="22"/>
          <w:szCs w:val="22"/>
          <w:lang w:val="en-CA" w:eastAsia="fr-CA"/>
        </w:rPr>
        <w:t>[…] Some criminal justice systems seek to achieve justice in sentencing by the extensive use of mandatory minimum sentences coupled with tightly calculated sentencing grids that all but dictate the sentence to be imposed by the trial judge in any given case. Historically, </w:t>
      </w:r>
      <w:r w:rsidRPr="001D1E0D">
        <w:rPr>
          <w:rFonts w:cs="Arial"/>
          <w:sz w:val="22"/>
          <w:szCs w:val="22"/>
          <w:u w:val="single"/>
          <w:lang w:val="en-CA" w:eastAsia="fr-CA"/>
        </w:rPr>
        <w:t>Canadian criminal law has taken a very different road to justice in sentencing. For the vast majority of offences, Parliament provides no minimum sentence and a broad spectrum of potential dispositions. Trial judges are given a very wide discretion to determine the appropriate disposition in each case</w:t>
      </w:r>
      <w:r w:rsidRPr="001D1E0D">
        <w:rPr>
          <w:rFonts w:cs="Arial"/>
          <w:sz w:val="22"/>
          <w:szCs w:val="22"/>
          <w:lang w:val="en-CA" w:eastAsia="fr-CA"/>
        </w:rPr>
        <w:t>. In exercising that discretion, Parliament provides guidance by way of the broadly worded objectives and principles in Part XXIII of the </w:t>
      </w:r>
      <w:hyperlink r:id="rId13" w:history="1">
        <w:r w:rsidR="00EC7216">
          <w:rPr>
            <w:rFonts w:cs="Arial"/>
            <w:i/>
            <w:iCs/>
            <w:sz w:val="22"/>
            <w:szCs w:val="22"/>
            <w:lang w:val="en-CA" w:eastAsia="fr-CA"/>
          </w:rPr>
          <w:t>Criminal Code</w:t>
        </w:r>
      </w:hyperlink>
      <w:r w:rsidRPr="001D1E0D">
        <w:rPr>
          <w:rFonts w:cs="Arial"/>
          <w:sz w:val="22"/>
          <w:szCs w:val="22"/>
          <w:lang w:val="en-CA" w:eastAsia="fr-CA"/>
        </w:rPr>
        <w:t>. Trial judges must apply those objectives and principles to the specifics of each case and, in the exercise of their discretion, fashion a sentence that is tailored to the circumstances of the offence and the circumstances of the offender.</w:t>
      </w:r>
    </w:p>
    <w:p w14:paraId="0BB8332F" w14:textId="5F19A1B2" w:rsidR="001D1E0D" w:rsidRPr="001D1E0D" w:rsidRDefault="001D1E0D" w:rsidP="001D1E0D">
      <w:pPr>
        <w:spacing w:before="120" w:after="120"/>
        <w:ind w:left="720" w:right="720"/>
        <w:jc w:val="both"/>
        <w:rPr>
          <w:rFonts w:cs="Arial"/>
          <w:sz w:val="22"/>
          <w:szCs w:val="22"/>
          <w:lang w:val="en-CA" w:eastAsia="fr-CA"/>
        </w:rPr>
      </w:pPr>
      <w:r w:rsidRPr="001D1E0D">
        <w:rPr>
          <w:rFonts w:cs="Arial"/>
          <w:sz w:val="22"/>
          <w:szCs w:val="22"/>
          <w:lang w:val="en-CA" w:eastAsia="fr-CA"/>
        </w:rPr>
        <w:t>This individualization of the sentencing process through the judicial exercise of a broad discretion by the trial judge is the central feature of the sentencing process in Canada</w:t>
      </w:r>
      <w:r w:rsidR="00D0274A">
        <w:rPr>
          <w:rFonts w:cs="Arial"/>
          <w:sz w:val="22"/>
          <w:szCs w:val="22"/>
          <w:lang w:val="en-CA" w:eastAsia="fr-CA"/>
        </w:rPr>
        <w:t xml:space="preserve"> […]</w:t>
      </w:r>
      <w:r w:rsidRPr="001D1E0D">
        <w:rPr>
          <w:rFonts w:cs="Arial"/>
          <w:sz w:val="22"/>
          <w:szCs w:val="22"/>
          <w:lang w:val="en-CA" w:eastAsia="fr-CA"/>
        </w:rPr>
        <w:t>. </w:t>
      </w:r>
    </w:p>
    <w:p w14:paraId="34904C72" w14:textId="58DEC730" w:rsidR="001D1E0D" w:rsidRPr="001D1E0D" w:rsidRDefault="001D1E0D" w:rsidP="001D1E0D">
      <w:pPr>
        <w:spacing w:before="120" w:after="120"/>
        <w:ind w:left="4390" w:right="720" w:firstLine="14"/>
        <w:jc w:val="both"/>
        <w:rPr>
          <w:rFonts w:cs="Arial"/>
          <w:sz w:val="22"/>
          <w:szCs w:val="22"/>
          <w:lang w:eastAsia="fr-CA"/>
        </w:rPr>
      </w:pPr>
      <w:r w:rsidRPr="001D1E0D">
        <w:rPr>
          <w:rFonts w:cs="Arial"/>
          <w:sz w:val="22"/>
          <w:szCs w:val="22"/>
          <w:lang w:eastAsia="fr-CA"/>
        </w:rPr>
        <w:t>[Soulignements dans l</w:t>
      </w:r>
      <w:r w:rsidR="00E8322D">
        <w:rPr>
          <w:rFonts w:cs="Arial"/>
          <w:sz w:val="22"/>
          <w:szCs w:val="22"/>
          <w:lang w:eastAsia="fr-CA"/>
        </w:rPr>
        <w:t>’arrêt</w:t>
      </w:r>
      <w:r w:rsidRPr="001D1E0D">
        <w:rPr>
          <w:rFonts w:cs="Arial"/>
          <w:sz w:val="22"/>
          <w:szCs w:val="22"/>
          <w:lang w:eastAsia="fr-CA"/>
        </w:rPr>
        <w:t> </w:t>
      </w:r>
      <w:r w:rsidRPr="001D1E0D">
        <w:rPr>
          <w:rFonts w:cs="Arial"/>
          <w:i/>
          <w:iCs/>
          <w:sz w:val="22"/>
          <w:szCs w:val="22"/>
          <w:lang w:eastAsia="fr-CA"/>
        </w:rPr>
        <w:t>Bernier</w:t>
      </w:r>
      <w:r w:rsidRPr="001D1E0D">
        <w:rPr>
          <w:rFonts w:cs="Arial"/>
          <w:sz w:val="22"/>
          <w:szCs w:val="22"/>
          <w:lang w:eastAsia="fr-CA"/>
        </w:rPr>
        <w:t>]</w:t>
      </w:r>
    </w:p>
    <w:p w14:paraId="1ED17800" w14:textId="7B03F1D2" w:rsidR="001D1E0D" w:rsidRPr="001D1E0D" w:rsidRDefault="001D1E0D" w:rsidP="00D57A73">
      <w:pPr>
        <w:pStyle w:val="Paragraphe"/>
        <w:tabs>
          <w:tab w:val="clear" w:pos="360"/>
          <w:tab w:val="num" w:pos="0"/>
        </w:tabs>
        <w:spacing w:line="240" w:lineRule="auto"/>
        <w:rPr>
          <w:lang w:eastAsia="fr-CA"/>
        </w:rPr>
      </w:pPr>
      <w:r w:rsidRPr="001D1E0D">
        <w:rPr>
          <w:lang w:eastAsia="fr-CA"/>
        </w:rPr>
        <w:t>Dans </w:t>
      </w:r>
      <w:r w:rsidRPr="001D1E0D">
        <w:rPr>
          <w:i/>
          <w:iCs/>
          <w:lang w:eastAsia="fr-CA"/>
        </w:rPr>
        <w:t>R.</w:t>
      </w:r>
      <w:r w:rsidR="007F6816">
        <w:rPr>
          <w:i/>
          <w:iCs/>
          <w:lang w:eastAsia="fr-CA"/>
        </w:rPr>
        <w:t xml:space="preserve"> </w:t>
      </w:r>
      <w:r w:rsidRPr="001D1E0D">
        <w:rPr>
          <w:i/>
          <w:iCs/>
          <w:lang w:eastAsia="fr-CA"/>
        </w:rPr>
        <w:t>c. Gagné</w:t>
      </w:r>
      <w:r w:rsidRPr="001D1E0D">
        <w:rPr>
          <w:vertAlign w:val="superscript"/>
          <w:lang w:eastAsia="fr-CA"/>
        </w:rPr>
        <w:footnoteReference w:id="19"/>
      </w:r>
      <w:r w:rsidRPr="001D1E0D">
        <w:rPr>
          <w:lang w:eastAsia="fr-CA"/>
        </w:rPr>
        <w:t>, le juge Daniel Bédard a expliqué que l'application des principes et objectifs de la détermination de la peine ne commande pas des peines identiques pour des crimes similaires :</w:t>
      </w:r>
    </w:p>
    <w:p w14:paraId="64F54F85" w14:textId="77777777" w:rsidR="001D1E0D" w:rsidRPr="00C83EFB" w:rsidRDefault="001D1E0D" w:rsidP="00C83EFB">
      <w:pPr>
        <w:pStyle w:val="Citationenretrait"/>
      </w:pPr>
      <w:r w:rsidRPr="00C83EFB">
        <w:t>[15]      D'ailleurs, on peut même affirmer sans se tromper qu'une application correcte des principes et objectifs énumérés aux articles 718 et suivants évite des peines identiques pour des crimes similaires.</w:t>
      </w:r>
    </w:p>
    <w:p w14:paraId="31F89202" w14:textId="77777777" w:rsidR="001D1E0D" w:rsidRPr="00C83EFB" w:rsidRDefault="001D1E0D" w:rsidP="00C83EFB">
      <w:pPr>
        <w:pStyle w:val="Citationenretrait"/>
      </w:pPr>
      <w:r w:rsidRPr="00C83EFB">
        <w:t>[16]      Le législateur souhaite l'application des mêmes principes d'un dossier à l'autre et non des peines identiques pour des dossiers ou des criminels qui se ressemblent.</w:t>
      </w:r>
    </w:p>
    <w:p w14:paraId="280637C3" w14:textId="52027493" w:rsidR="001D1E0D" w:rsidRPr="00C83EFB" w:rsidRDefault="001D1E0D" w:rsidP="00C83EFB">
      <w:pPr>
        <w:pStyle w:val="Citationenretrait"/>
      </w:pPr>
      <w:r w:rsidRPr="00C83EFB">
        <w:t>[17]      La ressemblance factuelle ne peut jamais justifier une peine </w:t>
      </w:r>
      <w:r w:rsidR="00DB031F" w:rsidRPr="00C83EFB">
        <w:t>identique pour</w:t>
      </w:r>
      <w:r w:rsidRPr="00C83EFB">
        <w:t xml:space="preserve"> deux criminels qui se ressemblent, sans qu'il soit cependant possible de les confondre dans un même moule.</w:t>
      </w:r>
    </w:p>
    <w:p w14:paraId="1195EFEF" w14:textId="77777777" w:rsidR="001D1E0D" w:rsidRPr="001D1E0D" w:rsidRDefault="001D1E0D" w:rsidP="00B950EA">
      <w:pPr>
        <w:pStyle w:val="Paragraphe"/>
        <w:tabs>
          <w:tab w:val="clear" w:pos="360"/>
          <w:tab w:val="num" w:pos="0"/>
        </w:tabs>
        <w:spacing w:line="240" w:lineRule="auto"/>
        <w:rPr>
          <w:lang w:eastAsia="fr-CA"/>
        </w:rPr>
      </w:pPr>
      <w:r w:rsidRPr="001D1E0D">
        <w:rPr>
          <w:lang w:eastAsia="fr-CA"/>
        </w:rPr>
        <w:t>Dans </w:t>
      </w:r>
      <w:r w:rsidRPr="001D1E0D">
        <w:rPr>
          <w:i/>
          <w:iCs/>
          <w:lang w:eastAsia="fr-CA"/>
        </w:rPr>
        <w:t>R. c. Nasogaluak</w:t>
      </w:r>
      <w:r w:rsidRPr="001D1E0D">
        <w:rPr>
          <w:i/>
          <w:iCs/>
          <w:vertAlign w:val="superscript"/>
          <w:lang w:eastAsia="fr-CA"/>
        </w:rPr>
        <w:footnoteReference w:id="20"/>
      </w:r>
      <w:r w:rsidRPr="001D1E0D">
        <w:rPr>
          <w:lang w:eastAsia="fr-CA"/>
        </w:rPr>
        <w:t>, la Cour suprême a enseigné que la fourchette des peines à laquelle on peut se référer ne constitue pas des règles absolues, mais des lignes directrices à l’intention du juge</w:t>
      </w:r>
      <w:r w:rsidRPr="001D1E0D">
        <w:rPr>
          <w:vertAlign w:val="superscript"/>
          <w:lang w:eastAsia="fr-CA"/>
        </w:rPr>
        <w:footnoteReference w:id="21"/>
      </w:r>
      <w:r w:rsidRPr="001D1E0D">
        <w:rPr>
          <w:vertAlign w:val="superscript"/>
          <w:lang w:eastAsia="fr-CA"/>
        </w:rPr>
        <w:t>.</w:t>
      </w:r>
      <w:r w:rsidRPr="001D1E0D">
        <w:rPr>
          <w:lang w:eastAsia="fr-CA"/>
        </w:rPr>
        <w:t> Une peine qui se situe à l'extérieur de la fourchette des peines n'est pas nécessairement inappropriée étant donné la règle de l'individualisation des peines :</w:t>
      </w:r>
    </w:p>
    <w:p w14:paraId="4022713A" w14:textId="6664BE80" w:rsidR="001D1E0D" w:rsidRPr="001D1E0D" w:rsidRDefault="001D1E0D" w:rsidP="00C83EFB">
      <w:pPr>
        <w:pStyle w:val="Citationenretrait"/>
        <w:rPr>
          <w:lang w:eastAsia="fr-CA"/>
        </w:rPr>
      </w:pPr>
      <w:r w:rsidRPr="001D1E0D">
        <w:rPr>
          <w:lang w:eastAsia="fr-CA"/>
        </w:rPr>
        <w:t>[44</w:t>
      </w:r>
      <w:r w:rsidR="004C59BC" w:rsidRPr="001D1E0D">
        <w:rPr>
          <w:lang w:eastAsia="fr-CA"/>
        </w:rPr>
        <w:t>] Le</w:t>
      </w:r>
      <w:r w:rsidRPr="001D1E0D">
        <w:rPr>
          <w:u w:val="single"/>
          <w:lang w:eastAsia="fr-CA"/>
        </w:rPr>
        <w:t xml:space="preserve"> vaste pouvoir discrétionnaire conféré aux juges chargés de la détermination de la peine comporte toutefois des limites.</w:t>
      </w:r>
      <w:r w:rsidRPr="001D1E0D">
        <w:rPr>
          <w:lang w:eastAsia="fr-CA"/>
        </w:rPr>
        <w:t>  Il est en partie circonscrit par les décisions qui ont établi, dans certaines circonstances, des fourchettes générales de peines applicables à certaines infractions, en vue de favoriser, conformément au principe de parité consacré par le </w:t>
      </w:r>
      <w:r w:rsidRPr="001D1E0D">
        <w:rPr>
          <w:i/>
          <w:iCs/>
          <w:lang w:eastAsia="fr-CA"/>
        </w:rPr>
        <w:t>Code</w:t>
      </w:r>
      <w:r w:rsidRPr="001D1E0D">
        <w:rPr>
          <w:lang w:eastAsia="fr-CA"/>
        </w:rPr>
        <w:t>, la cohérence des peines infligées aux délinquants.  Il faut cependant garder à l’esprit que, bien que les tribunaux doivent en tenir compte, ces fourchettes représentent tout au plus des lignes directrices et non des règles absolues.  </w:t>
      </w:r>
      <w:r w:rsidRPr="001D1E0D">
        <w:rPr>
          <w:bCs/>
          <w:u w:val="single"/>
          <w:lang w:eastAsia="fr-CA"/>
        </w:rPr>
        <w:t>Un juge peut donc prononcer une sanction qui déroge à la fourchette</w:t>
      </w:r>
      <w:r w:rsidRPr="001D1E0D">
        <w:rPr>
          <w:b/>
          <w:bCs/>
          <w:u w:val="single"/>
          <w:lang w:eastAsia="fr-CA"/>
        </w:rPr>
        <w:t> </w:t>
      </w:r>
      <w:r w:rsidRPr="001D1E0D">
        <w:rPr>
          <w:u w:val="single"/>
          <w:lang w:eastAsia="fr-CA"/>
        </w:rPr>
        <w:t>établie, pour autant qu’elle respecte les principes et objectifs de détermination de la peine.  Une telle sanction n’est donc pas nécessairement inappropriée, mais elle doit tenir compte de toutes les circonstances liées à la perpétration de l’infraction et à la situation du délinquant, ainsi que des besoins de la collectivité au sein de laquelle l’infraction a été commise.</w:t>
      </w:r>
    </w:p>
    <w:p w14:paraId="045E89E7" w14:textId="77777777" w:rsidR="001D1E0D" w:rsidRPr="001D1E0D" w:rsidRDefault="001D1E0D" w:rsidP="00776FDD">
      <w:pPr>
        <w:pStyle w:val="Citationenretrait"/>
        <w:ind w:left="5858" w:firstLine="14"/>
        <w:rPr>
          <w:lang w:eastAsia="fr-CA"/>
        </w:rPr>
      </w:pPr>
      <w:r w:rsidRPr="001D1E0D">
        <w:rPr>
          <w:u w:val="single"/>
          <w:lang w:eastAsia="fr-CA"/>
        </w:rPr>
        <w:t>[</w:t>
      </w:r>
      <w:r w:rsidRPr="001D1E0D">
        <w:rPr>
          <w:lang w:eastAsia="fr-CA"/>
        </w:rPr>
        <w:t>Soulignements ajoutés]</w:t>
      </w:r>
    </w:p>
    <w:p w14:paraId="39DD0F80" w14:textId="77777777" w:rsidR="001D1E0D" w:rsidRPr="001D1E0D" w:rsidRDefault="001D1E0D" w:rsidP="00C870C5">
      <w:pPr>
        <w:pStyle w:val="Paragraphe"/>
        <w:tabs>
          <w:tab w:val="clear" w:pos="360"/>
        </w:tabs>
        <w:spacing w:line="240" w:lineRule="auto"/>
        <w:rPr>
          <w:lang w:val="fr-FR" w:eastAsia="fr-CA"/>
        </w:rPr>
      </w:pPr>
      <w:r w:rsidRPr="001D1E0D">
        <w:rPr>
          <w:lang w:val="fr-FR" w:eastAsia="fr-CA"/>
        </w:rPr>
        <w:t>Toujours dans la même veine, la Cour suprême dans </w:t>
      </w:r>
      <w:r w:rsidRPr="001D1E0D">
        <w:rPr>
          <w:i/>
          <w:iCs/>
          <w:lang w:val="fr-FR" w:eastAsia="fr-CA"/>
        </w:rPr>
        <w:t>R. c. Lacasse</w:t>
      </w:r>
      <w:r w:rsidRPr="001D1E0D">
        <w:rPr>
          <w:lang w:val="fr-FR" w:eastAsia="fr-CA"/>
        </w:rPr>
        <w:t>, </w:t>
      </w:r>
      <w:r w:rsidRPr="001D1E0D">
        <w:rPr>
          <w:i/>
          <w:iCs/>
          <w:lang w:val="fr-FR" w:eastAsia="fr-CA"/>
        </w:rPr>
        <w:t>supra</w:t>
      </w:r>
      <w:r w:rsidRPr="001D1E0D">
        <w:rPr>
          <w:lang w:val="fr-FR" w:eastAsia="fr-CA"/>
        </w:rPr>
        <w:t>, a expliqué que</w:t>
      </w:r>
      <w:r w:rsidRPr="001D1E0D">
        <w:rPr>
          <w:sz w:val="20"/>
          <w:lang w:val="fr-FR" w:eastAsia="fr-CA"/>
        </w:rPr>
        <w:t> :</w:t>
      </w:r>
    </w:p>
    <w:p w14:paraId="70A87E42" w14:textId="76EFB318" w:rsidR="001D1E0D" w:rsidRPr="001D1E0D" w:rsidRDefault="001D1E0D" w:rsidP="00C83EFB">
      <w:pPr>
        <w:pStyle w:val="Citationenretrait"/>
        <w:rPr>
          <w:lang w:eastAsia="fr-CA"/>
        </w:rPr>
      </w:pPr>
      <w:r w:rsidRPr="001D1E0D">
        <w:rPr>
          <w:lang w:eastAsia="fr-CA"/>
        </w:rPr>
        <w:t>[57] </w:t>
      </w:r>
      <w:r w:rsidR="009173CF" w:rsidRPr="001D1E0D">
        <w:rPr>
          <w:lang w:eastAsia="fr-CA"/>
        </w:rPr>
        <w:t xml:space="preserve">  [</w:t>
      </w:r>
      <w:r w:rsidRPr="001D1E0D">
        <w:rPr>
          <w:lang w:eastAsia="fr-CA"/>
        </w:rPr>
        <w:t>…] Les fourchettes de peines ne sont rien de plus que des condensés des peines minimales et maximales déjà infligées, et qui, selon le cas de figure, servent de guides d’application de tous les principes et objectifs pertinents. Toutefois, ces fourchettes ne devraient pas être considérées comme des « moyennes », encore moins comme des carcans, mais plutôt comme des portraits historiques à l’usage des juges chargés de déterminer les peines. Ces derniers demeurent tenus d’exercer leur pouvoir discrétionnaire dans chaque espèce :</w:t>
      </w:r>
    </w:p>
    <w:p w14:paraId="3AD28CD6" w14:textId="77777777" w:rsidR="00746DC0" w:rsidRDefault="001D1E0D" w:rsidP="00C83EFB">
      <w:pPr>
        <w:pStyle w:val="Citationenretrait"/>
        <w:ind w:left="1468"/>
        <w:rPr>
          <w:lang w:eastAsia="fr-CA"/>
        </w:rPr>
      </w:pPr>
      <w:r w:rsidRPr="001D1E0D">
        <w:rPr>
          <w:lang w:eastAsia="fr-CA"/>
        </w:rPr>
        <w:t>[</w:t>
      </w:r>
      <w:r w:rsidRPr="001D1E0D">
        <w:rPr>
          <w:smallCaps/>
          <w:lang w:eastAsia="fr-CA"/>
        </w:rPr>
        <w:t>traduction</w:t>
      </w:r>
      <w:r w:rsidRPr="001D1E0D">
        <w:rPr>
          <w:lang w:eastAsia="fr-CA"/>
        </w:rPr>
        <w:t>] Même lorsqu’une cour d’appel a établi une fourchette, il peut arriver que surgisse une situation factuelle qui soit suffisamment différente de celles des décisions antérieures pour que la « fourchette » [« </w:t>
      </w:r>
      <w:r w:rsidRPr="001D1E0D">
        <w:rPr>
          <w:i/>
          <w:iCs/>
          <w:lang w:eastAsia="fr-CA"/>
        </w:rPr>
        <w:t>range</w:t>
      </w:r>
      <w:r w:rsidRPr="001D1E0D">
        <w:rPr>
          <w:lang w:eastAsia="fr-CA"/>
        </w:rPr>
        <w:t xml:space="preserve"> »], si on peut l’appeler ainsi, doive être élargie. Le point fondamental est qu’une « fourchette » ne constitue pas un carcan assujettissant l’exercice du pouvoir discrétionnaire du juge chargé de déterminer la peine. </w:t>
      </w:r>
    </w:p>
    <w:p w14:paraId="0B00A53D" w14:textId="4C1F7E68" w:rsidR="001D1E0D" w:rsidRPr="001D1E0D" w:rsidRDefault="00746DC0" w:rsidP="00746DC0">
      <w:pPr>
        <w:pStyle w:val="Citationenretrait"/>
        <w:ind w:left="5872" w:firstLine="734"/>
        <w:rPr>
          <w:lang w:eastAsia="fr-CA"/>
        </w:rPr>
      </w:pPr>
      <w:r>
        <w:rPr>
          <w:lang w:eastAsia="fr-CA"/>
        </w:rPr>
        <w:t>[Références omises]</w:t>
      </w:r>
      <w:r w:rsidRPr="001D1E0D">
        <w:rPr>
          <w:lang w:eastAsia="fr-CA"/>
        </w:rPr>
        <w:t xml:space="preserve"> </w:t>
      </w:r>
    </w:p>
    <w:p w14:paraId="32CFC0FF" w14:textId="3F621E09" w:rsidR="001D1E0D" w:rsidRPr="001D1E0D" w:rsidRDefault="001D1E0D" w:rsidP="00AE32CC">
      <w:pPr>
        <w:pStyle w:val="Paragraphe"/>
        <w:tabs>
          <w:tab w:val="clear" w:pos="360"/>
          <w:tab w:val="num" w:pos="0"/>
        </w:tabs>
        <w:spacing w:line="240" w:lineRule="auto"/>
        <w:rPr>
          <w:lang w:val="fr-FR" w:eastAsia="fr-CA"/>
        </w:rPr>
      </w:pPr>
      <w:r w:rsidRPr="001D1E0D">
        <w:rPr>
          <w:rFonts w:ascii="Times New Roman" w:hAnsi="Times New Roman"/>
          <w:sz w:val="14"/>
          <w:szCs w:val="14"/>
          <w:lang w:val="fr-FR" w:eastAsia="fr-CA"/>
        </w:rPr>
        <w:t xml:space="preserve">  </w:t>
      </w:r>
      <w:r w:rsidRPr="001D1E0D">
        <w:rPr>
          <w:lang w:val="fr-FR" w:eastAsia="fr-CA"/>
        </w:rPr>
        <w:t>Dans </w:t>
      </w:r>
      <w:r w:rsidRPr="001D1E0D">
        <w:rPr>
          <w:i/>
          <w:iCs/>
          <w:lang w:val="fr-FR" w:eastAsia="fr-CA"/>
        </w:rPr>
        <w:t>Bernier</w:t>
      </w:r>
      <w:r w:rsidRPr="001D1E0D">
        <w:rPr>
          <w:lang w:val="fr-FR" w:eastAsia="fr-CA"/>
        </w:rPr>
        <w:t>, </w:t>
      </w:r>
      <w:r w:rsidRPr="001D1E0D">
        <w:rPr>
          <w:i/>
          <w:iCs/>
          <w:lang w:val="fr-FR" w:eastAsia="fr-CA"/>
        </w:rPr>
        <w:t>supra,</w:t>
      </w:r>
      <w:r w:rsidRPr="001D1E0D">
        <w:rPr>
          <w:lang w:val="fr-FR" w:eastAsia="fr-CA"/>
        </w:rPr>
        <w:t> au paragraphe 65, la Cour a écrit que le principe de l’harmonisation des peines est un « idéal de justice » qui est bien exprimé par l'expression anglaise</w:t>
      </w:r>
      <w:r w:rsidR="00631A54" w:rsidRPr="001D1E0D">
        <w:rPr>
          <w:lang w:val="fr-FR" w:eastAsia="fr-CA"/>
        </w:rPr>
        <w:t xml:space="preserve"> </w:t>
      </w:r>
      <w:r w:rsidR="00631A54" w:rsidRPr="003C5722">
        <w:rPr>
          <w:lang w:val="fr-FR" w:eastAsia="fr-CA"/>
        </w:rPr>
        <w:t>« Treat</w:t>
      </w:r>
      <w:r w:rsidRPr="003C5722">
        <w:rPr>
          <w:lang w:val="fr-FR" w:eastAsia="fr-CA"/>
        </w:rPr>
        <w:t xml:space="preserve"> like cases alike</w:t>
      </w:r>
      <w:r w:rsidRPr="001D1E0D">
        <w:rPr>
          <w:lang w:val="fr-FR" w:eastAsia="fr-CA"/>
        </w:rPr>
        <w:t> ».</w:t>
      </w:r>
    </w:p>
    <w:p w14:paraId="672BB413" w14:textId="0CD23100" w:rsidR="001D1E0D" w:rsidRPr="001D1E0D" w:rsidRDefault="00E671B9" w:rsidP="00E671B9">
      <w:pPr>
        <w:pStyle w:val="Citationenretrait"/>
        <w:rPr>
          <w:szCs w:val="22"/>
          <w:lang w:eastAsia="fr-CA"/>
        </w:rPr>
      </w:pPr>
      <w:r>
        <w:rPr>
          <w:lang w:eastAsia="fr-CA"/>
        </w:rPr>
        <w:t>[65]</w:t>
      </w:r>
      <w:r>
        <w:rPr>
          <w:lang w:eastAsia="fr-CA"/>
        </w:rPr>
        <w:tab/>
        <w:t xml:space="preserve">[…] </w:t>
      </w:r>
      <w:r w:rsidR="001D1E0D" w:rsidRPr="005E2EA3">
        <w:rPr>
          <w:lang w:eastAsia="fr-CA"/>
        </w:rPr>
        <w:t>Ce principe est formulé ainsi dans la douzième édition de l'ouvrage </w:t>
      </w:r>
      <w:r w:rsidR="001D1E0D" w:rsidRPr="005E2EA3">
        <w:rPr>
          <w:i/>
          <w:iCs/>
          <w:lang w:eastAsia="fr-CA"/>
        </w:rPr>
        <w:t>Smith and Hogan Criminal Law</w:t>
      </w:r>
      <w:r w:rsidR="001D1E0D" w:rsidRPr="001D1E0D">
        <w:rPr>
          <w:szCs w:val="22"/>
          <w:lang w:eastAsia="fr-CA"/>
        </w:rPr>
        <w:t> :</w:t>
      </w:r>
    </w:p>
    <w:p w14:paraId="12A83B02" w14:textId="77777777" w:rsidR="001D1E0D" w:rsidRPr="001D1E0D" w:rsidRDefault="001D1E0D" w:rsidP="00E671B9">
      <w:pPr>
        <w:pStyle w:val="Citationenretrait"/>
        <w:ind w:left="1418"/>
        <w:rPr>
          <w:szCs w:val="22"/>
          <w:lang w:val="en-CA" w:eastAsia="fr-CA"/>
        </w:rPr>
      </w:pPr>
      <w:r w:rsidRPr="001D1E0D">
        <w:rPr>
          <w:szCs w:val="22"/>
          <w:lang w:val="en-CA" w:eastAsia="fr-CA"/>
        </w:rPr>
        <w:t>In principle, in the sentencing exercise the courts need to treat like cases alike and to deal consistently and transparently </w:t>
      </w:r>
      <w:r w:rsidRPr="001D1E0D">
        <w:rPr>
          <w:szCs w:val="22"/>
          <w:u w:val="single"/>
          <w:lang w:val="en-CA" w:eastAsia="fr-CA"/>
        </w:rPr>
        <w:t>with relevant differences in criminal conduct between offenders</w:t>
      </w:r>
      <w:r w:rsidRPr="001D1E0D">
        <w:rPr>
          <w:szCs w:val="22"/>
          <w:lang w:val="en-CA" w:eastAsia="fr-CA"/>
        </w:rPr>
        <w:t>.  This is not an exercise in guesswork, nor can it be an exact science.</w:t>
      </w:r>
    </w:p>
    <w:p w14:paraId="5AEC8A1A" w14:textId="79C784A5" w:rsidR="001D1E0D" w:rsidRPr="001D1E0D" w:rsidRDefault="001D1E0D" w:rsidP="005B4D57">
      <w:pPr>
        <w:spacing w:before="120"/>
        <w:ind w:left="5538" w:right="715"/>
        <w:jc w:val="both"/>
        <w:rPr>
          <w:rFonts w:cs="Arial"/>
          <w:sz w:val="22"/>
          <w:szCs w:val="22"/>
          <w:lang w:eastAsia="fr-CA"/>
        </w:rPr>
      </w:pPr>
      <w:r w:rsidRPr="001D1E0D">
        <w:rPr>
          <w:rFonts w:cs="Arial"/>
          <w:sz w:val="22"/>
          <w:szCs w:val="22"/>
          <w:lang w:eastAsia="fr-CA"/>
        </w:rPr>
        <w:t>[Souligné dans l’original]</w:t>
      </w:r>
    </w:p>
    <w:p w14:paraId="3F7AE123" w14:textId="17CA73C3" w:rsidR="001D1E0D" w:rsidRDefault="001D1E0D" w:rsidP="00A25968">
      <w:pPr>
        <w:pStyle w:val="Paragraphe"/>
        <w:tabs>
          <w:tab w:val="clear" w:pos="360"/>
          <w:tab w:val="num" w:pos="0"/>
        </w:tabs>
        <w:spacing w:line="240" w:lineRule="auto"/>
        <w:rPr>
          <w:lang w:eastAsia="fr-CA"/>
        </w:rPr>
      </w:pPr>
      <w:r w:rsidRPr="001D1E0D">
        <w:rPr>
          <w:lang w:eastAsia="fr-CA"/>
        </w:rPr>
        <w:t>Bien qu’un Tribunal puisse déroger aux fourchettes applicables, sa décision doit respecter le principe de la proportionnalité. Une peine qui s’écarterait de manière déraisonnable de ce principe serait</w:t>
      </w:r>
      <w:r w:rsidR="004C59BC" w:rsidRPr="001D1E0D">
        <w:rPr>
          <w:lang w:eastAsia="fr-CA"/>
        </w:rPr>
        <w:t xml:space="preserve"> « manifestement</w:t>
      </w:r>
      <w:r w:rsidRPr="001D1E0D">
        <w:rPr>
          <w:lang w:eastAsia="fr-CA"/>
        </w:rPr>
        <w:t xml:space="preserve"> non indiquée » en raison de son caractère disproportionné</w:t>
      </w:r>
      <w:r w:rsidRPr="001D1E0D">
        <w:rPr>
          <w:vertAlign w:val="superscript"/>
          <w:lang w:eastAsia="fr-CA"/>
        </w:rPr>
        <w:footnoteReference w:id="22"/>
      </w:r>
      <w:r w:rsidRPr="001D1E0D">
        <w:rPr>
          <w:lang w:eastAsia="fr-CA"/>
        </w:rPr>
        <w:t>.</w:t>
      </w:r>
    </w:p>
    <w:p w14:paraId="3CAD3FD1" w14:textId="4EA0DD02" w:rsidR="007841CB" w:rsidRDefault="000B49C9" w:rsidP="00A25968">
      <w:pPr>
        <w:pStyle w:val="Paragraphe"/>
        <w:tabs>
          <w:tab w:val="clear" w:pos="360"/>
          <w:tab w:val="num" w:pos="0"/>
        </w:tabs>
        <w:spacing w:line="240" w:lineRule="auto"/>
        <w:rPr>
          <w:lang w:eastAsia="fr-CA"/>
        </w:rPr>
      </w:pPr>
      <w:r>
        <w:rPr>
          <w:lang w:eastAsia="fr-CA"/>
        </w:rPr>
        <w:t xml:space="preserve">A titre de référence seulement, on peut citer le jugement rendu dans le dossier </w:t>
      </w:r>
      <w:bookmarkStart w:id="3" w:name="_Hlk120013738"/>
      <w:r w:rsidRPr="0096435A">
        <w:rPr>
          <w:i/>
          <w:iCs/>
          <w:lang w:eastAsia="fr-CA"/>
        </w:rPr>
        <w:t>Normand c. R</w:t>
      </w:r>
      <w:bookmarkEnd w:id="3"/>
      <w:r>
        <w:rPr>
          <w:lang w:eastAsia="fr-CA"/>
        </w:rPr>
        <w:t>.</w:t>
      </w:r>
      <w:r w:rsidRPr="000B49C9">
        <w:rPr>
          <w:rStyle w:val="Appelnotedebasdep"/>
          <w:vertAlign w:val="superscript"/>
          <w:lang w:eastAsia="fr-CA"/>
        </w:rPr>
        <w:footnoteReference w:id="23"/>
      </w:r>
      <w:r w:rsidR="00C261F4">
        <w:rPr>
          <w:lang w:eastAsia="fr-CA"/>
        </w:rPr>
        <w:t xml:space="preserve">, </w:t>
      </w:r>
      <w:r w:rsidR="007841CB">
        <w:rPr>
          <w:lang w:eastAsia="fr-CA"/>
        </w:rPr>
        <w:t>dont les éléments et surtout les facteurs atténuants et aggravants se rapprochent du présent dossier. L</w:t>
      </w:r>
      <w:r w:rsidR="00C261F4">
        <w:rPr>
          <w:lang w:eastAsia="fr-CA"/>
        </w:rPr>
        <w:t>’accusé dans ce dossier était, également, poursuivi pour des infractions</w:t>
      </w:r>
      <w:r w:rsidR="002778F6">
        <w:rPr>
          <w:lang w:eastAsia="fr-CA"/>
        </w:rPr>
        <w:t xml:space="preserve"> de trafic et de possession en vue du trafic de stupéfiants</w:t>
      </w:r>
      <w:r w:rsidR="007841CB">
        <w:rPr>
          <w:lang w:eastAsia="fr-CA"/>
        </w:rPr>
        <w:t>;</w:t>
      </w:r>
      <w:r w:rsidR="002778F6">
        <w:rPr>
          <w:lang w:eastAsia="fr-CA"/>
        </w:rPr>
        <w:t xml:space="preserve"> il </w:t>
      </w:r>
      <w:r w:rsidR="00050DA2">
        <w:rPr>
          <w:lang w:eastAsia="fr-CA"/>
        </w:rPr>
        <w:t>était dans</w:t>
      </w:r>
      <w:r w:rsidR="00C261F4">
        <w:rPr>
          <w:lang w:eastAsia="fr-CA"/>
        </w:rPr>
        <w:t xml:space="preserve"> l</w:t>
      </w:r>
      <w:r w:rsidR="000B3730">
        <w:rPr>
          <w:lang w:eastAsia="fr-CA"/>
        </w:rPr>
        <w:t>a</w:t>
      </w:r>
      <w:r w:rsidR="00C261F4">
        <w:rPr>
          <w:lang w:eastAsia="fr-CA"/>
        </w:rPr>
        <w:t xml:space="preserve"> même tranche d’âge que l’accusé</w:t>
      </w:r>
      <w:r w:rsidR="007841CB">
        <w:rPr>
          <w:lang w:eastAsia="fr-CA"/>
        </w:rPr>
        <w:t>; a plaidé coupable; a reconnu les faits; a exprimé des remords; n’a pas commis de manquement aux ordonnances de la Cour</w:t>
      </w:r>
      <w:r w:rsidR="00303667">
        <w:rPr>
          <w:lang w:eastAsia="fr-CA"/>
        </w:rPr>
        <w:t xml:space="preserve"> et</w:t>
      </w:r>
      <w:r w:rsidR="007841CB">
        <w:rPr>
          <w:lang w:eastAsia="fr-CA"/>
        </w:rPr>
        <w:t xml:space="preserve"> </w:t>
      </w:r>
      <w:r w:rsidR="00213675">
        <w:rPr>
          <w:lang w:eastAsia="fr-CA"/>
        </w:rPr>
        <w:t xml:space="preserve">il </w:t>
      </w:r>
      <w:r w:rsidR="007841CB">
        <w:rPr>
          <w:lang w:eastAsia="fr-CA"/>
        </w:rPr>
        <w:t>n’a pas d’antécédents judiciaires en pareille matière.</w:t>
      </w:r>
    </w:p>
    <w:p w14:paraId="5FD42097" w14:textId="527CA79E" w:rsidR="00743C7D" w:rsidRDefault="00120CA6" w:rsidP="00A25968">
      <w:pPr>
        <w:pStyle w:val="Paragraphe"/>
        <w:tabs>
          <w:tab w:val="clear" w:pos="360"/>
          <w:tab w:val="num" w:pos="0"/>
        </w:tabs>
        <w:spacing w:line="240" w:lineRule="auto"/>
        <w:rPr>
          <w:lang w:eastAsia="fr-CA"/>
        </w:rPr>
      </w:pPr>
      <w:r>
        <w:rPr>
          <w:lang w:eastAsia="fr-CA"/>
        </w:rPr>
        <w:t>D’autre part, p</w:t>
      </w:r>
      <w:r w:rsidR="00B369BE">
        <w:rPr>
          <w:lang w:eastAsia="fr-CA"/>
        </w:rPr>
        <w:t>lusieur</w:t>
      </w:r>
      <w:r w:rsidR="0091690A">
        <w:rPr>
          <w:lang w:eastAsia="fr-CA"/>
        </w:rPr>
        <w:t>s</w:t>
      </w:r>
      <w:r w:rsidR="007841CB">
        <w:rPr>
          <w:lang w:eastAsia="fr-CA"/>
        </w:rPr>
        <w:t xml:space="preserve"> facteurs aggravants dans</w:t>
      </w:r>
      <w:r w:rsidR="00393685">
        <w:rPr>
          <w:lang w:eastAsia="fr-CA"/>
        </w:rPr>
        <w:t xml:space="preserve"> le</w:t>
      </w:r>
      <w:r w:rsidR="007841CB">
        <w:rPr>
          <w:lang w:eastAsia="fr-CA"/>
        </w:rPr>
        <w:t xml:space="preserve"> jugement précité</w:t>
      </w:r>
      <w:r>
        <w:rPr>
          <w:lang w:eastAsia="fr-CA"/>
        </w:rPr>
        <w:t xml:space="preserve"> </w:t>
      </w:r>
      <w:r w:rsidR="007C04B0">
        <w:rPr>
          <w:lang w:eastAsia="fr-CA"/>
        </w:rPr>
        <w:t>se rapprochent</w:t>
      </w:r>
      <w:r w:rsidR="00684619">
        <w:rPr>
          <w:lang w:eastAsia="fr-CA"/>
        </w:rPr>
        <w:t xml:space="preserve"> </w:t>
      </w:r>
      <w:r w:rsidR="007C04B0">
        <w:rPr>
          <w:lang w:eastAsia="fr-CA"/>
        </w:rPr>
        <w:t>des facteurs dans le présent dossier</w:t>
      </w:r>
      <w:r w:rsidR="0091690A">
        <w:rPr>
          <w:lang w:eastAsia="fr-CA"/>
        </w:rPr>
        <w:t>, à savoir</w:t>
      </w:r>
      <w:r w:rsidR="00BA6C6F">
        <w:rPr>
          <w:lang w:eastAsia="fr-CA"/>
        </w:rPr>
        <w:t xml:space="preserve"> </w:t>
      </w:r>
      <w:r w:rsidR="003C4E74">
        <w:rPr>
          <w:lang w:eastAsia="fr-CA"/>
        </w:rPr>
        <w:t>les effets néfastes des drogues vendues par l’accusé; la quantité importante des stupéfiants; la planification</w:t>
      </w:r>
      <w:r w:rsidR="00975D8C">
        <w:rPr>
          <w:lang w:eastAsia="fr-CA"/>
        </w:rPr>
        <w:t>;</w:t>
      </w:r>
      <w:r w:rsidR="003C4E74">
        <w:rPr>
          <w:lang w:eastAsia="fr-CA"/>
        </w:rPr>
        <w:t xml:space="preserve"> la sophistication</w:t>
      </w:r>
      <w:r w:rsidR="00975D8C">
        <w:rPr>
          <w:lang w:eastAsia="fr-CA"/>
        </w:rPr>
        <w:t xml:space="preserve"> et </w:t>
      </w:r>
      <w:r w:rsidR="00D45C82">
        <w:rPr>
          <w:lang w:eastAsia="fr-CA"/>
        </w:rPr>
        <w:t xml:space="preserve">la durée de l’activité illicite. La peine imposée dans ce dossier était de 36 mois d’emprisonnement. </w:t>
      </w:r>
    </w:p>
    <w:p w14:paraId="4CC7C380" w14:textId="5F19FA1E" w:rsidR="000B49C9" w:rsidRPr="00B82BD3" w:rsidRDefault="00D45C82" w:rsidP="00A25968">
      <w:pPr>
        <w:pStyle w:val="Paragraphe"/>
        <w:tabs>
          <w:tab w:val="clear" w:pos="360"/>
          <w:tab w:val="num" w:pos="0"/>
        </w:tabs>
        <w:spacing w:line="240" w:lineRule="auto"/>
        <w:rPr>
          <w:lang w:eastAsia="fr-CA"/>
        </w:rPr>
      </w:pPr>
      <w:r>
        <w:rPr>
          <w:lang w:eastAsia="fr-CA"/>
        </w:rPr>
        <w:t>Cependant, il y’a lieu de noter que ce dossier se distingue du présent dossier au niveau de</w:t>
      </w:r>
      <w:r w:rsidR="00AC6202">
        <w:rPr>
          <w:lang w:eastAsia="fr-CA"/>
        </w:rPr>
        <w:t xml:space="preserve"> la gravité objective de l’infraction commise, étant donné</w:t>
      </w:r>
      <w:r>
        <w:rPr>
          <w:lang w:eastAsia="fr-CA"/>
        </w:rPr>
        <w:t xml:space="preserve"> la quantité</w:t>
      </w:r>
      <w:r w:rsidR="00376860">
        <w:rPr>
          <w:lang w:eastAsia="fr-CA"/>
        </w:rPr>
        <w:t xml:space="preserve"> énorme </w:t>
      </w:r>
      <w:r>
        <w:rPr>
          <w:lang w:eastAsia="fr-CA"/>
        </w:rPr>
        <w:t>de la drogue saisie</w:t>
      </w:r>
      <w:r w:rsidR="00AC6202">
        <w:rPr>
          <w:lang w:eastAsia="fr-CA"/>
        </w:rPr>
        <w:t xml:space="preserve"> da</w:t>
      </w:r>
      <w:r w:rsidR="00743C7D">
        <w:rPr>
          <w:lang w:eastAsia="fr-CA"/>
        </w:rPr>
        <w:t>n</w:t>
      </w:r>
      <w:r w:rsidR="00AC6202">
        <w:rPr>
          <w:lang w:eastAsia="fr-CA"/>
        </w:rPr>
        <w:t>s</w:t>
      </w:r>
      <w:r w:rsidR="00376860">
        <w:rPr>
          <w:lang w:eastAsia="fr-CA"/>
        </w:rPr>
        <w:t xml:space="preserve"> le présent</w:t>
      </w:r>
      <w:r w:rsidR="00AC6202">
        <w:rPr>
          <w:lang w:eastAsia="fr-CA"/>
        </w:rPr>
        <w:t xml:space="preserve"> dossier</w:t>
      </w:r>
      <w:r w:rsidR="001C254C">
        <w:rPr>
          <w:lang w:eastAsia="fr-CA"/>
        </w:rPr>
        <w:t>,</w:t>
      </w:r>
      <w:r w:rsidR="00AC6202">
        <w:rPr>
          <w:lang w:eastAsia="fr-CA"/>
        </w:rPr>
        <w:t xml:space="preserve"> </w:t>
      </w:r>
      <w:r w:rsidR="00490A75">
        <w:rPr>
          <w:lang w:eastAsia="fr-CA"/>
        </w:rPr>
        <w:t xml:space="preserve">qui </w:t>
      </w:r>
      <w:r w:rsidR="00AC6202">
        <w:rPr>
          <w:lang w:eastAsia="fr-CA"/>
        </w:rPr>
        <w:t>est de 376 000 comprimés de MDA en plus d’autres drogues</w:t>
      </w:r>
      <w:r w:rsidR="004A0DA8">
        <w:rPr>
          <w:lang w:eastAsia="fr-CA"/>
        </w:rPr>
        <w:t>,</w:t>
      </w:r>
      <w:r w:rsidR="001C254C">
        <w:rPr>
          <w:lang w:eastAsia="fr-CA"/>
        </w:rPr>
        <w:t xml:space="preserve"> </w:t>
      </w:r>
      <w:r w:rsidR="004A0DA8">
        <w:rPr>
          <w:lang w:eastAsia="fr-CA"/>
        </w:rPr>
        <w:t>ce qui est largement supérieur à la quantité</w:t>
      </w:r>
      <w:r w:rsidR="001C254C">
        <w:rPr>
          <w:lang w:eastAsia="fr-CA"/>
        </w:rPr>
        <w:t xml:space="preserve"> des stupéfiants</w:t>
      </w:r>
      <w:r w:rsidR="004A0DA8">
        <w:rPr>
          <w:lang w:eastAsia="fr-CA"/>
        </w:rPr>
        <w:t xml:space="preserve"> dans le dossier </w:t>
      </w:r>
      <w:r w:rsidR="004A0DA8" w:rsidRPr="0096435A">
        <w:rPr>
          <w:i/>
          <w:iCs/>
          <w:lang w:eastAsia="fr-CA"/>
        </w:rPr>
        <w:t>Normand c. R</w:t>
      </w:r>
      <w:r w:rsidR="004A0DA8">
        <w:rPr>
          <w:i/>
          <w:iCs/>
          <w:lang w:eastAsia="fr-CA"/>
        </w:rPr>
        <w:t>.</w:t>
      </w:r>
    </w:p>
    <w:p w14:paraId="008FC92C" w14:textId="52B556AD" w:rsidR="00D23732" w:rsidRDefault="00B82BD3" w:rsidP="00A25968">
      <w:pPr>
        <w:pStyle w:val="Paragraphe"/>
        <w:tabs>
          <w:tab w:val="clear" w:pos="360"/>
          <w:tab w:val="num" w:pos="0"/>
        </w:tabs>
        <w:spacing w:line="240" w:lineRule="auto"/>
        <w:rPr>
          <w:lang w:eastAsia="fr-CA"/>
        </w:rPr>
      </w:pPr>
      <w:r>
        <w:rPr>
          <w:lang w:eastAsia="fr-CA"/>
        </w:rPr>
        <w:t>Dans la même veine, on peut citer un autre jugement</w:t>
      </w:r>
      <w:r w:rsidR="006D2E7F">
        <w:rPr>
          <w:lang w:eastAsia="fr-CA"/>
        </w:rPr>
        <w:t>,</w:t>
      </w:r>
      <w:r>
        <w:rPr>
          <w:lang w:eastAsia="fr-CA"/>
        </w:rPr>
        <w:t xml:space="preserve"> </w:t>
      </w:r>
      <w:r w:rsidR="00A16801" w:rsidRPr="00A16801">
        <w:rPr>
          <w:i/>
          <w:iCs/>
          <w:lang w:eastAsia="fr-CA"/>
        </w:rPr>
        <w:t>R. v. Paper</w:t>
      </w:r>
      <w:r w:rsidR="00A16801" w:rsidRPr="00A16801">
        <w:rPr>
          <w:rStyle w:val="Appelnotedebasdep"/>
          <w:vertAlign w:val="superscript"/>
          <w:lang w:eastAsia="fr-CA"/>
        </w:rPr>
        <w:footnoteReference w:id="24"/>
      </w:r>
      <w:r w:rsidR="00A16801">
        <w:rPr>
          <w:lang w:eastAsia="fr-CA"/>
        </w:rPr>
        <w:t xml:space="preserve">, </w:t>
      </w:r>
      <w:r>
        <w:rPr>
          <w:lang w:eastAsia="fr-CA"/>
        </w:rPr>
        <w:t xml:space="preserve">cité </w:t>
      </w:r>
      <w:r w:rsidR="006D2E7F">
        <w:rPr>
          <w:lang w:eastAsia="fr-CA"/>
        </w:rPr>
        <w:t xml:space="preserve">également </w:t>
      </w:r>
      <w:r>
        <w:rPr>
          <w:lang w:eastAsia="fr-CA"/>
        </w:rPr>
        <w:t xml:space="preserve">par la Cour d’appel dans l’arrêt </w:t>
      </w:r>
      <w:r w:rsidRPr="00C261F4">
        <w:rPr>
          <w:i/>
          <w:iCs/>
          <w:lang w:eastAsia="fr-CA"/>
        </w:rPr>
        <w:t>R</w:t>
      </w:r>
      <w:r w:rsidRPr="006D2E7F">
        <w:rPr>
          <w:lang w:eastAsia="fr-CA"/>
        </w:rPr>
        <w:t xml:space="preserve">. </w:t>
      </w:r>
      <w:r w:rsidR="006D2E7F" w:rsidRPr="006D2E7F">
        <w:rPr>
          <w:lang w:eastAsia="fr-CA"/>
        </w:rPr>
        <w:t>c</w:t>
      </w:r>
      <w:r w:rsidR="006D2E7F">
        <w:rPr>
          <w:i/>
          <w:iCs/>
          <w:lang w:eastAsia="fr-CA"/>
        </w:rPr>
        <w:t xml:space="preserve">. </w:t>
      </w:r>
      <w:r w:rsidRPr="00C261F4">
        <w:rPr>
          <w:i/>
          <w:iCs/>
          <w:lang w:eastAsia="fr-CA"/>
        </w:rPr>
        <w:t>M…V…</w:t>
      </w:r>
      <w:r>
        <w:rPr>
          <w:lang w:eastAsia="fr-CA"/>
        </w:rPr>
        <w:t>2014 QCCA 878</w:t>
      </w:r>
      <w:r w:rsidR="00A16801">
        <w:rPr>
          <w:lang w:eastAsia="fr-CA"/>
        </w:rPr>
        <w:t>.</w:t>
      </w:r>
      <w:r w:rsidR="009A18A8">
        <w:rPr>
          <w:lang w:eastAsia="fr-CA"/>
        </w:rPr>
        <w:t xml:space="preserve"> Dans ce dossier, aussi, l’accusé a plaidé coupable et n’avait pas d’antécédents judiciaires non plus</w:t>
      </w:r>
      <w:r w:rsidR="00FE0812">
        <w:rPr>
          <w:lang w:eastAsia="fr-CA"/>
        </w:rPr>
        <w:t xml:space="preserve"> mais</w:t>
      </w:r>
      <w:r w:rsidR="009A18A8">
        <w:rPr>
          <w:lang w:eastAsia="fr-CA"/>
        </w:rPr>
        <w:t xml:space="preserve"> il a fait preuve de planification et d’organisation dans la possession en vue du trafic de drogue</w:t>
      </w:r>
      <w:r w:rsidR="00D23732">
        <w:rPr>
          <w:lang w:eastAsia="fr-CA"/>
        </w:rPr>
        <w:t>.</w:t>
      </w:r>
    </w:p>
    <w:p w14:paraId="75D9A867" w14:textId="3B44F684" w:rsidR="00B82BD3" w:rsidRPr="001D1E0D" w:rsidRDefault="00D23732" w:rsidP="00A25968">
      <w:pPr>
        <w:pStyle w:val="Paragraphe"/>
        <w:tabs>
          <w:tab w:val="clear" w:pos="360"/>
          <w:tab w:val="num" w:pos="0"/>
        </w:tabs>
        <w:spacing w:line="240" w:lineRule="auto"/>
        <w:rPr>
          <w:lang w:eastAsia="fr-CA"/>
        </w:rPr>
      </w:pPr>
      <w:r>
        <w:rPr>
          <w:lang w:eastAsia="fr-CA"/>
        </w:rPr>
        <w:t xml:space="preserve">La peine </w:t>
      </w:r>
      <w:r w:rsidR="0001306B">
        <w:rPr>
          <w:lang w:eastAsia="fr-CA"/>
        </w:rPr>
        <w:t>imposée</w:t>
      </w:r>
      <w:r>
        <w:rPr>
          <w:lang w:eastAsia="fr-CA"/>
        </w:rPr>
        <w:t xml:space="preserve"> dans ce dossier était de 24 mois d’emprisonnement, mais une distinction très importante s’impose</w:t>
      </w:r>
      <w:r w:rsidR="00A16801">
        <w:rPr>
          <w:lang w:eastAsia="fr-CA"/>
        </w:rPr>
        <w:t xml:space="preserve"> </w:t>
      </w:r>
      <w:r w:rsidR="0001306B">
        <w:rPr>
          <w:lang w:eastAsia="fr-CA"/>
        </w:rPr>
        <w:t>en comparaison avec ce dossier, qui réside dans l’énorme différence dans la quantité des drogues saisies. Rappelons que l’accusé</w:t>
      </w:r>
      <w:r w:rsidR="0028267B">
        <w:rPr>
          <w:lang w:eastAsia="fr-CA"/>
        </w:rPr>
        <w:t xml:space="preserve"> dans le présent dossier</w:t>
      </w:r>
      <w:r w:rsidR="0001306B">
        <w:rPr>
          <w:lang w:eastAsia="fr-CA"/>
        </w:rPr>
        <w:t xml:space="preserve"> reconnaît</w:t>
      </w:r>
      <w:r w:rsidR="00A46B01">
        <w:rPr>
          <w:lang w:eastAsia="fr-CA"/>
        </w:rPr>
        <w:t>,</w:t>
      </w:r>
      <w:r w:rsidR="0001306B">
        <w:rPr>
          <w:lang w:eastAsia="fr-CA"/>
        </w:rPr>
        <w:t xml:space="preserve"> lui-même</w:t>
      </w:r>
      <w:r w:rsidR="00A46B01">
        <w:rPr>
          <w:lang w:eastAsia="fr-CA"/>
        </w:rPr>
        <w:t>,</w:t>
      </w:r>
      <w:r w:rsidR="0001306B">
        <w:rPr>
          <w:lang w:eastAsia="fr-CA"/>
        </w:rPr>
        <w:t xml:space="preserve"> dans la trame factuelle conjointe pour plaidoyer de culpabilité</w:t>
      </w:r>
      <w:r w:rsidR="00A46B01">
        <w:rPr>
          <w:lang w:eastAsia="fr-CA"/>
        </w:rPr>
        <w:t>,</w:t>
      </w:r>
      <w:r w:rsidR="00F96D37">
        <w:rPr>
          <w:lang w:eastAsia="fr-CA"/>
        </w:rPr>
        <w:t xml:space="preserve"> la quantité énorme de stupéfiants saisis</w:t>
      </w:r>
      <w:r w:rsidR="00981599" w:rsidRPr="00981599">
        <w:rPr>
          <w:lang w:eastAsia="fr-CA"/>
        </w:rPr>
        <w:t xml:space="preserve"> </w:t>
      </w:r>
      <w:r w:rsidR="00981599">
        <w:rPr>
          <w:lang w:eastAsia="fr-CA"/>
        </w:rPr>
        <w:t>par les policiers</w:t>
      </w:r>
      <w:r w:rsidR="00F96D37">
        <w:rPr>
          <w:lang w:eastAsia="fr-CA"/>
        </w:rPr>
        <w:t xml:space="preserve"> le 15 novembre 2018</w:t>
      </w:r>
      <w:r w:rsidR="00981599">
        <w:rPr>
          <w:lang w:eastAsia="fr-CA"/>
        </w:rPr>
        <w:t xml:space="preserve"> </w:t>
      </w:r>
      <w:r w:rsidR="00F96D37">
        <w:rPr>
          <w:lang w:eastAsia="fr-CA"/>
        </w:rPr>
        <w:t>: 376 000 comprimés de MDA; 500 ml de GHB; 4,9 Kg de MMDPPA; 2524 comprimés de speed; 130 gr de MDA</w:t>
      </w:r>
      <w:r w:rsidR="002E34A0">
        <w:rPr>
          <w:lang w:eastAsia="fr-CA"/>
        </w:rPr>
        <w:t xml:space="preserve"> et </w:t>
      </w:r>
      <w:r w:rsidR="00F96D37">
        <w:rPr>
          <w:lang w:eastAsia="fr-CA"/>
        </w:rPr>
        <w:t>25 comprimés Hydromorphe.</w:t>
      </w:r>
      <w:r w:rsidR="0001306B">
        <w:rPr>
          <w:lang w:eastAsia="fr-CA"/>
        </w:rPr>
        <w:t xml:space="preserve">  </w:t>
      </w:r>
    </w:p>
    <w:p w14:paraId="681BBF73" w14:textId="77777777" w:rsidR="001D1E0D" w:rsidRPr="0047544C" w:rsidRDefault="001D1E0D" w:rsidP="003A2B71">
      <w:pPr>
        <w:pStyle w:val="Titre3"/>
        <w:rPr>
          <w:lang w:eastAsia="fr-CA"/>
        </w:rPr>
      </w:pPr>
      <w:r w:rsidRPr="0047544C">
        <w:rPr>
          <w:lang w:eastAsia="fr-CA"/>
        </w:rPr>
        <w:t>La jurisprudence</w:t>
      </w:r>
    </w:p>
    <w:p w14:paraId="2827099F" w14:textId="13F6368E" w:rsidR="001D1E0D" w:rsidRPr="0047544C" w:rsidRDefault="00B04E41" w:rsidP="003A2B71">
      <w:pPr>
        <w:pStyle w:val="Titre4"/>
        <w:rPr>
          <w:lang w:eastAsia="fr-CA"/>
        </w:rPr>
      </w:pPr>
      <w:r>
        <w:rPr>
          <w:lang w:eastAsia="fr-CA"/>
        </w:rPr>
        <w:t>La j</w:t>
      </w:r>
      <w:r w:rsidR="001D1E0D" w:rsidRPr="0047544C">
        <w:rPr>
          <w:lang w:eastAsia="fr-CA"/>
        </w:rPr>
        <w:t>urisprudence soumise par la défense</w:t>
      </w:r>
    </w:p>
    <w:p w14:paraId="2F52D811" w14:textId="0DA53847" w:rsidR="004430BD" w:rsidRDefault="0047544C" w:rsidP="004430BD">
      <w:pPr>
        <w:pStyle w:val="Paragraphe"/>
        <w:tabs>
          <w:tab w:val="clear" w:pos="360"/>
          <w:tab w:val="num" w:pos="0"/>
        </w:tabs>
        <w:spacing w:line="240" w:lineRule="auto"/>
        <w:rPr>
          <w:lang w:val="fr-FR" w:eastAsia="fr-CA"/>
        </w:rPr>
      </w:pPr>
      <w:r w:rsidRPr="0047544C">
        <w:rPr>
          <w:lang w:val="fr-FR" w:eastAsia="fr-CA"/>
        </w:rPr>
        <w:t>La défense de l'accusé</w:t>
      </w:r>
      <w:r w:rsidR="00EA0689">
        <w:rPr>
          <w:lang w:val="fr-FR" w:eastAsia="fr-CA"/>
        </w:rPr>
        <w:t xml:space="preserve"> plaide que</w:t>
      </w:r>
      <w:r w:rsidR="00330212">
        <w:rPr>
          <w:lang w:val="fr-FR" w:eastAsia="fr-CA"/>
        </w:rPr>
        <w:t xml:space="preserve"> ce dernier</w:t>
      </w:r>
      <w:r w:rsidRPr="0047544C">
        <w:rPr>
          <w:lang w:val="fr-FR" w:eastAsia="fr-CA"/>
        </w:rPr>
        <w:t xml:space="preserve"> </w:t>
      </w:r>
      <w:r>
        <w:rPr>
          <w:lang w:val="fr-FR" w:eastAsia="fr-CA"/>
        </w:rPr>
        <w:t>reconnaît la gravité indéniable des gestes commis par</w:t>
      </w:r>
      <w:r w:rsidR="007759E3">
        <w:rPr>
          <w:lang w:val="fr-FR" w:eastAsia="fr-CA"/>
        </w:rPr>
        <w:t xml:space="preserve"> lui</w:t>
      </w:r>
      <w:r w:rsidR="00EE05F1">
        <w:rPr>
          <w:lang w:val="fr-FR" w:eastAsia="fr-CA"/>
        </w:rPr>
        <w:t>,</w:t>
      </w:r>
      <w:r>
        <w:rPr>
          <w:lang w:val="fr-FR" w:eastAsia="fr-CA"/>
        </w:rPr>
        <w:t xml:space="preserve"> mais centre plutôt sa défense sur la personne de l'accusé</w:t>
      </w:r>
      <w:r w:rsidR="00EE05F1">
        <w:rPr>
          <w:lang w:val="fr-FR" w:eastAsia="fr-CA"/>
        </w:rPr>
        <w:t xml:space="preserve"> lui-même</w:t>
      </w:r>
      <w:r w:rsidR="00D05FBC">
        <w:rPr>
          <w:lang w:val="fr-FR" w:eastAsia="fr-CA"/>
        </w:rPr>
        <w:t>,</w:t>
      </w:r>
      <w:r>
        <w:rPr>
          <w:lang w:val="fr-FR" w:eastAsia="fr-CA"/>
        </w:rPr>
        <w:t xml:space="preserve"> qui a respecté l'autorité de la Cour en respectant scrupuleusement les conditions de sa mise en liberté durant toute la période ordonnée</w:t>
      </w:r>
      <w:r w:rsidR="004430BD">
        <w:rPr>
          <w:lang w:val="fr-FR" w:eastAsia="fr-CA"/>
        </w:rPr>
        <w:t>.</w:t>
      </w:r>
    </w:p>
    <w:p w14:paraId="0307B97B" w14:textId="658C9007" w:rsidR="004430BD" w:rsidRPr="004430BD" w:rsidRDefault="00143619" w:rsidP="004430BD">
      <w:pPr>
        <w:pStyle w:val="Paragraphe"/>
        <w:tabs>
          <w:tab w:val="clear" w:pos="360"/>
          <w:tab w:val="num" w:pos="0"/>
        </w:tabs>
        <w:spacing w:line="240" w:lineRule="auto"/>
        <w:rPr>
          <w:lang w:val="fr-FR" w:eastAsia="fr-CA"/>
        </w:rPr>
      </w:pPr>
      <w:r>
        <w:rPr>
          <w:lang w:val="fr-FR" w:eastAsia="fr-CA"/>
        </w:rPr>
        <w:t>L’avocat de l’accusé</w:t>
      </w:r>
      <w:r w:rsidR="004430BD" w:rsidRPr="004430BD">
        <w:rPr>
          <w:lang w:val="fr-FR" w:eastAsia="fr-CA"/>
        </w:rPr>
        <w:t xml:space="preserve"> met l'accent sur le </w:t>
      </w:r>
      <w:r w:rsidR="00692D7D">
        <w:rPr>
          <w:lang w:val="fr-FR" w:eastAsia="fr-CA"/>
        </w:rPr>
        <w:t xml:space="preserve">fait de privilégier le </w:t>
      </w:r>
      <w:r w:rsidR="004430BD" w:rsidRPr="004430BD">
        <w:rPr>
          <w:lang w:val="fr-FR" w:eastAsia="fr-CA"/>
        </w:rPr>
        <w:t>principe de l’individualisation de la peine</w:t>
      </w:r>
      <w:r w:rsidR="00800A24">
        <w:rPr>
          <w:lang w:val="fr-FR" w:eastAsia="fr-CA"/>
        </w:rPr>
        <w:t>,</w:t>
      </w:r>
      <w:r w:rsidR="004430BD" w:rsidRPr="004430BD">
        <w:rPr>
          <w:lang w:val="fr-FR" w:eastAsia="fr-CA"/>
        </w:rPr>
        <w:t xml:space="preserve"> qui permet de tenir compte d'une réhabilitation convaincante</w:t>
      </w:r>
      <w:r w:rsidR="00031807">
        <w:rPr>
          <w:lang w:val="fr-FR" w:eastAsia="fr-CA"/>
        </w:rPr>
        <w:t xml:space="preserve"> de l’accusé,</w:t>
      </w:r>
      <w:r w:rsidR="00370001">
        <w:rPr>
          <w:lang w:val="fr-FR" w:eastAsia="fr-CA"/>
        </w:rPr>
        <w:t xml:space="preserve"> en vertu de</w:t>
      </w:r>
      <w:r w:rsidR="00370001" w:rsidRPr="00370001">
        <w:rPr>
          <w:lang w:eastAsia="fr-CA"/>
        </w:rPr>
        <w:t xml:space="preserve"> </w:t>
      </w:r>
      <w:r w:rsidR="00370001">
        <w:rPr>
          <w:lang w:eastAsia="fr-CA"/>
        </w:rPr>
        <w:t xml:space="preserve">l'article 718.2 a) et b) du </w:t>
      </w:r>
      <w:r w:rsidR="00370001" w:rsidRPr="00F4744D">
        <w:rPr>
          <w:i/>
          <w:iCs/>
          <w:lang w:eastAsia="fr-CA"/>
        </w:rPr>
        <w:t>Code criminel</w:t>
      </w:r>
      <w:r w:rsidR="00375DDB">
        <w:rPr>
          <w:lang w:val="fr-FR" w:eastAsia="fr-CA"/>
        </w:rPr>
        <w:t>.</w:t>
      </w:r>
    </w:p>
    <w:p w14:paraId="7CA8EB8E" w14:textId="18F66F9D" w:rsidR="001D1E0D" w:rsidRPr="0047544C" w:rsidRDefault="00D33193" w:rsidP="00C97FD6">
      <w:pPr>
        <w:pStyle w:val="Paragraphe"/>
        <w:tabs>
          <w:tab w:val="clear" w:pos="360"/>
          <w:tab w:val="num" w:pos="0"/>
        </w:tabs>
        <w:spacing w:line="240" w:lineRule="auto"/>
        <w:rPr>
          <w:lang w:val="fr-FR" w:eastAsia="fr-CA"/>
        </w:rPr>
      </w:pPr>
      <w:r>
        <w:rPr>
          <w:lang w:val="fr-FR" w:eastAsia="fr-CA"/>
        </w:rPr>
        <w:t>La défense</w:t>
      </w:r>
      <w:r w:rsidR="0047544C">
        <w:rPr>
          <w:lang w:val="fr-FR" w:eastAsia="fr-CA"/>
        </w:rPr>
        <w:t xml:space="preserve"> </w:t>
      </w:r>
      <w:r w:rsidR="0047544C" w:rsidRPr="0047544C">
        <w:rPr>
          <w:lang w:val="fr-FR" w:eastAsia="fr-CA"/>
        </w:rPr>
        <w:t xml:space="preserve">a soumis au </w:t>
      </w:r>
      <w:r w:rsidR="0047544C">
        <w:rPr>
          <w:lang w:val="fr-FR" w:eastAsia="fr-CA"/>
        </w:rPr>
        <w:t>T</w:t>
      </w:r>
      <w:r w:rsidR="0047544C" w:rsidRPr="0047544C">
        <w:rPr>
          <w:lang w:val="fr-FR" w:eastAsia="fr-CA"/>
        </w:rPr>
        <w:t>ribunal un argumentaire et</w:t>
      </w:r>
      <w:r w:rsidR="001D1E0D" w:rsidRPr="0047544C">
        <w:rPr>
          <w:lang w:val="fr-FR" w:eastAsia="fr-CA"/>
        </w:rPr>
        <w:t xml:space="preserve"> des décisions</w:t>
      </w:r>
      <w:r w:rsidR="00A74D96">
        <w:rPr>
          <w:lang w:val="fr-FR" w:eastAsia="fr-CA"/>
        </w:rPr>
        <w:t xml:space="preserve"> judiciaires à titre de jurisprudence en la matière</w:t>
      </w:r>
      <w:r w:rsidR="00E20FDC">
        <w:rPr>
          <w:lang w:val="fr-FR" w:eastAsia="fr-CA"/>
        </w:rPr>
        <w:t>.</w:t>
      </w:r>
    </w:p>
    <w:p w14:paraId="7AAA53A0" w14:textId="274A1C64" w:rsidR="0061269A" w:rsidRDefault="004430BD" w:rsidP="001D1E0D">
      <w:pPr>
        <w:numPr>
          <w:ilvl w:val="0"/>
          <w:numId w:val="23"/>
        </w:numPr>
        <w:spacing w:before="120" w:after="120"/>
        <w:contextualSpacing/>
        <w:jc w:val="both"/>
        <w:rPr>
          <w:rFonts w:cs="Arial"/>
          <w:i/>
          <w:szCs w:val="24"/>
          <w:lang w:eastAsia="fr-CA"/>
        </w:rPr>
      </w:pPr>
      <w:r>
        <w:rPr>
          <w:rFonts w:cs="Arial"/>
          <w:i/>
          <w:szCs w:val="24"/>
          <w:lang w:eastAsia="fr-CA"/>
        </w:rPr>
        <w:t xml:space="preserve">R. c. </w:t>
      </w:r>
      <w:r w:rsidR="0061269A">
        <w:rPr>
          <w:rFonts w:cs="Arial"/>
          <w:i/>
          <w:szCs w:val="24"/>
          <w:lang w:eastAsia="fr-CA"/>
        </w:rPr>
        <w:t>La</w:t>
      </w:r>
      <w:r w:rsidR="0011420D">
        <w:rPr>
          <w:rFonts w:cs="Arial"/>
          <w:i/>
          <w:szCs w:val="24"/>
          <w:lang w:eastAsia="fr-CA"/>
        </w:rPr>
        <w:t>f</w:t>
      </w:r>
      <w:r w:rsidR="0061269A">
        <w:rPr>
          <w:rFonts w:cs="Arial"/>
          <w:i/>
          <w:szCs w:val="24"/>
          <w:lang w:eastAsia="fr-CA"/>
        </w:rPr>
        <w:t>rance</w:t>
      </w:r>
      <w:r w:rsidR="00370001" w:rsidRPr="00564EBE">
        <w:rPr>
          <w:rStyle w:val="Appelnotedebasdep"/>
          <w:rFonts w:cs="Arial"/>
          <w:i/>
          <w:szCs w:val="24"/>
          <w:vertAlign w:val="superscript"/>
          <w:lang w:eastAsia="fr-CA"/>
        </w:rPr>
        <w:footnoteReference w:id="25"/>
      </w:r>
    </w:p>
    <w:p w14:paraId="2F744115" w14:textId="5F932F1B" w:rsidR="004430BD" w:rsidRDefault="003E7049" w:rsidP="00692D7D">
      <w:pPr>
        <w:pStyle w:val="Paragraphe"/>
        <w:spacing w:line="240" w:lineRule="auto"/>
        <w:rPr>
          <w:lang w:eastAsia="fr-CA"/>
        </w:rPr>
      </w:pPr>
      <w:r>
        <w:rPr>
          <w:lang w:eastAsia="fr-CA"/>
        </w:rPr>
        <w:t>Selon la défense</w:t>
      </w:r>
      <w:r w:rsidR="00EE25D7">
        <w:rPr>
          <w:lang w:eastAsia="fr-CA"/>
        </w:rPr>
        <w:t>, c</w:t>
      </w:r>
      <w:r w:rsidR="00692D7D">
        <w:rPr>
          <w:lang w:eastAsia="fr-CA"/>
        </w:rPr>
        <w:t>ette cause qui</w:t>
      </w:r>
      <w:r w:rsidR="0061269A">
        <w:rPr>
          <w:lang w:eastAsia="fr-CA"/>
        </w:rPr>
        <w:t xml:space="preserve"> concerne des infractions reliées au trafic et à la possession des </w:t>
      </w:r>
      <w:r w:rsidR="00692D7D">
        <w:rPr>
          <w:lang w:eastAsia="fr-CA"/>
        </w:rPr>
        <w:t>stupéfiants</w:t>
      </w:r>
      <w:r w:rsidR="006F68DE">
        <w:rPr>
          <w:lang w:eastAsia="fr-CA"/>
        </w:rPr>
        <w:t>,</w:t>
      </w:r>
      <w:r w:rsidR="00692D7D">
        <w:rPr>
          <w:lang w:eastAsia="fr-CA"/>
        </w:rPr>
        <w:t xml:space="preserve"> met en application </w:t>
      </w:r>
      <w:bookmarkStart w:id="4" w:name="_Hlk119333064"/>
      <w:r w:rsidR="00692D7D">
        <w:rPr>
          <w:lang w:eastAsia="fr-CA"/>
        </w:rPr>
        <w:t>l'article 718.</w:t>
      </w:r>
      <w:r w:rsidR="00F4744D">
        <w:rPr>
          <w:lang w:eastAsia="fr-CA"/>
        </w:rPr>
        <w:t>2</w:t>
      </w:r>
      <w:r w:rsidR="00692D7D">
        <w:rPr>
          <w:lang w:eastAsia="fr-CA"/>
        </w:rPr>
        <w:t xml:space="preserve"> a)</w:t>
      </w:r>
      <w:r w:rsidR="00F4744D">
        <w:rPr>
          <w:lang w:eastAsia="fr-CA"/>
        </w:rPr>
        <w:t xml:space="preserve"> et b) du </w:t>
      </w:r>
      <w:r w:rsidR="00F4744D" w:rsidRPr="00F4744D">
        <w:rPr>
          <w:i/>
          <w:iCs/>
          <w:lang w:eastAsia="fr-CA"/>
        </w:rPr>
        <w:t xml:space="preserve">Code </w:t>
      </w:r>
      <w:r w:rsidRPr="00F4744D">
        <w:rPr>
          <w:i/>
          <w:iCs/>
          <w:lang w:eastAsia="fr-CA"/>
        </w:rPr>
        <w:t>criminel</w:t>
      </w:r>
      <w:bookmarkEnd w:id="4"/>
      <w:r>
        <w:rPr>
          <w:lang w:eastAsia="fr-CA"/>
        </w:rPr>
        <w:t xml:space="preserve">. </w:t>
      </w:r>
    </w:p>
    <w:p w14:paraId="6B2FD108" w14:textId="56B141F1" w:rsidR="00F4744D" w:rsidRDefault="008506AB" w:rsidP="00F4744D">
      <w:pPr>
        <w:pStyle w:val="Citationenretrait"/>
      </w:pPr>
      <w:r>
        <w:t>[54]</w:t>
      </w:r>
      <w:r>
        <w:tab/>
      </w:r>
      <w:r w:rsidR="00F4744D" w:rsidRPr="00F4744D">
        <w:t>Si, dans les infractions reliées au trafic et à la possession pour fins de trafic des stupéfiants, le critère de la dissuasion générale constitue une considération de </w:t>
      </w:r>
      <w:r w:rsidR="00F4744D" w:rsidRPr="00F4744D">
        <w:rPr>
          <w:rStyle w:val="solexhl"/>
        </w:rPr>
        <w:t>première</w:t>
      </w:r>
      <w:r w:rsidR="00F4744D" w:rsidRPr="00F4744D">
        <w:t> </w:t>
      </w:r>
      <w:r w:rsidR="00F4744D" w:rsidRPr="00F4744D">
        <w:rPr>
          <w:rStyle w:val="solexhl"/>
        </w:rPr>
        <w:t>importance</w:t>
      </w:r>
      <w:r w:rsidR="00F4744D" w:rsidRPr="00F4744D">
        <w:t xml:space="preserve">, il n'en reste pas moins que le critère de la réadaptation, lorsqu'il fait l'objet d'une démonstration particulièrement </w:t>
      </w:r>
      <w:r w:rsidR="003E7049" w:rsidRPr="00F4744D">
        <w:t>convaincante</w:t>
      </w:r>
      <w:r w:rsidR="00F4744D" w:rsidRPr="00F4744D">
        <w:t>, pourra devenir prééminent lors de la détermination de la peine.</w:t>
      </w:r>
    </w:p>
    <w:p w14:paraId="230EDD7E" w14:textId="3D0790F1" w:rsidR="00370001" w:rsidRPr="008C6B5D" w:rsidRDefault="00370001" w:rsidP="00370001">
      <w:pPr>
        <w:numPr>
          <w:ilvl w:val="0"/>
          <w:numId w:val="23"/>
        </w:numPr>
        <w:spacing w:before="120" w:after="120"/>
        <w:contextualSpacing/>
        <w:jc w:val="both"/>
        <w:rPr>
          <w:rFonts w:cs="Arial"/>
          <w:i/>
          <w:szCs w:val="24"/>
          <w:lang w:eastAsia="fr-CA"/>
        </w:rPr>
      </w:pPr>
      <w:r w:rsidRPr="008C6B5D">
        <w:rPr>
          <w:rFonts w:cs="Arial"/>
          <w:i/>
          <w:szCs w:val="24"/>
          <w:lang w:eastAsia="fr-CA"/>
        </w:rPr>
        <w:t xml:space="preserve">R. </w:t>
      </w:r>
      <w:r w:rsidRPr="008C6B5D">
        <w:rPr>
          <w:rFonts w:cs="Arial"/>
          <w:iCs/>
          <w:szCs w:val="24"/>
          <w:lang w:eastAsia="fr-CA"/>
        </w:rPr>
        <w:t>c</w:t>
      </w:r>
      <w:r w:rsidRPr="008C6B5D">
        <w:rPr>
          <w:rFonts w:cs="Arial"/>
          <w:i/>
          <w:szCs w:val="24"/>
          <w:lang w:eastAsia="fr-CA"/>
        </w:rPr>
        <w:t>. Zawah</w:t>
      </w:r>
      <w:r w:rsidR="001E6A42">
        <w:rPr>
          <w:rFonts w:cs="Arial"/>
          <w:i/>
          <w:szCs w:val="24"/>
          <w:lang w:eastAsia="fr-CA"/>
        </w:rPr>
        <w:t>r</w:t>
      </w:r>
      <w:r w:rsidRPr="008C6B5D">
        <w:rPr>
          <w:rFonts w:cs="Arial"/>
          <w:i/>
          <w:szCs w:val="24"/>
          <w:lang w:eastAsia="fr-CA"/>
        </w:rPr>
        <w:t>a</w:t>
      </w:r>
      <w:r w:rsidR="008C6B5D" w:rsidRPr="008C6B5D">
        <w:rPr>
          <w:rFonts w:cs="Arial"/>
          <w:i/>
          <w:szCs w:val="24"/>
          <w:lang w:eastAsia="fr-CA"/>
        </w:rPr>
        <w:t xml:space="preserve"> </w:t>
      </w:r>
      <w:r w:rsidR="008C6B5D" w:rsidRPr="008C6B5D">
        <w:rPr>
          <w:rFonts w:cs="Arial"/>
          <w:iCs/>
          <w:szCs w:val="24"/>
          <w:lang w:eastAsia="fr-CA"/>
        </w:rPr>
        <w:t xml:space="preserve">2016 QCCA 871; </w:t>
      </w:r>
      <w:r w:rsidR="008C6B5D" w:rsidRPr="008C6B5D">
        <w:rPr>
          <w:rFonts w:cs="Arial"/>
          <w:i/>
          <w:szCs w:val="24"/>
          <w:lang w:eastAsia="fr-CA"/>
        </w:rPr>
        <w:t xml:space="preserve">R. </w:t>
      </w:r>
      <w:r w:rsidR="008C6B5D" w:rsidRPr="008C6B5D">
        <w:rPr>
          <w:rFonts w:cs="Arial"/>
          <w:iCs/>
          <w:szCs w:val="24"/>
          <w:lang w:eastAsia="fr-CA"/>
        </w:rPr>
        <w:t>c</w:t>
      </w:r>
      <w:r w:rsidR="008C6B5D" w:rsidRPr="008C6B5D">
        <w:rPr>
          <w:rFonts w:cs="Arial"/>
          <w:i/>
          <w:szCs w:val="24"/>
          <w:lang w:eastAsia="fr-CA"/>
        </w:rPr>
        <w:t xml:space="preserve">. Duhamel </w:t>
      </w:r>
      <w:r w:rsidR="008C6B5D" w:rsidRPr="008C6B5D">
        <w:rPr>
          <w:rFonts w:cs="Arial"/>
          <w:iCs/>
          <w:szCs w:val="24"/>
          <w:lang w:eastAsia="fr-CA"/>
        </w:rPr>
        <w:t>2017 QCCA</w:t>
      </w:r>
      <w:r w:rsidR="008C6B5D">
        <w:rPr>
          <w:rFonts w:cs="Arial"/>
          <w:iCs/>
          <w:szCs w:val="24"/>
          <w:lang w:eastAsia="fr-CA"/>
        </w:rPr>
        <w:t xml:space="preserve"> 98; </w:t>
      </w:r>
      <w:r w:rsidR="008C6B5D" w:rsidRPr="008C6B5D">
        <w:rPr>
          <w:rFonts w:cs="Arial"/>
          <w:i/>
          <w:szCs w:val="24"/>
          <w:lang w:eastAsia="fr-CA"/>
        </w:rPr>
        <w:t xml:space="preserve">R. </w:t>
      </w:r>
      <w:r w:rsidR="008C6B5D" w:rsidRPr="008C6B5D">
        <w:rPr>
          <w:rFonts w:cs="Arial"/>
          <w:iCs/>
          <w:szCs w:val="24"/>
          <w:lang w:eastAsia="fr-CA"/>
        </w:rPr>
        <w:t>c</w:t>
      </w:r>
      <w:r w:rsidR="008C6B5D" w:rsidRPr="008C6B5D">
        <w:rPr>
          <w:rFonts w:cs="Arial"/>
          <w:i/>
          <w:szCs w:val="24"/>
          <w:lang w:eastAsia="fr-CA"/>
        </w:rPr>
        <w:t xml:space="preserve">. </w:t>
      </w:r>
      <w:r w:rsidR="009216CE">
        <w:rPr>
          <w:rFonts w:cs="Arial"/>
          <w:i/>
          <w:szCs w:val="24"/>
          <w:lang w:eastAsia="fr-CA"/>
        </w:rPr>
        <w:t xml:space="preserve">Aurelius </w:t>
      </w:r>
      <w:r w:rsidR="008C6B5D" w:rsidRPr="008C6B5D">
        <w:rPr>
          <w:rFonts w:cs="Arial"/>
          <w:iCs/>
          <w:szCs w:val="24"/>
          <w:lang w:eastAsia="fr-CA"/>
        </w:rPr>
        <w:t>20</w:t>
      </w:r>
      <w:r w:rsidR="009216CE">
        <w:rPr>
          <w:rFonts w:cs="Arial"/>
          <w:iCs/>
          <w:szCs w:val="24"/>
          <w:lang w:eastAsia="fr-CA"/>
        </w:rPr>
        <w:t>09</w:t>
      </w:r>
      <w:r w:rsidR="008C6B5D" w:rsidRPr="008C6B5D">
        <w:rPr>
          <w:rFonts w:cs="Arial"/>
          <w:iCs/>
          <w:szCs w:val="24"/>
          <w:lang w:eastAsia="fr-CA"/>
        </w:rPr>
        <w:t xml:space="preserve"> QCCA</w:t>
      </w:r>
      <w:r w:rsidR="009216CE">
        <w:rPr>
          <w:rFonts w:cs="Arial"/>
          <w:iCs/>
          <w:szCs w:val="24"/>
          <w:lang w:eastAsia="fr-CA"/>
        </w:rPr>
        <w:t xml:space="preserve"> 1756; </w:t>
      </w:r>
      <w:r w:rsidR="009216CE" w:rsidRPr="009216CE">
        <w:rPr>
          <w:rFonts w:cs="Arial"/>
          <w:i/>
          <w:szCs w:val="24"/>
          <w:lang w:eastAsia="fr-CA"/>
        </w:rPr>
        <w:t xml:space="preserve">R. </w:t>
      </w:r>
      <w:r w:rsidR="009216CE" w:rsidRPr="009216CE">
        <w:rPr>
          <w:rFonts w:cs="Arial"/>
          <w:iCs/>
          <w:szCs w:val="24"/>
          <w:lang w:eastAsia="fr-CA"/>
        </w:rPr>
        <w:t>c</w:t>
      </w:r>
      <w:r w:rsidR="009216CE" w:rsidRPr="009216CE">
        <w:rPr>
          <w:rFonts w:cs="Arial"/>
          <w:i/>
          <w:szCs w:val="24"/>
          <w:lang w:eastAsia="fr-CA"/>
        </w:rPr>
        <w:t xml:space="preserve">. </w:t>
      </w:r>
      <w:r w:rsidR="009216CE">
        <w:rPr>
          <w:rFonts w:cs="Arial"/>
          <w:i/>
          <w:szCs w:val="24"/>
          <w:lang w:eastAsia="fr-CA"/>
        </w:rPr>
        <w:t>Bernier</w:t>
      </w:r>
      <w:r w:rsidR="009216CE" w:rsidRPr="009216CE">
        <w:rPr>
          <w:rFonts w:cs="Arial"/>
          <w:i/>
          <w:szCs w:val="24"/>
          <w:lang w:eastAsia="fr-CA"/>
        </w:rPr>
        <w:t xml:space="preserve"> </w:t>
      </w:r>
      <w:r w:rsidR="009216CE" w:rsidRPr="009216CE">
        <w:rPr>
          <w:rFonts w:cs="Arial"/>
          <w:iCs/>
          <w:szCs w:val="24"/>
          <w:lang w:eastAsia="fr-CA"/>
        </w:rPr>
        <w:t>201</w:t>
      </w:r>
      <w:r w:rsidR="00FA4DF8">
        <w:rPr>
          <w:rFonts w:cs="Arial"/>
          <w:iCs/>
          <w:szCs w:val="24"/>
          <w:lang w:eastAsia="fr-CA"/>
        </w:rPr>
        <w:t>5</w:t>
      </w:r>
      <w:r w:rsidR="009216CE" w:rsidRPr="009216CE">
        <w:rPr>
          <w:rFonts w:cs="Arial"/>
          <w:iCs/>
          <w:szCs w:val="24"/>
          <w:lang w:eastAsia="fr-CA"/>
        </w:rPr>
        <w:t xml:space="preserve"> QCCA </w:t>
      </w:r>
      <w:r w:rsidR="009216CE">
        <w:rPr>
          <w:rFonts w:cs="Arial"/>
          <w:iCs/>
          <w:szCs w:val="24"/>
          <w:lang w:eastAsia="fr-CA"/>
        </w:rPr>
        <w:t xml:space="preserve">963; </w:t>
      </w:r>
      <w:r w:rsidR="009216CE" w:rsidRPr="009216CE">
        <w:rPr>
          <w:rFonts w:cs="Arial"/>
          <w:i/>
          <w:szCs w:val="24"/>
          <w:lang w:eastAsia="fr-CA"/>
        </w:rPr>
        <w:t xml:space="preserve">R. </w:t>
      </w:r>
      <w:r w:rsidR="009216CE" w:rsidRPr="009216CE">
        <w:rPr>
          <w:rFonts w:cs="Arial"/>
          <w:iCs/>
          <w:szCs w:val="24"/>
          <w:lang w:eastAsia="fr-CA"/>
        </w:rPr>
        <w:t>c</w:t>
      </w:r>
      <w:r w:rsidR="009216CE" w:rsidRPr="009216CE">
        <w:rPr>
          <w:rFonts w:cs="Arial"/>
          <w:i/>
          <w:szCs w:val="24"/>
          <w:lang w:eastAsia="fr-CA"/>
        </w:rPr>
        <w:t xml:space="preserve">. </w:t>
      </w:r>
      <w:r w:rsidR="009216CE">
        <w:rPr>
          <w:rFonts w:cs="Arial"/>
          <w:i/>
          <w:szCs w:val="24"/>
          <w:lang w:eastAsia="fr-CA"/>
        </w:rPr>
        <w:t>Prokos</w:t>
      </w:r>
      <w:r w:rsidR="009216CE" w:rsidRPr="009216CE">
        <w:rPr>
          <w:rFonts w:cs="Arial"/>
          <w:i/>
          <w:szCs w:val="24"/>
          <w:lang w:eastAsia="fr-CA"/>
        </w:rPr>
        <w:t xml:space="preserve"> </w:t>
      </w:r>
      <w:r w:rsidR="009216CE">
        <w:rPr>
          <w:rFonts w:cs="Arial"/>
          <w:iCs/>
          <w:szCs w:val="24"/>
          <w:lang w:eastAsia="fr-CA"/>
        </w:rPr>
        <w:t>1998</w:t>
      </w:r>
      <w:r w:rsidR="009216CE" w:rsidRPr="009216CE">
        <w:rPr>
          <w:rFonts w:cs="Arial"/>
          <w:iCs/>
          <w:szCs w:val="24"/>
          <w:lang w:eastAsia="fr-CA"/>
        </w:rPr>
        <w:t xml:space="preserve"> </w:t>
      </w:r>
      <w:r w:rsidR="00CB1D22">
        <w:rPr>
          <w:rFonts w:cs="Arial"/>
          <w:iCs/>
          <w:szCs w:val="24"/>
          <w:lang w:eastAsia="fr-CA"/>
        </w:rPr>
        <w:t>R.</w:t>
      </w:r>
      <w:r w:rsidR="009216CE">
        <w:rPr>
          <w:rFonts w:cs="Arial"/>
          <w:iCs/>
          <w:szCs w:val="24"/>
          <w:lang w:eastAsia="fr-CA"/>
        </w:rPr>
        <w:t>J.</w:t>
      </w:r>
      <w:r w:rsidR="009216CE" w:rsidRPr="009216CE">
        <w:rPr>
          <w:rFonts w:cs="Arial"/>
          <w:iCs/>
          <w:szCs w:val="24"/>
          <w:lang w:eastAsia="fr-CA"/>
        </w:rPr>
        <w:t>Q</w:t>
      </w:r>
      <w:r w:rsidR="00CB1D22">
        <w:rPr>
          <w:rFonts w:cs="Arial"/>
          <w:iCs/>
          <w:szCs w:val="24"/>
          <w:lang w:eastAsia="fr-CA"/>
        </w:rPr>
        <w:t xml:space="preserve"> 1773; </w:t>
      </w:r>
      <w:r w:rsidR="00CB1D22" w:rsidRPr="00CB1D22">
        <w:rPr>
          <w:rFonts w:cs="Arial"/>
          <w:i/>
          <w:szCs w:val="24"/>
          <w:lang w:eastAsia="fr-CA"/>
        </w:rPr>
        <w:t>R.</w:t>
      </w:r>
      <w:r w:rsidR="00CB1D22">
        <w:rPr>
          <w:rFonts w:cs="Arial"/>
          <w:i/>
          <w:szCs w:val="24"/>
          <w:lang w:eastAsia="fr-CA"/>
        </w:rPr>
        <w:t xml:space="preserve"> v. Nesbit</w:t>
      </w:r>
      <w:r w:rsidR="00337EBA">
        <w:rPr>
          <w:rFonts w:cs="Arial"/>
          <w:i/>
          <w:szCs w:val="24"/>
          <w:lang w:eastAsia="fr-CA"/>
        </w:rPr>
        <w:t>t</w:t>
      </w:r>
      <w:r w:rsidR="00CB1D22" w:rsidRPr="00CB1D22">
        <w:rPr>
          <w:rFonts w:cs="Arial"/>
          <w:i/>
          <w:szCs w:val="24"/>
          <w:lang w:eastAsia="fr-CA"/>
        </w:rPr>
        <w:t xml:space="preserve"> </w:t>
      </w:r>
      <w:r w:rsidR="00CB1D22" w:rsidRPr="00CB1D22">
        <w:rPr>
          <w:rFonts w:cs="Arial"/>
          <w:iCs/>
          <w:szCs w:val="24"/>
          <w:lang w:eastAsia="fr-CA"/>
        </w:rPr>
        <w:t>201</w:t>
      </w:r>
      <w:r w:rsidR="00CB1D22">
        <w:rPr>
          <w:rFonts w:cs="Arial"/>
          <w:iCs/>
          <w:szCs w:val="24"/>
          <w:lang w:eastAsia="fr-CA"/>
        </w:rPr>
        <w:t>2</w:t>
      </w:r>
      <w:r w:rsidR="00CB1D22" w:rsidRPr="00CB1D22">
        <w:rPr>
          <w:rFonts w:cs="Arial"/>
          <w:iCs/>
          <w:szCs w:val="24"/>
          <w:lang w:eastAsia="fr-CA"/>
        </w:rPr>
        <w:t xml:space="preserve"> </w:t>
      </w:r>
      <w:r w:rsidR="00CB1D22">
        <w:rPr>
          <w:rFonts w:cs="Arial"/>
          <w:iCs/>
          <w:szCs w:val="24"/>
          <w:lang w:eastAsia="fr-CA"/>
        </w:rPr>
        <w:t>B</w:t>
      </w:r>
      <w:r w:rsidR="00CB1D22" w:rsidRPr="00CB1D22">
        <w:rPr>
          <w:rFonts w:cs="Arial"/>
          <w:iCs/>
          <w:szCs w:val="24"/>
          <w:lang w:eastAsia="fr-CA"/>
        </w:rPr>
        <w:t xml:space="preserve">CCA </w:t>
      </w:r>
      <w:r w:rsidR="00CB1D22">
        <w:rPr>
          <w:rFonts w:cs="Arial"/>
          <w:iCs/>
          <w:szCs w:val="24"/>
          <w:lang w:eastAsia="fr-CA"/>
        </w:rPr>
        <w:t>243</w:t>
      </w:r>
      <w:r w:rsidR="008717DC">
        <w:rPr>
          <w:rFonts w:cs="Arial"/>
          <w:iCs/>
          <w:szCs w:val="24"/>
          <w:lang w:eastAsia="fr-CA"/>
        </w:rPr>
        <w:t>.</w:t>
      </w:r>
    </w:p>
    <w:p w14:paraId="3A6B29E9" w14:textId="4813F011" w:rsidR="0009111D" w:rsidRDefault="00370001" w:rsidP="00D3185C">
      <w:pPr>
        <w:pStyle w:val="Paragraphe"/>
        <w:tabs>
          <w:tab w:val="clear" w:pos="360"/>
          <w:tab w:val="num" w:pos="0"/>
        </w:tabs>
        <w:spacing w:line="240" w:lineRule="auto"/>
      </w:pPr>
      <w:r>
        <w:t xml:space="preserve">La défense se réfère </w:t>
      </w:r>
      <w:r w:rsidR="00564EBE">
        <w:t>aux</w:t>
      </w:r>
      <w:r w:rsidR="008717DC">
        <w:t xml:space="preserve"> décisions judiciaire</w:t>
      </w:r>
      <w:r w:rsidR="00564EBE">
        <w:t>s précité</w:t>
      </w:r>
      <w:r w:rsidR="00B44B09">
        <w:t>e</w:t>
      </w:r>
      <w:r w:rsidR="00564EBE">
        <w:t>s</w:t>
      </w:r>
      <w:r w:rsidR="00B63004">
        <w:t>,</w:t>
      </w:r>
      <w:r w:rsidR="00564EBE">
        <w:t xml:space="preserve"> afin de </w:t>
      </w:r>
      <w:r w:rsidR="00E21923" w:rsidRPr="005E0788">
        <w:rPr>
          <w:rFonts w:cs="Arial"/>
          <w:iCs/>
          <w:szCs w:val="24"/>
          <w:lang w:eastAsia="fr-CA"/>
        </w:rPr>
        <w:t>rappeler</w:t>
      </w:r>
      <w:r w:rsidR="005E0788" w:rsidRPr="005E0788">
        <w:rPr>
          <w:rFonts w:cs="Arial"/>
          <w:iCs/>
          <w:szCs w:val="24"/>
          <w:lang w:eastAsia="fr-CA"/>
        </w:rPr>
        <w:t xml:space="preserve"> que cette Cour</w:t>
      </w:r>
      <w:r w:rsidR="005E0788">
        <w:t xml:space="preserve"> a reconnu à de nombreuses reprises que les juges de première instance peuvent faire de la réhabilitation </w:t>
      </w:r>
      <w:r w:rsidR="00DC0E1B">
        <w:t xml:space="preserve">un critère prééminent lorsqu’ils sont en présence d’une réhabilitation particulièrement convaincante et ce, même si les critères de dénonciation et dissuasion doivent habituellement primer en matière de trafic de drogues dures. </w:t>
      </w:r>
      <w:r w:rsidR="005E0788">
        <w:t xml:space="preserve"> </w:t>
      </w:r>
    </w:p>
    <w:p w14:paraId="3C339A80" w14:textId="1A7916B1" w:rsidR="0009111D" w:rsidRDefault="0009111D" w:rsidP="00D3185C">
      <w:pPr>
        <w:pStyle w:val="Paragraphe"/>
        <w:tabs>
          <w:tab w:val="clear" w:pos="360"/>
          <w:tab w:val="num" w:pos="0"/>
        </w:tabs>
        <w:spacing w:line="240" w:lineRule="auto"/>
      </w:pPr>
      <w:r>
        <w:t xml:space="preserve">La défense illustre son argumentation par des décisions judiciaires, notamment la décision rendue dans le dossier </w:t>
      </w:r>
      <w:r w:rsidRPr="001A5EB8">
        <w:rPr>
          <w:i/>
          <w:iCs/>
        </w:rPr>
        <w:t>Duhamel</w:t>
      </w:r>
      <w:r w:rsidR="00326DBB">
        <w:rPr>
          <w:i/>
          <w:iCs/>
        </w:rPr>
        <w:t>,</w:t>
      </w:r>
      <w:r>
        <w:t xml:space="preserve"> </w:t>
      </w:r>
      <w:r w:rsidR="00326DBB">
        <w:t xml:space="preserve">susmentionné, </w:t>
      </w:r>
      <w:r>
        <w:t xml:space="preserve">où l'accusé avait été arrêté dans le cadre du projet Loquace, projet ayant été qualifié </w:t>
      </w:r>
      <w:r w:rsidR="00D67D40">
        <w:t>d</w:t>
      </w:r>
      <w:r w:rsidR="00B63004">
        <w:t>’« important</w:t>
      </w:r>
      <w:r>
        <w:t xml:space="preserve"> réseau d'importation et de trafic de stupéfiants de grande envergure et sophistication» et la Cour d'appel n'a pas trouvé d'erreur justifiant d'intervenir</w:t>
      </w:r>
      <w:r w:rsidR="00B63004">
        <w:t>,</w:t>
      </w:r>
      <w:r>
        <w:t xml:space="preserve"> relativement à une peine de deux ans dans la collectivité suivie d'une probation de trois ans.</w:t>
      </w:r>
    </w:p>
    <w:p w14:paraId="23E7F5DF" w14:textId="1C35BA9C" w:rsidR="00E21923" w:rsidRPr="004F0D23" w:rsidRDefault="0009111D" w:rsidP="004F0D23">
      <w:pPr>
        <w:pStyle w:val="Paragraphe"/>
        <w:tabs>
          <w:tab w:val="clear" w:pos="360"/>
          <w:tab w:val="num" w:pos="0"/>
        </w:tabs>
        <w:spacing w:line="240" w:lineRule="auto"/>
      </w:pPr>
      <w:r>
        <w:t xml:space="preserve"> L'argumentaire de la défense mentionne, également, que des peines d'emprisonnement avec sursis ont été octroyées pour des accusations de gangstérisme, tels que</w:t>
      </w:r>
      <w:r w:rsidR="00A46E52">
        <w:t xml:space="preserve"> dans le dossier de </w:t>
      </w:r>
      <w:r>
        <w:t>l'organisation CARGO sur le rive-sud de Montréal</w:t>
      </w:r>
      <w:r w:rsidR="00451805">
        <w:t>, qui a opéré durant des mois</w:t>
      </w:r>
      <w:r w:rsidR="00451805" w:rsidRPr="00451805">
        <w:rPr>
          <w:rStyle w:val="Appelnotedebasdep"/>
          <w:vertAlign w:val="superscript"/>
        </w:rPr>
        <w:footnoteReference w:id="26"/>
      </w:r>
      <w:r w:rsidRPr="00451805">
        <w:rPr>
          <w:vertAlign w:val="superscript"/>
        </w:rPr>
        <w:t>.</w:t>
      </w:r>
      <w:r>
        <w:t xml:space="preserve"> Une peine de deux ans moins un jour à être purgée dans la collectivité a été prononcée dans un autre dossier relatif au trafic de drogues dans l'affaire sous le nom de projet « Colisée »</w:t>
      </w:r>
      <w:r w:rsidR="00451805" w:rsidRPr="00451805">
        <w:rPr>
          <w:rStyle w:val="Appelnotedebasdep"/>
          <w:vertAlign w:val="superscript"/>
        </w:rPr>
        <w:footnoteReference w:id="27"/>
      </w:r>
      <w:r>
        <w:t xml:space="preserve">.  </w:t>
      </w:r>
    </w:p>
    <w:p w14:paraId="4D529BB6" w14:textId="2193C4FC" w:rsidR="001D1E0D" w:rsidRDefault="001D1E0D" w:rsidP="00E21923">
      <w:pPr>
        <w:pStyle w:val="Titre4"/>
        <w:rPr>
          <w:lang w:val="fr-FR" w:eastAsia="fr-CA"/>
        </w:rPr>
      </w:pPr>
      <w:r w:rsidRPr="0047544C">
        <w:rPr>
          <w:lang w:val="fr-FR" w:eastAsia="fr-CA"/>
        </w:rPr>
        <w:t xml:space="preserve"> </w:t>
      </w:r>
      <w:r w:rsidR="00B04E41">
        <w:rPr>
          <w:lang w:val="fr-FR" w:eastAsia="fr-CA"/>
        </w:rPr>
        <w:t>La j</w:t>
      </w:r>
      <w:r w:rsidRPr="005515CE">
        <w:rPr>
          <w:lang w:val="fr-FR" w:eastAsia="fr-CA"/>
        </w:rPr>
        <w:t>urisprudence soumise par l</w:t>
      </w:r>
      <w:r w:rsidR="00F67409">
        <w:rPr>
          <w:lang w:val="fr-FR" w:eastAsia="fr-CA"/>
        </w:rPr>
        <w:t>e poursuivant</w:t>
      </w:r>
      <w:r w:rsidRPr="005515CE">
        <w:rPr>
          <w:lang w:val="fr-FR" w:eastAsia="fr-CA"/>
        </w:rPr>
        <w:t xml:space="preserve"> </w:t>
      </w:r>
    </w:p>
    <w:p w14:paraId="7710FAF1" w14:textId="4022ADF6" w:rsidR="000B303F" w:rsidRDefault="00632155" w:rsidP="007C40B0">
      <w:pPr>
        <w:pStyle w:val="Paragraphe"/>
        <w:tabs>
          <w:tab w:val="clear" w:pos="360"/>
          <w:tab w:val="num" w:pos="0"/>
        </w:tabs>
        <w:spacing w:line="240" w:lineRule="auto"/>
        <w:rPr>
          <w:lang w:val="fr-FR" w:eastAsia="fr-CA"/>
        </w:rPr>
      </w:pPr>
      <w:r>
        <w:rPr>
          <w:lang w:val="fr-FR" w:eastAsia="fr-CA"/>
        </w:rPr>
        <w:t>L</w:t>
      </w:r>
      <w:r w:rsidR="002B78E4">
        <w:rPr>
          <w:lang w:val="fr-FR" w:eastAsia="fr-CA"/>
        </w:rPr>
        <w:t>e</w:t>
      </w:r>
      <w:r>
        <w:rPr>
          <w:lang w:val="fr-FR" w:eastAsia="fr-CA"/>
        </w:rPr>
        <w:t xml:space="preserve"> </w:t>
      </w:r>
      <w:r w:rsidR="00DF45AB">
        <w:rPr>
          <w:lang w:val="fr-FR" w:eastAsia="fr-CA"/>
        </w:rPr>
        <w:t>poursui</w:t>
      </w:r>
      <w:r w:rsidR="002B78E4">
        <w:rPr>
          <w:lang w:val="fr-FR" w:eastAsia="fr-CA"/>
        </w:rPr>
        <w:t>vant</w:t>
      </w:r>
      <w:r>
        <w:rPr>
          <w:lang w:val="fr-FR" w:eastAsia="fr-CA"/>
        </w:rPr>
        <w:t xml:space="preserve"> a,</w:t>
      </w:r>
      <w:r w:rsidR="00180361">
        <w:rPr>
          <w:lang w:val="fr-FR" w:eastAsia="fr-CA"/>
        </w:rPr>
        <w:t xml:space="preserve"> </w:t>
      </w:r>
      <w:r>
        <w:rPr>
          <w:lang w:val="fr-FR" w:eastAsia="fr-CA"/>
        </w:rPr>
        <w:t xml:space="preserve">de sa part, produit des décisions judiciaires </w:t>
      </w:r>
      <w:r w:rsidR="00A34D86">
        <w:rPr>
          <w:lang w:val="fr-FR" w:eastAsia="fr-CA"/>
        </w:rPr>
        <w:t>à titre de jurisprudence</w:t>
      </w:r>
      <w:r w:rsidR="00B26F7D">
        <w:rPr>
          <w:lang w:val="fr-FR" w:eastAsia="fr-CA"/>
        </w:rPr>
        <w:t xml:space="preserve"> </w:t>
      </w:r>
      <w:r>
        <w:rPr>
          <w:lang w:val="fr-FR" w:eastAsia="fr-CA"/>
        </w:rPr>
        <w:t>pour appuyer sa position dans le dossier</w:t>
      </w:r>
      <w:r w:rsidR="002E5F7D">
        <w:rPr>
          <w:lang w:val="fr-FR" w:eastAsia="fr-CA"/>
        </w:rPr>
        <w:t xml:space="preserve">, tout en précisant </w:t>
      </w:r>
      <w:r w:rsidR="009278F7">
        <w:rPr>
          <w:lang w:val="fr-FR" w:eastAsia="fr-CA"/>
        </w:rPr>
        <w:t xml:space="preserve">que les décisions judiciaires produites le sont seulement par principe </w:t>
      </w:r>
      <w:r w:rsidR="00E7657F">
        <w:rPr>
          <w:lang w:val="fr-FR" w:eastAsia="fr-CA"/>
        </w:rPr>
        <w:t>car</w:t>
      </w:r>
      <w:r w:rsidR="009278F7">
        <w:rPr>
          <w:lang w:val="fr-FR" w:eastAsia="fr-CA"/>
        </w:rPr>
        <w:t xml:space="preserve"> c’est difficile de trouver des cas identiques</w:t>
      </w:r>
      <w:r w:rsidR="000B303F">
        <w:rPr>
          <w:lang w:val="fr-FR" w:eastAsia="fr-CA"/>
        </w:rPr>
        <w:t xml:space="preserve"> avec des quantités semblables</w:t>
      </w:r>
      <w:r w:rsidR="009278F7">
        <w:rPr>
          <w:lang w:val="fr-FR" w:eastAsia="fr-CA"/>
        </w:rPr>
        <w:t xml:space="preserve"> ou une fourchette standard. </w:t>
      </w:r>
    </w:p>
    <w:p w14:paraId="5B758243" w14:textId="2514BF98" w:rsidR="00632155" w:rsidRPr="007C40B0" w:rsidRDefault="000F480C" w:rsidP="007C40B0">
      <w:pPr>
        <w:pStyle w:val="Paragraphe"/>
        <w:tabs>
          <w:tab w:val="clear" w:pos="360"/>
          <w:tab w:val="num" w:pos="0"/>
        </w:tabs>
        <w:spacing w:line="240" w:lineRule="auto"/>
        <w:rPr>
          <w:lang w:val="fr-FR" w:eastAsia="fr-CA"/>
        </w:rPr>
      </w:pPr>
      <w:r>
        <w:rPr>
          <w:lang w:val="fr-FR" w:eastAsia="fr-CA"/>
        </w:rPr>
        <w:t>Cependant, le poursuivant précise que</w:t>
      </w:r>
      <w:r w:rsidR="002E5F7D">
        <w:rPr>
          <w:lang w:val="fr-FR" w:eastAsia="fr-CA"/>
        </w:rPr>
        <w:t xml:space="preserve"> même si l’accusé </w:t>
      </w:r>
      <w:r w:rsidR="00663D2D">
        <w:rPr>
          <w:lang w:val="fr-FR" w:eastAsia="fr-CA"/>
        </w:rPr>
        <w:t>ne jouait</w:t>
      </w:r>
      <w:r w:rsidR="002E5F7D">
        <w:rPr>
          <w:lang w:val="fr-FR" w:eastAsia="fr-CA"/>
        </w:rPr>
        <w:t xml:space="preserve"> pas un rôle principal ou primaire dans la hiérarchie de ce </w:t>
      </w:r>
      <w:r w:rsidR="004B6528">
        <w:rPr>
          <w:lang w:val="fr-FR" w:eastAsia="fr-CA"/>
        </w:rPr>
        <w:t>réseau de trafic</w:t>
      </w:r>
      <w:r w:rsidR="003427CB">
        <w:rPr>
          <w:lang w:val="fr-FR" w:eastAsia="fr-CA"/>
        </w:rPr>
        <w:t xml:space="preserve"> de stupéfiants</w:t>
      </w:r>
      <w:r w:rsidR="00794A1B">
        <w:rPr>
          <w:lang w:val="fr-FR" w:eastAsia="fr-CA"/>
        </w:rPr>
        <w:t>,</w:t>
      </w:r>
      <w:r w:rsidR="002E5F7D">
        <w:rPr>
          <w:lang w:val="fr-FR" w:eastAsia="fr-CA"/>
        </w:rPr>
        <w:t xml:space="preserve"> il </w:t>
      </w:r>
      <w:r w:rsidR="00DF45AB">
        <w:rPr>
          <w:lang w:val="fr-FR" w:eastAsia="fr-CA"/>
        </w:rPr>
        <w:t>jouait</w:t>
      </w:r>
      <w:r w:rsidR="00E7657F">
        <w:rPr>
          <w:lang w:val="fr-FR" w:eastAsia="fr-CA"/>
        </w:rPr>
        <w:t>, néanmoins,</w:t>
      </w:r>
      <w:r w:rsidR="002E5F7D">
        <w:rPr>
          <w:lang w:val="fr-FR" w:eastAsia="fr-CA"/>
        </w:rPr>
        <w:t xml:space="preserve"> un rôle essentiel </w:t>
      </w:r>
      <w:r w:rsidR="00DA6D41">
        <w:rPr>
          <w:lang w:val="fr-FR" w:eastAsia="fr-CA"/>
        </w:rPr>
        <w:t>dans le réseau</w:t>
      </w:r>
      <w:r w:rsidR="002E5F7D">
        <w:rPr>
          <w:lang w:val="fr-FR" w:eastAsia="fr-CA"/>
        </w:rPr>
        <w:t>.</w:t>
      </w:r>
    </w:p>
    <w:p w14:paraId="0C15E6F0" w14:textId="741816EF" w:rsidR="00632155" w:rsidRPr="00632155" w:rsidRDefault="00632155" w:rsidP="00663D2D">
      <w:pPr>
        <w:pStyle w:val="Paragraphe"/>
        <w:numPr>
          <w:ilvl w:val="0"/>
          <w:numId w:val="23"/>
        </w:numPr>
        <w:spacing w:line="240" w:lineRule="auto"/>
        <w:rPr>
          <w:lang w:val="fr-FR" w:eastAsia="fr-CA"/>
        </w:rPr>
      </w:pPr>
      <w:r w:rsidRPr="00632155">
        <w:rPr>
          <w:i/>
          <w:iCs/>
          <w:lang w:val="fr-FR" w:eastAsia="fr-CA"/>
        </w:rPr>
        <w:t>R</w:t>
      </w:r>
      <w:r>
        <w:rPr>
          <w:lang w:val="fr-FR" w:eastAsia="fr-CA"/>
        </w:rPr>
        <w:t xml:space="preserve">. c. </w:t>
      </w:r>
      <w:r w:rsidRPr="00632155">
        <w:rPr>
          <w:i/>
          <w:iCs/>
          <w:lang w:val="fr-FR" w:eastAsia="fr-CA"/>
        </w:rPr>
        <w:t>Pierre-Paul Paré</w:t>
      </w:r>
      <w:r w:rsidR="00663D2D" w:rsidRPr="00663D2D">
        <w:rPr>
          <w:rStyle w:val="Appelnotedebasdep"/>
          <w:i/>
          <w:iCs/>
          <w:vertAlign w:val="superscript"/>
          <w:lang w:val="fr-FR" w:eastAsia="fr-CA"/>
        </w:rPr>
        <w:footnoteReference w:id="28"/>
      </w:r>
    </w:p>
    <w:p w14:paraId="7D739D97" w14:textId="465CC461" w:rsidR="00BB071D" w:rsidRDefault="00663D2D" w:rsidP="00663D2D">
      <w:pPr>
        <w:pStyle w:val="Paragraphe"/>
        <w:tabs>
          <w:tab w:val="clear" w:pos="360"/>
        </w:tabs>
        <w:spacing w:line="240" w:lineRule="auto"/>
        <w:rPr>
          <w:lang w:val="fr-FR" w:eastAsia="fr-CA"/>
        </w:rPr>
      </w:pPr>
      <w:r>
        <w:rPr>
          <w:lang w:val="fr-FR" w:eastAsia="fr-CA"/>
        </w:rPr>
        <w:t>L</w:t>
      </w:r>
      <w:r w:rsidR="00ED148D">
        <w:rPr>
          <w:lang w:val="fr-FR" w:eastAsia="fr-CA"/>
        </w:rPr>
        <w:t>e</w:t>
      </w:r>
      <w:r>
        <w:rPr>
          <w:lang w:val="fr-FR" w:eastAsia="fr-CA"/>
        </w:rPr>
        <w:t xml:space="preserve"> poursui</w:t>
      </w:r>
      <w:r w:rsidR="00ED148D">
        <w:rPr>
          <w:lang w:val="fr-FR" w:eastAsia="fr-CA"/>
        </w:rPr>
        <w:t>vant</w:t>
      </w:r>
      <w:r>
        <w:rPr>
          <w:lang w:val="fr-FR" w:eastAsia="fr-CA"/>
        </w:rPr>
        <w:t xml:space="preserve"> </w:t>
      </w:r>
      <w:r w:rsidR="001463F8">
        <w:rPr>
          <w:lang w:val="fr-FR" w:eastAsia="fr-CA"/>
        </w:rPr>
        <w:t>s’appuie</w:t>
      </w:r>
      <w:r w:rsidR="00ED148D">
        <w:rPr>
          <w:lang w:val="fr-FR" w:eastAsia="fr-CA"/>
        </w:rPr>
        <w:t>,</w:t>
      </w:r>
      <w:r w:rsidR="001463F8">
        <w:rPr>
          <w:lang w:val="fr-FR" w:eastAsia="fr-CA"/>
        </w:rPr>
        <w:t xml:space="preserve"> principalement</w:t>
      </w:r>
      <w:r w:rsidR="00ED148D">
        <w:rPr>
          <w:lang w:val="fr-FR" w:eastAsia="fr-CA"/>
        </w:rPr>
        <w:t>,</w:t>
      </w:r>
      <w:r w:rsidR="001463F8">
        <w:rPr>
          <w:lang w:val="fr-FR" w:eastAsia="fr-CA"/>
        </w:rPr>
        <w:t xml:space="preserve"> sur ce jugemen</w:t>
      </w:r>
      <w:r w:rsidR="00E730ED">
        <w:rPr>
          <w:lang w:val="fr-FR" w:eastAsia="fr-CA"/>
        </w:rPr>
        <w:t>t dont il</w:t>
      </w:r>
      <w:r w:rsidR="001463F8">
        <w:rPr>
          <w:lang w:val="fr-FR" w:eastAsia="fr-CA"/>
        </w:rPr>
        <w:t xml:space="preserve"> </w:t>
      </w:r>
      <w:r w:rsidR="008648FE">
        <w:rPr>
          <w:lang w:val="fr-FR" w:eastAsia="fr-CA"/>
        </w:rPr>
        <w:t>cite</w:t>
      </w:r>
      <w:r w:rsidR="001463F8">
        <w:rPr>
          <w:lang w:val="fr-FR" w:eastAsia="fr-CA"/>
        </w:rPr>
        <w:t xml:space="preserve"> plusieurs passages</w:t>
      </w:r>
      <w:r w:rsidR="00E730ED">
        <w:rPr>
          <w:lang w:val="fr-FR" w:eastAsia="fr-CA"/>
        </w:rPr>
        <w:t>, notamment</w:t>
      </w:r>
      <w:r w:rsidR="008648FE">
        <w:rPr>
          <w:lang w:val="fr-FR" w:eastAsia="fr-CA"/>
        </w:rPr>
        <w:t xml:space="preserve"> le</w:t>
      </w:r>
      <w:r>
        <w:rPr>
          <w:lang w:val="fr-FR" w:eastAsia="fr-CA"/>
        </w:rPr>
        <w:t xml:space="preserve"> paragraphe</w:t>
      </w:r>
      <w:r w:rsidR="008648FE">
        <w:rPr>
          <w:lang w:val="fr-FR" w:eastAsia="fr-CA"/>
        </w:rPr>
        <w:t xml:space="preserve"> </w:t>
      </w:r>
      <w:r>
        <w:rPr>
          <w:lang w:val="fr-FR" w:eastAsia="fr-CA"/>
        </w:rPr>
        <w:t>14</w:t>
      </w:r>
      <w:r w:rsidR="004572F6">
        <w:rPr>
          <w:lang w:val="fr-FR" w:eastAsia="fr-CA"/>
        </w:rPr>
        <w:t xml:space="preserve"> et suivants</w:t>
      </w:r>
      <w:r w:rsidR="006410E0">
        <w:rPr>
          <w:lang w:val="fr-FR" w:eastAsia="fr-CA"/>
        </w:rPr>
        <w:t>,</w:t>
      </w:r>
      <w:r w:rsidR="00155316">
        <w:rPr>
          <w:lang w:val="fr-FR" w:eastAsia="fr-CA"/>
        </w:rPr>
        <w:t xml:space="preserve"> </w:t>
      </w:r>
      <w:r w:rsidR="00A46A32">
        <w:rPr>
          <w:lang w:val="fr-FR" w:eastAsia="fr-CA"/>
        </w:rPr>
        <w:t>qui met</w:t>
      </w:r>
      <w:r w:rsidR="00155316">
        <w:rPr>
          <w:lang w:val="fr-FR" w:eastAsia="fr-CA"/>
        </w:rPr>
        <w:t>tent</w:t>
      </w:r>
      <w:r w:rsidR="00A46A32">
        <w:rPr>
          <w:lang w:val="fr-FR" w:eastAsia="fr-CA"/>
        </w:rPr>
        <w:t xml:space="preserve"> en exergue l’ensemble des circonstances</w:t>
      </w:r>
      <w:r w:rsidR="00A32E97">
        <w:rPr>
          <w:lang w:val="fr-FR" w:eastAsia="fr-CA"/>
        </w:rPr>
        <w:t xml:space="preserve"> à prendre en considération lors de l’imposition de la</w:t>
      </w:r>
      <w:r w:rsidR="006410E0">
        <w:rPr>
          <w:lang w:val="fr-FR" w:eastAsia="fr-CA"/>
        </w:rPr>
        <w:t xml:space="preserve"> peine</w:t>
      </w:r>
      <w:r w:rsidR="008F1FEA">
        <w:rPr>
          <w:lang w:val="fr-FR" w:eastAsia="fr-CA"/>
        </w:rPr>
        <w:t xml:space="preserve">. Il explique </w:t>
      </w:r>
      <w:r w:rsidR="006F4D12">
        <w:rPr>
          <w:lang w:val="fr-FR" w:eastAsia="fr-CA"/>
        </w:rPr>
        <w:t xml:space="preserve">que l’accusé dans ce </w:t>
      </w:r>
      <w:r w:rsidR="00E11C37">
        <w:rPr>
          <w:lang w:val="fr-FR" w:eastAsia="fr-CA"/>
        </w:rPr>
        <w:t>dossier-là</w:t>
      </w:r>
      <w:r w:rsidR="006F4D12">
        <w:rPr>
          <w:lang w:val="fr-FR" w:eastAsia="fr-CA"/>
        </w:rPr>
        <w:t>, également,</w:t>
      </w:r>
      <w:r w:rsidR="00660E71">
        <w:rPr>
          <w:lang w:val="fr-FR" w:eastAsia="fr-CA"/>
        </w:rPr>
        <w:t xml:space="preserve"> </w:t>
      </w:r>
      <w:r w:rsidR="006F4D12">
        <w:rPr>
          <w:lang w:val="fr-FR" w:eastAsia="fr-CA"/>
        </w:rPr>
        <w:t>n’avait pas d’antécédents judiciaires</w:t>
      </w:r>
      <w:r w:rsidR="008F1FEA">
        <w:rPr>
          <w:lang w:val="fr-FR" w:eastAsia="fr-CA"/>
        </w:rPr>
        <w:t xml:space="preserve"> et </w:t>
      </w:r>
      <w:r w:rsidR="00D7231D">
        <w:rPr>
          <w:lang w:val="fr-FR" w:eastAsia="fr-CA"/>
        </w:rPr>
        <w:t>bien</w:t>
      </w:r>
      <w:r w:rsidR="008F1FEA">
        <w:rPr>
          <w:lang w:val="fr-FR" w:eastAsia="fr-CA"/>
        </w:rPr>
        <w:t xml:space="preserve"> que</w:t>
      </w:r>
      <w:r w:rsidR="008D5C7B">
        <w:rPr>
          <w:lang w:val="fr-FR" w:eastAsia="fr-CA"/>
        </w:rPr>
        <w:t xml:space="preserve"> la quantité saisie </w:t>
      </w:r>
      <w:r w:rsidR="00956E08">
        <w:rPr>
          <w:lang w:val="fr-FR" w:eastAsia="fr-CA"/>
        </w:rPr>
        <w:t>fût</w:t>
      </w:r>
      <w:r w:rsidR="008D5C7B">
        <w:rPr>
          <w:lang w:val="fr-FR" w:eastAsia="fr-CA"/>
        </w:rPr>
        <w:t xml:space="preserve"> seulement de 2636 comprimés</w:t>
      </w:r>
      <w:r w:rsidR="008F1FEA">
        <w:rPr>
          <w:lang w:val="fr-FR" w:eastAsia="fr-CA"/>
        </w:rPr>
        <w:t xml:space="preserve">, </w:t>
      </w:r>
      <w:r w:rsidR="003F4E12">
        <w:rPr>
          <w:lang w:val="fr-FR" w:eastAsia="fr-CA"/>
        </w:rPr>
        <w:t>l</w:t>
      </w:r>
      <w:r w:rsidR="00660E71">
        <w:rPr>
          <w:lang w:val="fr-FR" w:eastAsia="fr-CA"/>
        </w:rPr>
        <w:t xml:space="preserve">’accusé a reçu une </w:t>
      </w:r>
      <w:r w:rsidR="006410E0">
        <w:rPr>
          <w:lang w:val="fr-FR" w:eastAsia="fr-CA"/>
        </w:rPr>
        <w:t>peine</w:t>
      </w:r>
      <w:r w:rsidR="00660E71">
        <w:rPr>
          <w:lang w:val="fr-FR" w:eastAsia="fr-CA"/>
        </w:rPr>
        <w:t xml:space="preserve"> de 30 mois d’incarcération.</w:t>
      </w:r>
    </w:p>
    <w:p w14:paraId="3868A00C" w14:textId="64F20028" w:rsidR="00632155" w:rsidRDefault="00663D2D" w:rsidP="003874D5">
      <w:pPr>
        <w:pStyle w:val="Citationenretrait"/>
      </w:pPr>
      <w:r>
        <w:rPr>
          <w:lang w:val="fr-FR" w:eastAsia="fr-CA"/>
        </w:rPr>
        <w:t xml:space="preserve"> </w:t>
      </w:r>
      <w:r w:rsidR="00BB071D" w:rsidRPr="003874D5">
        <w:t>[</w:t>
      </w:r>
      <w:bookmarkStart w:id="5" w:name="par14"/>
      <w:r w:rsidR="00BB071D" w:rsidRPr="003874D5">
        <w:t>14</w:t>
      </w:r>
      <w:bookmarkEnd w:id="5"/>
      <w:r w:rsidR="00BB071D" w:rsidRPr="003874D5">
        <w:t>]        Afin de protéger la société et de contribuer au respect de la loi et au maintien d’une société juste, paisible et sûre, la peine appropriée doit dénoncer le comportement délictueux et le tort causé par le délinquant à la collectivité, dissuader de façon générale et individuelle, isoler au besoin le délinquant et favoriser sa réinsertion sociale, assurer la réparation des torts causés à la collectivité et, enfin, amener la prise de conscience par le délinquant de ses responsabilités.</w:t>
      </w:r>
    </w:p>
    <w:p w14:paraId="32FCDE4A" w14:textId="1450EA34" w:rsidR="002C4D5E" w:rsidRDefault="002C4D5E" w:rsidP="003874D5">
      <w:pPr>
        <w:pStyle w:val="Citationenretrait"/>
      </w:pPr>
      <w:r>
        <w:t>[…]</w:t>
      </w:r>
    </w:p>
    <w:p w14:paraId="7F357C9E" w14:textId="18818579" w:rsidR="002C4D5E" w:rsidRDefault="002C4D5E" w:rsidP="003874D5">
      <w:pPr>
        <w:pStyle w:val="Citationenretrait"/>
        <w:rPr>
          <w:rFonts w:cs="Arial"/>
          <w:color w:val="000000"/>
        </w:rPr>
      </w:pPr>
      <w:r>
        <w:rPr>
          <w:rFonts w:cs="Arial"/>
          <w:color w:val="000000"/>
        </w:rPr>
        <w:t>[</w:t>
      </w:r>
      <w:bookmarkStart w:id="6" w:name="par21"/>
      <w:r>
        <w:rPr>
          <w:rFonts w:cs="Arial"/>
          <w:color w:val="000000"/>
        </w:rPr>
        <w:t>21</w:t>
      </w:r>
      <w:bookmarkEnd w:id="6"/>
      <w:r>
        <w:rPr>
          <w:rFonts w:cs="Arial"/>
          <w:color w:val="000000"/>
        </w:rPr>
        <w:t>]</w:t>
      </w:r>
      <w:r>
        <w:rPr>
          <w:color w:val="000000"/>
          <w:sz w:val="14"/>
          <w:szCs w:val="14"/>
        </w:rPr>
        <w:t>        </w:t>
      </w:r>
      <w:r>
        <w:rPr>
          <w:rFonts w:cs="Arial"/>
          <w:color w:val="000000"/>
        </w:rPr>
        <w:t>La possession en vue de trafic de méthamphétamine est passible de l’emprisonnement à perpétuité.</w:t>
      </w:r>
    </w:p>
    <w:p w14:paraId="3BEA3A8D" w14:textId="454AFD07" w:rsidR="004572F6" w:rsidRDefault="004572F6" w:rsidP="003874D5">
      <w:pPr>
        <w:pStyle w:val="Citationenretrait"/>
        <w:rPr>
          <w:rFonts w:cs="Arial"/>
          <w:color w:val="000000"/>
        </w:rPr>
      </w:pPr>
      <w:r>
        <w:rPr>
          <w:rFonts w:cs="Arial"/>
          <w:color w:val="000000"/>
        </w:rPr>
        <w:t>[…]</w:t>
      </w:r>
    </w:p>
    <w:p w14:paraId="68D9CCFB" w14:textId="61071E15" w:rsidR="004572F6" w:rsidRDefault="004572F6" w:rsidP="003874D5">
      <w:pPr>
        <w:pStyle w:val="Citationenretrait"/>
      </w:pPr>
      <w:r>
        <w:rPr>
          <w:rFonts w:cs="Arial"/>
          <w:color w:val="000000"/>
        </w:rPr>
        <w:t>[</w:t>
      </w:r>
      <w:bookmarkStart w:id="7" w:name="par33"/>
      <w:r>
        <w:rPr>
          <w:rFonts w:cs="Arial"/>
          <w:color w:val="000000"/>
        </w:rPr>
        <w:t>33</w:t>
      </w:r>
      <w:bookmarkEnd w:id="7"/>
      <w:r>
        <w:rPr>
          <w:rFonts w:cs="Arial"/>
          <w:color w:val="000000"/>
        </w:rPr>
        <w:t>]</w:t>
      </w:r>
      <w:r>
        <w:rPr>
          <w:color w:val="000000"/>
          <w:sz w:val="14"/>
          <w:szCs w:val="14"/>
        </w:rPr>
        <w:t>        </w:t>
      </w:r>
      <w:r w:rsidRPr="004572F6">
        <w:t>Dans R. c. Mc Alinden, l’accusé est déclaré coupable d’avoir eu en sa possession 1 920 comprimés de méthamphétamine, 142,56 grammes de cocaïne et 34,7 grammes de hashish. Il reçoit une peine de 30 mois d’emprisonnement. Sa résidence servait de "cache". Au moment du prononcé de la peine, il occupait un emploi à la Société des postes du Canada depuis 12 ans, bénéficiait d’un entourage familial positif, il avait deux enfants et son casier judiciaire indiquait une seule condamnation (pour voies de fait).</w:t>
      </w:r>
    </w:p>
    <w:p w14:paraId="6919FD98" w14:textId="62E94508" w:rsidR="00A34D86" w:rsidRDefault="00A34D86" w:rsidP="003874D5">
      <w:pPr>
        <w:pStyle w:val="Citationenretrait"/>
      </w:pPr>
      <w:r>
        <w:t>[…]</w:t>
      </w:r>
    </w:p>
    <w:p w14:paraId="2A0A2DDB" w14:textId="6C9CC98A" w:rsidR="00A34D86" w:rsidRPr="003874D5" w:rsidRDefault="00A34D86" w:rsidP="003874D5">
      <w:pPr>
        <w:pStyle w:val="Citationenretrait"/>
      </w:pPr>
      <w:r>
        <w:rPr>
          <w:rFonts w:cs="Arial"/>
          <w:color w:val="000000"/>
        </w:rPr>
        <w:t>[</w:t>
      </w:r>
      <w:bookmarkStart w:id="8" w:name="par35"/>
      <w:r>
        <w:rPr>
          <w:rFonts w:cs="Arial"/>
          <w:color w:val="000000"/>
        </w:rPr>
        <w:t>35</w:t>
      </w:r>
      <w:bookmarkEnd w:id="8"/>
      <w:r>
        <w:rPr>
          <w:rFonts w:cs="Arial"/>
          <w:color w:val="000000"/>
        </w:rPr>
        <w:t>]</w:t>
      </w:r>
      <w:r>
        <w:rPr>
          <w:color w:val="000000"/>
          <w:sz w:val="14"/>
          <w:szCs w:val="14"/>
        </w:rPr>
        <w:t>        </w:t>
      </w:r>
      <w:r>
        <w:rPr>
          <w:rFonts w:cs="Arial"/>
          <w:color w:val="000000"/>
        </w:rPr>
        <w:t>En l’espèce, la responsabilité criminelle de l’accusé est entière et son rôle, fondamental. S’il cachait la drogue à son commerce pour le compte d’une ou de plusieurs personnes, étant donné la quantité, il était certainement considéré comme quelqu’un de confiance. De plus, il faisait obstacle à l’arrestation de ces personnes en leur permettant de rester à distance de la drogue.</w:t>
      </w:r>
    </w:p>
    <w:p w14:paraId="01A9BA6F" w14:textId="68F9551A" w:rsidR="00BB071D" w:rsidRDefault="00BB071D" w:rsidP="00BB071D">
      <w:pPr>
        <w:pStyle w:val="Citationenretrait"/>
        <w:rPr>
          <w:rFonts w:cs="Arial"/>
          <w:color w:val="000000"/>
          <w:kern w:val="0"/>
          <w:sz w:val="24"/>
        </w:rPr>
      </w:pPr>
      <w:r>
        <w:rPr>
          <w:rFonts w:cs="Arial"/>
          <w:color w:val="000000"/>
          <w:kern w:val="0"/>
          <w:sz w:val="24"/>
        </w:rPr>
        <w:tab/>
      </w:r>
      <w:r>
        <w:rPr>
          <w:rFonts w:cs="Arial"/>
          <w:color w:val="000000"/>
          <w:kern w:val="0"/>
          <w:sz w:val="24"/>
        </w:rPr>
        <w:tab/>
      </w:r>
      <w:r>
        <w:rPr>
          <w:rFonts w:cs="Arial"/>
          <w:color w:val="000000"/>
          <w:kern w:val="0"/>
          <w:sz w:val="24"/>
        </w:rPr>
        <w:tab/>
      </w:r>
      <w:r>
        <w:rPr>
          <w:rFonts w:cs="Arial"/>
          <w:color w:val="000000"/>
          <w:kern w:val="0"/>
          <w:sz w:val="24"/>
        </w:rPr>
        <w:tab/>
      </w:r>
      <w:r>
        <w:rPr>
          <w:rFonts w:cs="Arial"/>
          <w:color w:val="000000"/>
          <w:kern w:val="0"/>
          <w:sz w:val="24"/>
        </w:rPr>
        <w:tab/>
      </w:r>
      <w:r>
        <w:rPr>
          <w:rFonts w:cs="Arial"/>
          <w:color w:val="000000"/>
          <w:kern w:val="0"/>
          <w:sz w:val="24"/>
        </w:rPr>
        <w:tab/>
      </w:r>
      <w:r>
        <w:rPr>
          <w:rFonts w:cs="Arial"/>
          <w:color w:val="000000"/>
          <w:kern w:val="0"/>
          <w:sz w:val="24"/>
        </w:rPr>
        <w:tab/>
      </w:r>
      <w:r w:rsidR="00980EC2">
        <w:rPr>
          <w:rFonts w:cs="Arial"/>
          <w:color w:val="000000"/>
          <w:kern w:val="0"/>
          <w:sz w:val="24"/>
        </w:rPr>
        <w:tab/>
      </w:r>
      <w:bookmarkStart w:id="9" w:name="_Hlk119414880"/>
      <w:r>
        <w:rPr>
          <w:rFonts w:cs="Arial"/>
          <w:color w:val="000000"/>
          <w:kern w:val="0"/>
          <w:sz w:val="24"/>
        </w:rPr>
        <w:t>[Références omises]</w:t>
      </w:r>
    </w:p>
    <w:bookmarkEnd w:id="9"/>
    <w:p w14:paraId="2D4592ED" w14:textId="0483FE86" w:rsidR="009D50B5" w:rsidRPr="009D50B5" w:rsidRDefault="00794A1B" w:rsidP="009D50B5">
      <w:pPr>
        <w:pStyle w:val="Paragraphe"/>
        <w:tabs>
          <w:tab w:val="clear" w:pos="360"/>
          <w:tab w:val="num" w:pos="0"/>
        </w:tabs>
        <w:spacing w:line="240" w:lineRule="auto"/>
        <w:rPr>
          <w:lang w:val="fr-FR" w:eastAsia="fr-CA"/>
        </w:rPr>
      </w:pPr>
      <w:r>
        <w:rPr>
          <w:lang w:val="fr-FR" w:eastAsia="fr-CA"/>
        </w:rPr>
        <w:t>Pour ce qui est des similitudes</w:t>
      </w:r>
      <w:r w:rsidR="0060279B">
        <w:rPr>
          <w:lang w:val="fr-FR" w:eastAsia="fr-CA"/>
        </w:rPr>
        <w:t xml:space="preserve"> entre le</w:t>
      </w:r>
      <w:r>
        <w:rPr>
          <w:lang w:val="fr-FR" w:eastAsia="fr-CA"/>
        </w:rPr>
        <w:t xml:space="preserve"> dossier sous étude avec le dossier </w:t>
      </w:r>
      <w:r w:rsidR="0060279B" w:rsidRPr="00632155">
        <w:rPr>
          <w:i/>
          <w:iCs/>
          <w:lang w:val="fr-FR" w:eastAsia="fr-CA"/>
        </w:rPr>
        <w:t>R</w:t>
      </w:r>
      <w:r w:rsidR="0060279B">
        <w:rPr>
          <w:lang w:val="fr-FR" w:eastAsia="fr-CA"/>
        </w:rPr>
        <w:t xml:space="preserve">. c. </w:t>
      </w:r>
      <w:r w:rsidR="0060279B" w:rsidRPr="00632155">
        <w:rPr>
          <w:i/>
          <w:iCs/>
          <w:lang w:val="fr-FR" w:eastAsia="fr-CA"/>
        </w:rPr>
        <w:t>Pierre-Paul Paré</w:t>
      </w:r>
      <w:r>
        <w:rPr>
          <w:lang w:val="fr-FR" w:eastAsia="fr-CA"/>
        </w:rPr>
        <w:t>, on peut noter l</w:t>
      </w:r>
      <w:r w:rsidR="00BD3AC9">
        <w:rPr>
          <w:lang w:val="fr-FR" w:eastAsia="fr-CA"/>
        </w:rPr>
        <w:t xml:space="preserve">a </w:t>
      </w:r>
      <w:r w:rsidR="00CB64DA">
        <w:rPr>
          <w:lang w:val="fr-FR" w:eastAsia="fr-CA"/>
        </w:rPr>
        <w:t>proximité</w:t>
      </w:r>
      <w:r w:rsidR="00BD3AC9">
        <w:rPr>
          <w:lang w:val="fr-FR" w:eastAsia="fr-CA"/>
        </w:rPr>
        <w:t xml:space="preserve"> d</w:t>
      </w:r>
      <w:r>
        <w:rPr>
          <w:lang w:val="fr-FR" w:eastAsia="fr-CA"/>
        </w:rPr>
        <w:t>es accusés dans les deux dossiers de</w:t>
      </w:r>
      <w:r w:rsidR="00867429">
        <w:rPr>
          <w:lang w:val="fr-FR" w:eastAsia="fr-CA"/>
        </w:rPr>
        <w:t>s</w:t>
      </w:r>
      <w:r>
        <w:rPr>
          <w:lang w:val="fr-FR" w:eastAsia="fr-CA"/>
        </w:rPr>
        <w:t xml:space="preserve"> membres importants des groupes criminalisés</w:t>
      </w:r>
      <w:r w:rsidR="00AC212C">
        <w:rPr>
          <w:lang w:val="fr-FR" w:eastAsia="fr-CA"/>
        </w:rPr>
        <w:t xml:space="preserve"> en question.</w:t>
      </w:r>
      <w:r w:rsidRPr="007554BB">
        <w:rPr>
          <w:lang w:val="fr-FR" w:eastAsia="fr-CA"/>
        </w:rPr>
        <w:t xml:space="preserve"> </w:t>
      </w:r>
    </w:p>
    <w:p w14:paraId="1D5FA46E" w14:textId="7303834C" w:rsidR="009D50B5" w:rsidRPr="00E93E05" w:rsidRDefault="00176F9F" w:rsidP="009D50B5">
      <w:pPr>
        <w:pStyle w:val="Paragraphe"/>
        <w:numPr>
          <w:ilvl w:val="0"/>
          <w:numId w:val="23"/>
        </w:numPr>
        <w:spacing w:line="240" w:lineRule="auto"/>
        <w:rPr>
          <w:lang w:val="fr-FR" w:eastAsia="fr-CA"/>
        </w:rPr>
      </w:pPr>
      <w:r>
        <w:rPr>
          <w:i/>
          <w:iCs/>
          <w:lang w:val="fr-FR" w:eastAsia="fr-CA"/>
        </w:rPr>
        <w:t xml:space="preserve">R. c. </w:t>
      </w:r>
      <w:r w:rsidR="009D50B5" w:rsidRPr="00E93E05">
        <w:rPr>
          <w:i/>
          <w:iCs/>
          <w:lang w:val="fr-FR" w:eastAsia="fr-CA"/>
        </w:rPr>
        <w:t>Pierre Ricard</w:t>
      </w:r>
      <w:r>
        <w:rPr>
          <w:i/>
          <w:iCs/>
          <w:lang w:val="fr-FR" w:eastAsia="fr-CA"/>
        </w:rPr>
        <w:t xml:space="preserve"> </w:t>
      </w:r>
      <w:r w:rsidR="00CF1943" w:rsidRPr="00CF1943">
        <w:rPr>
          <w:rStyle w:val="Appelnotedebasdep"/>
          <w:i/>
          <w:iCs/>
          <w:vertAlign w:val="superscript"/>
          <w:lang w:val="fr-FR" w:eastAsia="fr-CA"/>
        </w:rPr>
        <w:footnoteReference w:id="29"/>
      </w:r>
    </w:p>
    <w:p w14:paraId="0B27AAD3" w14:textId="287AA10E" w:rsidR="00397FCD" w:rsidRDefault="00A160D6" w:rsidP="00840E89">
      <w:pPr>
        <w:pStyle w:val="Paragraphe"/>
        <w:tabs>
          <w:tab w:val="clear" w:pos="360"/>
          <w:tab w:val="num" w:pos="0"/>
        </w:tabs>
        <w:spacing w:line="240" w:lineRule="auto"/>
        <w:rPr>
          <w:lang w:val="fr-FR" w:eastAsia="fr-CA"/>
        </w:rPr>
      </w:pPr>
      <w:r>
        <w:rPr>
          <w:lang w:val="fr-FR" w:eastAsia="fr-CA"/>
        </w:rPr>
        <w:t>Au niveau des ravages et de la gravité objective de l’infraction objet de la poursuite</w:t>
      </w:r>
      <w:r w:rsidR="00840E89">
        <w:rPr>
          <w:lang w:val="fr-FR" w:eastAsia="fr-CA"/>
        </w:rPr>
        <w:t>, le paragraphe 4 de cet arrêt précise que</w:t>
      </w:r>
      <w:r w:rsidR="00B7411B">
        <w:rPr>
          <w:lang w:val="fr-FR" w:eastAsia="fr-CA"/>
        </w:rPr>
        <w:t> :</w:t>
      </w:r>
    </w:p>
    <w:p w14:paraId="5AD04F28" w14:textId="56C801B7" w:rsidR="00397FCD" w:rsidRDefault="00397FCD" w:rsidP="00397FCD">
      <w:pPr>
        <w:pStyle w:val="Citationenretrait"/>
        <w:rPr>
          <w:lang w:val="fr-FR" w:eastAsia="fr-CA"/>
        </w:rPr>
      </w:pPr>
      <w:r>
        <w:rPr>
          <w:rFonts w:cs="Arial"/>
          <w:color w:val="000000"/>
        </w:rPr>
        <w:t>[</w:t>
      </w:r>
      <w:bookmarkStart w:id="10" w:name="par4"/>
      <w:r>
        <w:rPr>
          <w:rFonts w:cs="Arial"/>
          <w:color w:val="000000"/>
        </w:rPr>
        <w:t>4</w:t>
      </w:r>
      <w:bookmarkEnd w:id="10"/>
      <w:r>
        <w:rPr>
          <w:rFonts w:cs="Arial"/>
          <w:color w:val="000000"/>
        </w:rPr>
        <w:t>]</w:t>
      </w:r>
      <w:r>
        <w:rPr>
          <w:color w:val="000000"/>
          <w:sz w:val="14"/>
          <w:szCs w:val="14"/>
        </w:rPr>
        <w:t>   </w:t>
      </w:r>
      <w:r w:rsidR="0060279B">
        <w:rPr>
          <w:color w:val="000000"/>
          <w:sz w:val="14"/>
          <w:szCs w:val="14"/>
        </w:rPr>
        <w:tab/>
      </w:r>
      <w:r>
        <w:rPr>
          <w:rFonts w:cs="Arial"/>
          <w:color w:val="000000"/>
        </w:rPr>
        <w:t>Notre Cour a déjà souligné avec éloquence que le trafic de stupéfiants est la cause de ravages sociaux importants. Certes, il faut ensuite moduler l'affirmation en fonction des circonstances, mais l'acte de faire le trafic de stupéfiants ou de les posséder dans le but d'en faire le trafic, est l'expression d'un comportement hautement nuisible. La peine associée à ce type de délit doit marquer tant l'esprit collectif que le délinquant lui-même afin de répondre adéquatement à la gravité objective de l'infraction. Par contre, notre Cour a également rappelé que le juge ne peut pas arrêter sa réflexion à ce seul aspect de la peine. Si le trafic de stupéfiants entraîne souvent une peine d'incarcération, elle a rejeté que celle-ci devienne la règle, la peine devant répondre au principe d'individualisation</w:t>
      </w:r>
      <w:r>
        <w:rPr>
          <w:lang w:val="fr-FR" w:eastAsia="fr-CA"/>
        </w:rPr>
        <w:t>.</w:t>
      </w:r>
    </w:p>
    <w:p w14:paraId="261EB7C0" w14:textId="1259DB8D" w:rsidR="005B4BCD" w:rsidRDefault="005B4BCD" w:rsidP="00397FCD">
      <w:pPr>
        <w:pStyle w:val="Citationenretrait"/>
        <w:rPr>
          <w:lang w:val="fr-FR" w:eastAsia="fr-CA"/>
        </w:rPr>
      </w:pPr>
      <w:r>
        <w:rPr>
          <w:lang w:val="fr-FR" w:eastAsia="fr-CA"/>
        </w:rPr>
        <w:t>[…]</w:t>
      </w:r>
    </w:p>
    <w:p w14:paraId="40EBCC94" w14:textId="1A8B0A12" w:rsidR="005B4BCD" w:rsidRPr="005B4BCD" w:rsidRDefault="00315278" w:rsidP="00F92793">
      <w:pPr>
        <w:pStyle w:val="Citationenretrait"/>
        <w:rPr>
          <w:lang w:eastAsia="fr-CA"/>
        </w:rPr>
      </w:pPr>
      <w:bookmarkStart w:id="11" w:name="par10"/>
      <w:r>
        <w:rPr>
          <w:lang w:eastAsia="fr-CA"/>
        </w:rPr>
        <w:t>[</w:t>
      </w:r>
      <w:r w:rsidR="005B4BCD" w:rsidRPr="005B4BCD">
        <w:rPr>
          <w:lang w:eastAsia="fr-CA"/>
        </w:rPr>
        <w:t>10</w:t>
      </w:r>
      <w:bookmarkEnd w:id="11"/>
      <w:r w:rsidR="005B4BCD" w:rsidRPr="005B4BCD">
        <w:rPr>
          <w:lang w:eastAsia="fr-CA"/>
        </w:rPr>
        <w:t>]</w:t>
      </w:r>
      <w:r w:rsidR="005B4BCD" w:rsidRPr="005B4BCD">
        <w:rPr>
          <w:rFonts w:ascii="Times New Roman" w:hAnsi="Times New Roman"/>
          <w:sz w:val="14"/>
          <w:szCs w:val="14"/>
          <w:lang w:eastAsia="fr-CA"/>
        </w:rPr>
        <w:t>        </w:t>
      </w:r>
      <w:r w:rsidR="005B4BCD" w:rsidRPr="005B4BCD">
        <w:rPr>
          <w:lang w:eastAsia="fr-CA"/>
        </w:rPr>
        <w:t>Ajoutons que les parties ont déposé de consentement un court article scientifique d'un chercheur de la faculté de médecine de l'université Laval sur les propriétés de la méthamphétamine. Le document étant en preuve, le juge devait en prendre acte. Il n’en touche pas mots. Peut-être cette preuve sera-t-elle nuancée un jour, mais pour l'heure, le document ne montre rien de bon sur cette drogue trop souvent associée aux drogues dites "récréatives" et à laquelle l'usager développe rapidement un effet de tolérance l’entraînant dans une consommation toujours plus importante qui, à son tour, accroit les dangers pour la santé. Plusieurs décisions judiciaires ont déjà souligné la nocivité de cette substance :</w:t>
      </w:r>
    </w:p>
    <w:p w14:paraId="1C487D7A" w14:textId="5AEB243E" w:rsidR="005B4BCD" w:rsidRPr="000224D0" w:rsidRDefault="005B4BCD" w:rsidP="00F92793">
      <w:pPr>
        <w:pStyle w:val="Citationenretrait"/>
        <w:ind w:left="1468"/>
        <w:rPr>
          <w:szCs w:val="22"/>
          <w:lang w:val="en-CA" w:eastAsia="fr-CA"/>
        </w:rPr>
      </w:pPr>
      <w:r w:rsidRPr="005B4BCD">
        <w:rPr>
          <w:szCs w:val="22"/>
          <w:lang w:val="en-CA" w:eastAsia="fr-CA"/>
        </w:rPr>
        <w:t>109 The evidence presented at the sentencing hearing confirmed that methamphetamine is as hard and as addictive a drug as cocaine or heroin. That fact was also recognized by the government when it recategorized methamphetamine from a Schedule III drug to a Schedule I drug under the CDSA on August 10, 2005. The effect of this reclassification was to increase the maximum sentence from 10 years’ imprisonment to life. </w:t>
      </w:r>
      <w:r w:rsidR="000224D0" w:rsidRPr="000224D0">
        <w:rPr>
          <w:szCs w:val="22"/>
          <w:lang w:val="en-CA" w:eastAsia="fr-CA"/>
        </w:rPr>
        <w:t xml:space="preserve"> </w:t>
      </w:r>
    </w:p>
    <w:p w14:paraId="7922D8A9" w14:textId="31B0A152" w:rsidR="009D50B5" w:rsidRPr="004B1EDE" w:rsidRDefault="00397FCD" w:rsidP="00397FCD">
      <w:pPr>
        <w:pStyle w:val="Citationenretrait"/>
        <w:ind w:left="5858" w:firstLine="14"/>
        <w:rPr>
          <w:rFonts w:cs="Arial"/>
          <w:color w:val="000000"/>
          <w:kern w:val="0"/>
          <w:szCs w:val="22"/>
          <w:lang w:val="en-CA"/>
        </w:rPr>
      </w:pPr>
      <w:r w:rsidRPr="004B1EDE">
        <w:rPr>
          <w:rFonts w:cs="Arial"/>
          <w:color w:val="000000"/>
          <w:kern w:val="0"/>
          <w:szCs w:val="22"/>
          <w:lang w:val="en-CA"/>
        </w:rPr>
        <w:t>[Références omises]</w:t>
      </w:r>
    </w:p>
    <w:p w14:paraId="74D7C370" w14:textId="27432B6F" w:rsidR="00B342C4" w:rsidRDefault="00DA711B" w:rsidP="005B4BCD">
      <w:pPr>
        <w:pStyle w:val="Paragraphe"/>
        <w:tabs>
          <w:tab w:val="clear" w:pos="360"/>
          <w:tab w:val="num" w:pos="0"/>
        </w:tabs>
        <w:spacing w:line="240" w:lineRule="auto"/>
        <w:rPr>
          <w:lang w:val="fr-FR" w:eastAsia="fr-CA"/>
        </w:rPr>
      </w:pPr>
      <w:r>
        <w:rPr>
          <w:lang w:val="fr-FR" w:eastAsia="fr-CA"/>
        </w:rPr>
        <w:t xml:space="preserve">Au niveau de la gravité objective de l’infraction, </w:t>
      </w:r>
      <w:r w:rsidR="004B1EDE">
        <w:rPr>
          <w:lang w:val="fr-FR" w:eastAsia="fr-CA"/>
        </w:rPr>
        <w:t>le poursuivant expose qu’</w:t>
      </w:r>
      <w:r>
        <w:rPr>
          <w:lang w:val="fr-FR" w:eastAsia="fr-CA"/>
        </w:rPr>
        <w:t>on est à l’échelle</w:t>
      </w:r>
      <w:r w:rsidR="00350E2C">
        <w:rPr>
          <w:lang w:val="fr-FR" w:eastAsia="fr-CA"/>
        </w:rPr>
        <w:t xml:space="preserve"> de</w:t>
      </w:r>
      <w:r>
        <w:rPr>
          <w:lang w:val="fr-FR" w:eastAsia="fr-CA"/>
        </w:rPr>
        <w:t xml:space="preserve"> l</w:t>
      </w:r>
      <w:r w:rsidR="00E231C2">
        <w:rPr>
          <w:lang w:val="fr-FR" w:eastAsia="fr-CA"/>
        </w:rPr>
        <w:t>’une des</w:t>
      </w:r>
      <w:r>
        <w:rPr>
          <w:lang w:val="fr-FR" w:eastAsia="fr-CA"/>
        </w:rPr>
        <w:t xml:space="preserve"> plus grave</w:t>
      </w:r>
      <w:r w:rsidR="00E231C2">
        <w:rPr>
          <w:lang w:val="fr-FR" w:eastAsia="fr-CA"/>
        </w:rPr>
        <w:t>s</w:t>
      </w:r>
      <w:r w:rsidR="00691F73">
        <w:rPr>
          <w:lang w:val="fr-FR" w:eastAsia="fr-CA"/>
        </w:rPr>
        <w:t xml:space="preserve"> d</w:t>
      </w:r>
      <w:r w:rsidR="00E231C2">
        <w:rPr>
          <w:lang w:val="fr-FR" w:eastAsia="fr-CA"/>
        </w:rPr>
        <w:t>ans</w:t>
      </w:r>
      <w:r w:rsidR="00691F73">
        <w:rPr>
          <w:lang w:val="fr-FR" w:eastAsia="fr-CA"/>
        </w:rPr>
        <w:t xml:space="preserve"> la classification des infractions</w:t>
      </w:r>
      <w:r w:rsidR="007C40B0">
        <w:rPr>
          <w:lang w:val="fr-FR" w:eastAsia="fr-CA"/>
        </w:rPr>
        <w:t>, ce qui a même</w:t>
      </w:r>
      <w:r w:rsidR="00623368">
        <w:rPr>
          <w:lang w:val="fr-FR" w:eastAsia="fr-CA"/>
        </w:rPr>
        <w:t xml:space="preserve"> incité</w:t>
      </w:r>
      <w:r w:rsidR="007C40B0">
        <w:rPr>
          <w:lang w:val="fr-FR" w:eastAsia="fr-CA"/>
        </w:rPr>
        <w:t xml:space="preserve"> le législateur en 2005 </w:t>
      </w:r>
      <w:r w:rsidR="00A159C5">
        <w:rPr>
          <w:lang w:val="fr-FR" w:eastAsia="fr-CA"/>
        </w:rPr>
        <w:t>à</w:t>
      </w:r>
      <w:r w:rsidR="007C40B0">
        <w:rPr>
          <w:lang w:val="fr-FR" w:eastAsia="fr-CA"/>
        </w:rPr>
        <w:t xml:space="preserve"> augment</w:t>
      </w:r>
      <w:r w:rsidR="00A159C5">
        <w:rPr>
          <w:lang w:val="fr-FR" w:eastAsia="fr-CA"/>
        </w:rPr>
        <w:t>er</w:t>
      </w:r>
      <w:r w:rsidR="007C40B0">
        <w:rPr>
          <w:lang w:val="fr-FR" w:eastAsia="fr-CA"/>
        </w:rPr>
        <w:t xml:space="preserve"> la durée </w:t>
      </w:r>
      <w:r w:rsidR="00E96500">
        <w:rPr>
          <w:lang w:val="fr-FR" w:eastAsia="fr-CA"/>
        </w:rPr>
        <w:t>maximum</w:t>
      </w:r>
      <w:r w:rsidR="007C40B0">
        <w:rPr>
          <w:lang w:val="fr-FR" w:eastAsia="fr-CA"/>
        </w:rPr>
        <w:t xml:space="preserve"> de la peine de 14 ans à une condamnation à perpétuité</w:t>
      </w:r>
      <w:r w:rsidR="00133FEC">
        <w:rPr>
          <w:lang w:val="fr-FR" w:eastAsia="fr-CA"/>
        </w:rPr>
        <w:t>,</w:t>
      </w:r>
      <w:r w:rsidR="00C24E82">
        <w:rPr>
          <w:lang w:val="fr-FR" w:eastAsia="fr-CA"/>
        </w:rPr>
        <w:t xml:space="preserve"> d’o</w:t>
      </w:r>
      <w:r w:rsidR="00D27614">
        <w:rPr>
          <w:lang w:val="fr-FR" w:eastAsia="fr-CA"/>
        </w:rPr>
        <w:t>ù l’importance de la dissuasion générale qui doit être faite</w:t>
      </w:r>
      <w:r w:rsidR="00E96500">
        <w:rPr>
          <w:lang w:val="fr-FR" w:eastAsia="fr-CA"/>
        </w:rPr>
        <w:t xml:space="preserve"> à travers la peine à imposer</w:t>
      </w:r>
      <w:r w:rsidR="00D27614">
        <w:rPr>
          <w:lang w:val="fr-FR" w:eastAsia="fr-CA"/>
        </w:rPr>
        <w:t>.</w:t>
      </w:r>
    </w:p>
    <w:p w14:paraId="4042AE5F" w14:textId="2E6D83A4" w:rsidR="00DA711B" w:rsidRPr="00422815" w:rsidRDefault="00D247EC" w:rsidP="00AE4E13">
      <w:pPr>
        <w:pStyle w:val="Paragraphe"/>
        <w:numPr>
          <w:ilvl w:val="0"/>
          <w:numId w:val="17"/>
        </w:numPr>
        <w:spacing w:line="240" w:lineRule="auto"/>
        <w:rPr>
          <w:lang w:val="fr-FR" w:eastAsia="fr-CA"/>
        </w:rPr>
      </w:pPr>
      <w:r>
        <w:rPr>
          <w:i/>
          <w:iCs/>
          <w:lang w:val="fr-FR" w:eastAsia="fr-CA"/>
        </w:rPr>
        <w:t>C</w:t>
      </w:r>
      <w:r w:rsidR="00AE4E13" w:rsidRPr="00AE4E13">
        <w:rPr>
          <w:i/>
          <w:iCs/>
          <w:lang w:val="fr-FR" w:eastAsia="fr-CA"/>
        </w:rPr>
        <w:t>alderon</w:t>
      </w:r>
      <w:r>
        <w:rPr>
          <w:i/>
          <w:iCs/>
          <w:lang w:val="fr-FR" w:eastAsia="fr-CA"/>
        </w:rPr>
        <w:t xml:space="preserve"> c. R</w:t>
      </w:r>
      <w:r w:rsidR="00CF1943" w:rsidRPr="00CF1943">
        <w:rPr>
          <w:rStyle w:val="Appelnotedebasdep"/>
          <w:i/>
          <w:iCs/>
          <w:vertAlign w:val="superscript"/>
          <w:lang w:val="fr-FR" w:eastAsia="fr-CA"/>
        </w:rPr>
        <w:footnoteReference w:id="30"/>
      </w:r>
      <w:r w:rsidR="00E23066" w:rsidRPr="00CF1943">
        <w:rPr>
          <w:i/>
          <w:iCs/>
          <w:vertAlign w:val="superscript"/>
          <w:lang w:val="fr-FR" w:eastAsia="fr-CA"/>
        </w:rPr>
        <w:t xml:space="preserve"> </w:t>
      </w:r>
    </w:p>
    <w:p w14:paraId="0393E5A2" w14:textId="1DFA1DE1" w:rsidR="00422815" w:rsidRDefault="005E1C6E" w:rsidP="0055204F">
      <w:pPr>
        <w:pStyle w:val="Paragraphe"/>
        <w:spacing w:line="240" w:lineRule="auto"/>
        <w:rPr>
          <w:lang w:val="fr-FR" w:eastAsia="fr-CA"/>
        </w:rPr>
      </w:pPr>
      <w:r>
        <w:rPr>
          <w:lang w:val="fr-FR" w:eastAsia="fr-CA"/>
        </w:rPr>
        <w:t>Dans cet arrêt</w:t>
      </w:r>
      <w:r w:rsidR="000E1215">
        <w:rPr>
          <w:lang w:val="fr-FR" w:eastAsia="fr-CA"/>
        </w:rPr>
        <w:t>,</w:t>
      </w:r>
      <w:r w:rsidR="00781CAA">
        <w:rPr>
          <w:lang w:val="fr-FR" w:eastAsia="fr-CA"/>
        </w:rPr>
        <w:t xml:space="preserve"> qui concerne un dossier de production de stupéfiants,</w:t>
      </w:r>
      <w:r>
        <w:rPr>
          <w:lang w:val="fr-FR" w:eastAsia="fr-CA"/>
        </w:rPr>
        <w:t xml:space="preserve"> on établit l’échelle des peines</w:t>
      </w:r>
      <w:r w:rsidR="000E1215">
        <w:rPr>
          <w:lang w:val="fr-FR" w:eastAsia="fr-CA"/>
        </w:rPr>
        <w:t xml:space="preserve"> </w:t>
      </w:r>
      <w:r w:rsidR="0055204F">
        <w:rPr>
          <w:lang w:val="fr-FR" w:eastAsia="fr-CA"/>
        </w:rPr>
        <w:t>relativement au trafic des méthamphétamines de 6 à 16 ans</w:t>
      </w:r>
      <w:r w:rsidR="0018336B">
        <w:rPr>
          <w:lang w:val="fr-FR" w:eastAsia="fr-CA"/>
        </w:rPr>
        <w:t>, ce qui</w:t>
      </w:r>
      <w:r w:rsidR="009F421C">
        <w:rPr>
          <w:lang w:val="fr-FR" w:eastAsia="fr-CA"/>
        </w:rPr>
        <w:t xml:space="preserve"> représente une </w:t>
      </w:r>
      <w:r w:rsidR="0018336B">
        <w:rPr>
          <w:lang w:val="fr-FR" w:eastAsia="fr-CA"/>
        </w:rPr>
        <w:t>distinction avec ce dossier</w:t>
      </w:r>
      <w:r w:rsidR="009A33A5">
        <w:rPr>
          <w:lang w:val="fr-FR" w:eastAsia="fr-CA"/>
        </w:rPr>
        <w:t>,</w:t>
      </w:r>
      <w:r w:rsidR="0018336B">
        <w:rPr>
          <w:lang w:val="fr-FR" w:eastAsia="fr-CA"/>
        </w:rPr>
        <w:t xml:space="preserve"> dans lequel on ne se rend pas</w:t>
      </w:r>
      <w:r w:rsidR="0089109F">
        <w:rPr>
          <w:lang w:val="fr-FR" w:eastAsia="fr-CA"/>
        </w:rPr>
        <w:t xml:space="preserve"> à</w:t>
      </w:r>
      <w:r w:rsidR="0018336B">
        <w:rPr>
          <w:lang w:val="fr-FR" w:eastAsia="fr-CA"/>
        </w:rPr>
        <w:t xml:space="preserve"> ces fourchettes là</w:t>
      </w:r>
      <w:r w:rsidR="00FD7C3C">
        <w:rPr>
          <w:lang w:val="fr-FR" w:eastAsia="fr-CA"/>
        </w:rPr>
        <w:t xml:space="preserve"> mais on se rapproche d</w:t>
      </w:r>
      <w:r w:rsidR="009F73E0">
        <w:rPr>
          <w:lang w:val="fr-FR" w:eastAsia="fr-CA"/>
        </w:rPr>
        <w:t>u</w:t>
      </w:r>
      <w:r w:rsidR="00FD7C3C">
        <w:rPr>
          <w:lang w:val="fr-FR" w:eastAsia="fr-CA"/>
        </w:rPr>
        <w:t xml:space="preserve"> dossier</w:t>
      </w:r>
      <w:r w:rsidR="006C3550">
        <w:rPr>
          <w:lang w:val="fr-FR" w:eastAsia="fr-CA"/>
        </w:rPr>
        <w:t xml:space="preserve"> présent</w:t>
      </w:r>
      <w:r w:rsidR="00FD7C3C">
        <w:rPr>
          <w:lang w:val="fr-FR" w:eastAsia="fr-CA"/>
        </w:rPr>
        <w:t xml:space="preserve"> sur le plan de la quantité importante des comprimés saisis</w:t>
      </w:r>
      <w:r w:rsidR="009F73E0">
        <w:rPr>
          <w:lang w:val="fr-FR" w:eastAsia="fr-CA"/>
        </w:rPr>
        <w:t>,</w:t>
      </w:r>
      <w:r w:rsidR="00FD7C3C">
        <w:rPr>
          <w:lang w:val="fr-FR" w:eastAsia="fr-CA"/>
        </w:rPr>
        <w:t xml:space="preserve"> en l’espace de quelques semaines d’intervalle seulement. </w:t>
      </w:r>
    </w:p>
    <w:p w14:paraId="762E9B8B" w14:textId="023D010C" w:rsidR="00FD7C3C" w:rsidRDefault="004C7E3D" w:rsidP="0055204F">
      <w:pPr>
        <w:pStyle w:val="Paragraphe"/>
        <w:spacing w:line="240" w:lineRule="auto"/>
        <w:rPr>
          <w:lang w:val="fr-FR" w:eastAsia="fr-CA"/>
        </w:rPr>
      </w:pPr>
      <w:r>
        <w:rPr>
          <w:lang w:val="fr-FR" w:eastAsia="fr-CA"/>
        </w:rPr>
        <w:t>L</w:t>
      </w:r>
      <w:r w:rsidR="00D34D74">
        <w:rPr>
          <w:lang w:val="fr-FR" w:eastAsia="fr-CA"/>
        </w:rPr>
        <w:t>e</w:t>
      </w:r>
      <w:r>
        <w:rPr>
          <w:lang w:val="fr-FR" w:eastAsia="fr-CA"/>
        </w:rPr>
        <w:t xml:space="preserve"> poursui</w:t>
      </w:r>
      <w:r w:rsidR="00D34D74">
        <w:rPr>
          <w:lang w:val="fr-FR" w:eastAsia="fr-CA"/>
        </w:rPr>
        <w:t>vant</w:t>
      </w:r>
      <w:r>
        <w:rPr>
          <w:lang w:val="fr-FR" w:eastAsia="fr-CA"/>
        </w:rPr>
        <w:t xml:space="preserve"> passe en revue les paragraphes 33 et 34 de cet arrêt</w:t>
      </w:r>
      <w:r w:rsidR="00B310F5">
        <w:rPr>
          <w:lang w:val="fr-FR" w:eastAsia="fr-CA"/>
        </w:rPr>
        <w:t>,</w:t>
      </w:r>
      <w:r w:rsidR="00BB2D22">
        <w:rPr>
          <w:lang w:val="fr-FR" w:eastAsia="fr-CA"/>
        </w:rPr>
        <w:t xml:space="preserve"> </w:t>
      </w:r>
      <w:r w:rsidR="00B310F5">
        <w:rPr>
          <w:lang w:val="fr-FR" w:eastAsia="fr-CA"/>
        </w:rPr>
        <w:t xml:space="preserve">dans </w:t>
      </w:r>
      <w:r w:rsidR="000C7EFF">
        <w:rPr>
          <w:lang w:val="fr-FR" w:eastAsia="fr-CA"/>
        </w:rPr>
        <w:t>lesquels</w:t>
      </w:r>
      <w:r w:rsidR="00B310F5">
        <w:rPr>
          <w:lang w:val="fr-FR" w:eastAsia="fr-CA"/>
        </w:rPr>
        <w:t xml:space="preserve"> la Cour</w:t>
      </w:r>
      <w:r w:rsidR="00891101">
        <w:rPr>
          <w:lang w:val="fr-FR" w:eastAsia="fr-CA"/>
        </w:rPr>
        <w:t xml:space="preserve"> </w:t>
      </w:r>
      <w:r w:rsidR="00CB7C22">
        <w:rPr>
          <w:lang w:val="fr-FR" w:eastAsia="fr-CA"/>
        </w:rPr>
        <w:t xml:space="preserve">se réfère à l’arrêt </w:t>
      </w:r>
      <w:r w:rsidR="00CB7C22" w:rsidRPr="00D34D74">
        <w:rPr>
          <w:i/>
          <w:iCs/>
          <w:lang w:val="fr-FR" w:eastAsia="fr-CA"/>
        </w:rPr>
        <w:t>Ricard</w:t>
      </w:r>
      <w:r w:rsidR="00AE6D95">
        <w:rPr>
          <w:i/>
          <w:iCs/>
          <w:lang w:val="fr-FR" w:eastAsia="fr-CA"/>
        </w:rPr>
        <w:t>,</w:t>
      </w:r>
      <w:r w:rsidR="00D34D74">
        <w:rPr>
          <w:lang w:val="fr-FR" w:eastAsia="fr-CA"/>
        </w:rPr>
        <w:t xml:space="preserve"> m</w:t>
      </w:r>
      <w:r w:rsidR="00CB7C22">
        <w:rPr>
          <w:lang w:val="fr-FR" w:eastAsia="fr-CA"/>
        </w:rPr>
        <w:t xml:space="preserve">ais </w:t>
      </w:r>
      <w:r w:rsidR="00AE6D95">
        <w:rPr>
          <w:lang w:val="fr-FR" w:eastAsia="fr-CA"/>
        </w:rPr>
        <w:t xml:space="preserve">le poursuivant </w:t>
      </w:r>
      <w:r w:rsidR="00CB7C22">
        <w:rPr>
          <w:lang w:val="fr-FR" w:eastAsia="fr-CA"/>
        </w:rPr>
        <w:t>s’attarde surtout sur le paragraphe 17, à travers lequel elle fait le lien avec le dossier sous étude.</w:t>
      </w:r>
    </w:p>
    <w:p w14:paraId="36EE3192" w14:textId="77777777" w:rsidR="00CB7C22" w:rsidRPr="00CB7C22" w:rsidRDefault="00CB7C22" w:rsidP="00CB7C22">
      <w:pPr>
        <w:pStyle w:val="Citationenretrait"/>
        <w:rPr>
          <w:lang w:eastAsia="fr-CA"/>
        </w:rPr>
      </w:pPr>
      <w:r w:rsidRPr="00CB7C22">
        <w:rPr>
          <w:lang w:eastAsia="fr-CA"/>
        </w:rPr>
        <w:t>[</w:t>
      </w:r>
      <w:bookmarkStart w:id="12" w:name="par17"/>
      <w:r w:rsidRPr="00CB7C22">
        <w:rPr>
          <w:lang w:eastAsia="fr-CA"/>
        </w:rPr>
        <w:t>17</w:t>
      </w:r>
      <w:bookmarkEnd w:id="12"/>
      <w:r w:rsidRPr="00CB7C22">
        <w:rPr>
          <w:lang w:eastAsia="fr-CA"/>
        </w:rPr>
        <w:t>]</w:t>
      </w:r>
      <w:r w:rsidRPr="00CB7C22">
        <w:rPr>
          <w:rFonts w:ascii="Times New Roman" w:hAnsi="Times New Roman"/>
          <w:sz w:val="14"/>
          <w:szCs w:val="14"/>
          <w:lang w:eastAsia="fr-CA"/>
        </w:rPr>
        <w:t>        </w:t>
      </w:r>
      <w:r w:rsidRPr="00CB7C22">
        <w:rPr>
          <w:lang w:eastAsia="fr-CA"/>
        </w:rPr>
        <w:t>En ce qui a trait aux facteurs aggravants, il en relève plusieurs, à savoir :</w:t>
      </w:r>
    </w:p>
    <w:p w14:paraId="6AF08866" w14:textId="77777777" w:rsidR="00CB7C22" w:rsidRPr="00CB7C22" w:rsidRDefault="00CB7C22" w:rsidP="00CB7C22">
      <w:pPr>
        <w:pStyle w:val="Citationenretrait"/>
        <w:rPr>
          <w:lang w:eastAsia="fr-CA"/>
        </w:rPr>
      </w:pPr>
      <w:r w:rsidRPr="00CB7C22">
        <w:rPr>
          <w:lang w:eastAsia="fr-CA"/>
        </w:rPr>
        <w:t>a)</w:t>
      </w:r>
      <w:r w:rsidRPr="00CB7C22">
        <w:rPr>
          <w:rFonts w:ascii="Times New Roman" w:hAnsi="Times New Roman"/>
          <w:sz w:val="14"/>
          <w:szCs w:val="14"/>
          <w:lang w:eastAsia="fr-CA"/>
        </w:rPr>
        <w:t>   </w:t>
      </w:r>
      <w:r w:rsidRPr="00CB7C22">
        <w:rPr>
          <w:u w:val="single"/>
          <w:lang w:eastAsia="fr-CA"/>
        </w:rPr>
        <w:t>La nature de la drogue</w:t>
      </w:r>
      <w:r w:rsidRPr="00CB7C22">
        <w:rPr>
          <w:lang w:eastAsia="fr-CA"/>
        </w:rPr>
        <w:t> : la méthamphétamine est une drogue de synthèse extrêmement dangereuse et le requérant était au courant des effets négatifs de cette drogue;</w:t>
      </w:r>
    </w:p>
    <w:p w14:paraId="28ADB382" w14:textId="77777777" w:rsidR="00CB7C22" w:rsidRPr="00CB7C22" w:rsidRDefault="00CB7C22" w:rsidP="00CB7C22">
      <w:pPr>
        <w:pStyle w:val="Citationenretrait"/>
        <w:rPr>
          <w:lang w:eastAsia="fr-CA"/>
        </w:rPr>
      </w:pPr>
      <w:r w:rsidRPr="00CB7C22">
        <w:rPr>
          <w:lang w:eastAsia="fr-CA"/>
        </w:rPr>
        <w:t>b)</w:t>
      </w:r>
      <w:r w:rsidRPr="00CB7C22">
        <w:rPr>
          <w:rFonts w:ascii="Times New Roman" w:hAnsi="Times New Roman"/>
          <w:sz w:val="14"/>
          <w:szCs w:val="14"/>
          <w:lang w:eastAsia="fr-CA"/>
        </w:rPr>
        <w:t>   </w:t>
      </w:r>
      <w:r w:rsidRPr="00CB7C22">
        <w:rPr>
          <w:u w:val="single"/>
          <w:lang w:eastAsia="fr-CA"/>
        </w:rPr>
        <w:t>L’organisation</w:t>
      </w:r>
      <w:r w:rsidRPr="00CB7C22">
        <w:rPr>
          <w:lang w:eastAsia="fr-CA"/>
        </w:rPr>
        <w:t> : le requérant travaillait pour une organisation criminelle très bien structurée;</w:t>
      </w:r>
    </w:p>
    <w:p w14:paraId="2ACC3ED8" w14:textId="77777777" w:rsidR="00CB7C22" w:rsidRPr="00CB7C22" w:rsidRDefault="00CB7C22" w:rsidP="00CB7C22">
      <w:pPr>
        <w:pStyle w:val="Citationenretrait"/>
        <w:rPr>
          <w:lang w:eastAsia="fr-CA"/>
        </w:rPr>
      </w:pPr>
      <w:r w:rsidRPr="00CB7C22">
        <w:rPr>
          <w:lang w:eastAsia="fr-CA"/>
        </w:rPr>
        <w:t>c)</w:t>
      </w:r>
      <w:r w:rsidRPr="00CB7C22">
        <w:rPr>
          <w:rFonts w:ascii="Times New Roman" w:hAnsi="Times New Roman"/>
          <w:sz w:val="14"/>
          <w:szCs w:val="14"/>
          <w:lang w:eastAsia="fr-CA"/>
        </w:rPr>
        <w:t>   </w:t>
      </w:r>
      <w:r w:rsidRPr="00CB7C22">
        <w:rPr>
          <w:u w:val="single"/>
          <w:lang w:eastAsia="fr-CA"/>
        </w:rPr>
        <w:t>La quantité de drogue</w:t>
      </w:r>
      <w:r w:rsidRPr="00CB7C22">
        <w:rPr>
          <w:lang w:eastAsia="fr-CA"/>
        </w:rPr>
        <w:t> : l’organisation produisait et pouvait produire des quantités astronomiques de méthamphétamine;</w:t>
      </w:r>
    </w:p>
    <w:p w14:paraId="7893BC48" w14:textId="77777777" w:rsidR="00CB7C22" w:rsidRPr="00CB7C22" w:rsidRDefault="00CB7C22" w:rsidP="00CB7C22">
      <w:pPr>
        <w:pStyle w:val="Citationenretrait"/>
        <w:rPr>
          <w:lang w:eastAsia="fr-CA"/>
        </w:rPr>
      </w:pPr>
      <w:r w:rsidRPr="00CB7C22">
        <w:rPr>
          <w:lang w:eastAsia="fr-CA"/>
        </w:rPr>
        <w:t>d)</w:t>
      </w:r>
      <w:r w:rsidRPr="00CB7C22">
        <w:rPr>
          <w:rFonts w:ascii="Times New Roman" w:hAnsi="Times New Roman"/>
          <w:sz w:val="14"/>
          <w:szCs w:val="14"/>
          <w:lang w:eastAsia="fr-CA"/>
        </w:rPr>
        <w:t>   </w:t>
      </w:r>
      <w:r w:rsidRPr="00CB7C22">
        <w:rPr>
          <w:u w:val="single"/>
          <w:lang w:eastAsia="fr-CA"/>
        </w:rPr>
        <w:t>Les dangers inhérents à la vie humaine</w:t>
      </w:r>
      <w:r w:rsidRPr="00CB7C22">
        <w:rPr>
          <w:lang w:eastAsia="fr-CA"/>
        </w:rPr>
        <w:t> : les laboratoires démantelés étaient à proximité de quartiers résidentiels, démontrant un mépris pour la santé publique;</w:t>
      </w:r>
    </w:p>
    <w:p w14:paraId="56AB11DD" w14:textId="77777777" w:rsidR="00CB7C22" w:rsidRPr="00CB7C22" w:rsidRDefault="00CB7C22" w:rsidP="00CB7C22">
      <w:pPr>
        <w:pStyle w:val="Citationenretrait"/>
        <w:rPr>
          <w:lang w:eastAsia="fr-CA"/>
        </w:rPr>
      </w:pPr>
      <w:r w:rsidRPr="00CB7C22">
        <w:rPr>
          <w:lang w:eastAsia="fr-CA"/>
        </w:rPr>
        <w:t>e)</w:t>
      </w:r>
      <w:r w:rsidRPr="00CB7C22">
        <w:rPr>
          <w:rFonts w:ascii="Times New Roman" w:hAnsi="Times New Roman"/>
          <w:sz w:val="14"/>
          <w:szCs w:val="14"/>
          <w:lang w:eastAsia="fr-CA"/>
        </w:rPr>
        <w:t>   </w:t>
      </w:r>
      <w:r w:rsidRPr="00CB7C22">
        <w:rPr>
          <w:u w:val="single"/>
          <w:lang w:eastAsia="fr-CA"/>
        </w:rPr>
        <w:t>Son rôle</w:t>
      </w:r>
      <w:r w:rsidRPr="00CB7C22">
        <w:rPr>
          <w:lang w:eastAsia="fr-CA"/>
        </w:rPr>
        <w:t> : le requérant avait un rôle déterminant dans l’organisation criminelle, il était une ressource importante et un pilier de l’organisation;</w:t>
      </w:r>
    </w:p>
    <w:p w14:paraId="7BD920ED" w14:textId="77777777" w:rsidR="00CB7C22" w:rsidRPr="00CB7C22" w:rsidRDefault="00CB7C22" w:rsidP="00CB7C22">
      <w:pPr>
        <w:pStyle w:val="Citationenretrait"/>
        <w:rPr>
          <w:lang w:eastAsia="fr-CA"/>
        </w:rPr>
      </w:pPr>
      <w:r w:rsidRPr="00CB7C22">
        <w:rPr>
          <w:lang w:eastAsia="fr-CA"/>
        </w:rPr>
        <w:t>f)</w:t>
      </w:r>
      <w:r w:rsidRPr="00CB7C22">
        <w:rPr>
          <w:rFonts w:ascii="Times New Roman" w:hAnsi="Times New Roman"/>
          <w:sz w:val="14"/>
          <w:szCs w:val="14"/>
          <w:lang w:eastAsia="fr-CA"/>
        </w:rPr>
        <w:t>     </w:t>
      </w:r>
      <w:r w:rsidRPr="00CB7C22">
        <w:rPr>
          <w:u w:val="single"/>
          <w:lang w:eastAsia="fr-CA"/>
        </w:rPr>
        <w:t>Son mode de vie</w:t>
      </w:r>
      <w:r w:rsidRPr="00CB7C22">
        <w:rPr>
          <w:lang w:eastAsia="fr-CA"/>
        </w:rPr>
        <w:t> : le requérant est fier de travailler pour l’organisation criminelle, il n’a peur de rien et ne s’arrête pas malgré les frappes et perquisitions qui ont lieu.</w:t>
      </w:r>
    </w:p>
    <w:p w14:paraId="58083116" w14:textId="568C2732" w:rsidR="00CB7C22" w:rsidRDefault="00E64202" w:rsidP="00F43E4D">
      <w:pPr>
        <w:pStyle w:val="Paragraphe"/>
        <w:tabs>
          <w:tab w:val="clear" w:pos="360"/>
          <w:tab w:val="num" w:pos="0"/>
        </w:tabs>
        <w:spacing w:line="240" w:lineRule="auto"/>
      </w:pPr>
      <w:r>
        <w:t>L</w:t>
      </w:r>
      <w:r w:rsidR="0056638B">
        <w:t>e</w:t>
      </w:r>
      <w:r>
        <w:t xml:space="preserve"> poursui</w:t>
      </w:r>
      <w:r w:rsidR="0056638B">
        <w:t xml:space="preserve">vant </w:t>
      </w:r>
      <w:r w:rsidR="00F43E4D">
        <w:t xml:space="preserve">précise que si ce n’est de la réhabilitation convaincante de l’accusé dans ce dossier, sa suggestion de peine à </w:t>
      </w:r>
      <w:r w:rsidR="005513B7">
        <w:t>infliger</w:t>
      </w:r>
      <w:r w:rsidR="00F43E4D">
        <w:t xml:space="preserve"> </w:t>
      </w:r>
      <w:r w:rsidR="00DB1E8A">
        <w:t xml:space="preserve">à ce dernier </w:t>
      </w:r>
      <w:r w:rsidR="00F43E4D">
        <w:t>aurait été nettement plus élevé</w:t>
      </w:r>
      <w:r w:rsidR="005513B7">
        <w:t>e</w:t>
      </w:r>
      <w:r w:rsidR="00F43E4D">
        <w:t xml:space="preserve"> qu’une</w:t>
      </w:r>
      <w:r w:rsidR="00F02F96">
        <w:t xml:space="preserve"> peine d’emprisonnement</w:t>
      </w:r>
      <w:r w:rsidR="00F43E4D">
        <w:t xml:space="preserve"> de trois ans.  </w:t>
      </w:r>
    </w:p>
    <w:p w14:paraId="784A09FB" w14:textId="3685DD42" w:rsidR="00CF1943" w:rsidRPr="00CE60EA" w:rsidRDefault="00CF1943" w:rsidP="00CF1943">
      <w:pPr>
        <w:pStyle w:val="Paragraphe"/>
        <w:numPr>
          <w:ilvl w:val="0"/>
          <w:numId w:val="17"/>
        </w:numPr>
        <w:spacing w:line="240" w:lineRule="auto"/>
        <w:rPr>
          <w:vertAlign w:val="superscript"/>
        </w:rPr>
      </w:pPr>
      <w:r w:rsidRPr="00CF1943">
        <w:rPr>
          <w:i/>
          <w:iCs/>
        </w:rPr>
        <w:t>R</w:t>
      </w:r>
      <w:r>
        <w:t>. c</w:t>
      </w:r>
      <w:r w:rsidRPr="00CF1943">
        <w:rPr>
          <w:i/>
          <w:iCs/>
        </w:rPr>
        <w:t>. Liliane Blais</w:t>
      </w:r>
      <w:r w:rsidRPr="00CF1943">
        <w:rPr>
          <w:rStyle w:val="Appelnotedebasdep"/>
          <w:i/>
          <w:iCs/>
          <w:vertAlign w:val="superscript"/>
        </w:rPr>
        <w:footnoteReference w:id="31"/>
      </w:r>
    </w:p>
    <w:p w14:paraId="48860D56" w14:textId="4DCD4508" w:rsidR="00CE60EA" w:rsidRDefault="00CE60EA" w:rsidP="008F0A2E">
      <w:pPr>
        <w:pStyle w:val="Paragraphe"/>
        <w:tabs>
          <w:tab w:val="clear" w:pos="360"/>
          <w:tab w:val="num" w:pos="0"/>
        </w:tabs>
        <w:spacing w:line="240" w:lineRule="auto"/>
      </w:pPr>
      <w:r w:rsidRPr="00CE60EA">
        <w:t>Dans ce jugement on relie</w:t>
      </w:r>
      <w:r w:rsidR="00335B8B">
        <w:t xml:space="preserve"> l’</w:t>
      </w:r>
      <w:r w:rsidR="00CA72EC">
        <w:t>accusée</w:t>
      </w:r>
      <w:r w:rsidRPr="00CE60EA">
        <w:t xml:space="preserve"> à environ 50 000 comprimés</w:t>
      </w:r>
      <w:r w:rsidR="00AF42D8">
        <w:t xml:space="preserve"> de méthamphétamine et </w:t>
      </w:r>
      <w:r w:rsidR="008F0A2E">
        <w:t>on met l’accent surtout sur les ravages causés par</w:t>
      </w:r>
      <w:r w:rsidR="002F1159">
        <w:t xml:space="preserve"> cette substance néfaste</w:t>
      </w:r>
      <w:r w:rsidR="008F0A2E">
        <w:t>, qui a été incluse à l’annexe</w:t>
      </w:r>
      <w:r w:rsidR="00CA72EC">
        <w:t xml:space="preserve"> I</w:t>
      </w:r>
      <w:r w:rsidR="008F0A2E">
        <w:t xml:space="preserve"> de </w:t>
      </w:r>
      <w:r w:rsidR="008F0A2E" w:rsidRPr="008F0A2E">
        <w:rPr>
          <w:i/>
          <w:iCs/>
        </w:rPr>
        <w:t>la loi réglementant certaines drogues et autres substances</w:t>
      </w:r>
      <w:r w:rsidR="008F0A2E">
        <w:t xml:space="preserve">. </w:t>
      </w:r>
      <w:r w:rsidR="004E33AB">
        <w:t>L</w:t>
      </w:r>
      <w:r w:rsidR="004C4705">
        <w:t>e</w:t>
      </w:r>
      <w:r w:rsidR="004E33AB">
        <w:t xml:space="preserve"> poursui</w:t>
      </w:r>
      <w:r w:rsidR="004C4705">
        <w:t>vant</w:t>
      </w:r>
      <w:r w:rsidR="004E33AB">
        <w:t xml:space="preserve"> soulève, principalement, l’importance des peines applicables en matière de trafic de méthamphétamine.</w:t>
      </w:r>
    </w:p>
    <w:p w14:paraId="630F39FE" w14:textId="659B40F1" w:rsidR="00DB7129" w:rsidRDefault="000310A2" w:rsidP="008F0A2E">
      <w:pPr>
        <w:pStyle w:val="Paragraphe"/>
        <w:tabs>
          <w:tab w:val="clear" w:pos="360"/>
          <w:tab w:val="num" w:pos="0"/>
        </w:tabs>
        <w:spacing w:line="240" w:lineRule="auto"/>
      </w:pPr>
      <w:r>
        <w:t xml:space="preserve">Ce jugement est intervenu dans un dossier </w:t>
      </w:r>
      <w:r w:rsidR="009B2C70">
        <w:t>mettant en cause</w:t>
      </w:r>
      <w:r>
        <w:t xml:space="preserve"> plusieurs coaccusés</w:t>
      </w:r>
      <w:r w:rsidR="009B2C70">
        <w:t xml:space="preserve"> impliqués dans un réseau de trafic de stupéfiants</w:t>
      </w:r>
      <w:r w:rsidR="00480FA4">
        <w:t>, ce qui ressemble</w:t>
      </w:r>
      <w:r>
        <w:t xml:space="preserve"> au présent dossier</w:t>
      </w:r>
      <w:r w:rsidR="009B2C70">
        <w:t>.</w:t>
      </w:r>
      <w:r w:rsidR="006D7B7C">
        <w:t xml:space="preserve"> L</w:t>
      </w:r>
      <w:r w:rsidR="008104DE">
        <w:t xml:space="preserve">’honorable </w:t>
      </w:r>
      <w:r w:rsidR="00F75CC3">
        <w:t>Serge Francoeur a fait état</w:t>
      </w:r>
      <w:r w:rsidR="009B2C70">
        <w:t xml:space="preserve"> des peines prononcées contre les autres co-accusés</w:t>
      </w:r>
      <w:r w:rsidR="00F75CC3">
        <w:t xml:space="preserve"> dans le même dossier</w:t>
      </w:r>
      <w:r w:rsidR="00DB7129">
        <w:t>.</w:t>
      </w:r>
    </w:p>
    <w:p w14:paraId="2A61EF27" w14:textId="75FB652B" w:rsidR="0030452A" w:rsidRDefault="00DB7129" w:rsidP="008F0A2E">
      <w:pPr>
        <w:pStyle w:val="Paragraphe"/>
        <w:tabs>
          <w:tab w:val="clear" w:pos="360"/>
          <w:tab w:val="num" w:pos="0"/>
        </w:tabs>
        <w:spacing w:line="240" w:lineRule="auto"/>
      </w:pPr>
      <w:r>
        <w:t xml:space="preserve"> En référence à ce jugement, l</w:t>
      </w:r>
      <w:r w:rsidR="004C4705">
        <w:t>e</w:t>
      </w:r>
      <w:r>
        <w:t xml:space="preserve"> poursui</w:t>
      </w:r>
      <w:r w:rsidR="004C4705">
        <w:t>vant</w:t>
      </w:r>
      <w:r>
        <w:t xml:space="preserve"> insiste sur l’objectif de la dissuasion dans la détermination de la peine</w:t>
      </w:r>
      <w:r w:rsidR="008A574C">
        <w:t xml:space="preserve">, surtout qu’au niveau de la quantité saisie des </w:t>
      </w:r>
      <w:r w:rsidR="004C4705">
        <w:t>substances illicites</w:t>
      </w:r>
      <w:r w:rsidR="008A574C">
        <w:t xml:space="preserve">, on se rapproche des chiffres qui sont d’habitude liés </w:t>
      </w:r>
      <w:r w:rsidR="0030452A">
        <w:t>à la</w:t>
      </w:r>
      <w:r w:rsidR="008A574C">
        <w:t xml:space="preserve"> production des stupéfiants.</w:t>
      </w:r>
      <w:r w:rsidR="0030452A">
        <w:t xml:space="preserve"> </w:t>
      </w:r>
    </w:p>
    <w:p w14:paraId="25BF9643" w14:textId="519C81CB" w:rsidR="000310A2" w:rsidRPr="00CE60EA" w:rsidRDefault="0030452A" w:rsidP="004864A6">
      <w:pPr>
        <w:pStyle w:val="Paragraphe"/>
        <w:tabs>
          <w:tab w:val="clear" w:pos="360"/>
          <w:tab w:val="num" w:pos="0"/>
        </w:tabs>
        <w:spacing w:line="240" w:lineRule="auto"/>
      </w:pPr>
      <w:r>
        <w:t>Par conséquent</w:t>
      </w:r>
      <w:r w:rsidR="007B7950">
        <w:t>,</w:t>
      </w:r>
      <w:r>
        <w:t xml:space="preserve"> l</w:t>
      </w:r>
      <w:r w:rsidR="00CE2643">
        <w:t>e</w:t>
      </w:r>
      <w:r>
        <w:t xml:space="preserve"> poursui</w:t>
      </w:r>
      <w:r w:rsidR="00CE2643">
        <w:t>vant</w:t>
      </w:r>
      <w:r>
        <w:t xml:space="preserve"> considère que la suggestion </w:t>
      </w:r>
      <w:r w:rsidR="009B3467">
        <w:t xml:space="preserve">dans ce dossier, </w:t>
      </w:r>
      <w:r>
        <w:t xml:space="preserve">d’une peine de </w:t>
      </w:r>
      <w:r w:rsidR="00CE2643">
        <w:t>trois</w:t>
      </w:r>
      <w:r>
        <w:t xml:space="preserve"> ans</w:t>
      </w:r>
      <w:r w:rsidR="00B60375">
        <w:t>,</w:t>
      </w:r>
      <w:r>
        <w:t xml:space="preserve"> qui tient compte du rapport présentenciel positif</w:t>
      </w:r>
      <w:r w:rsidR="00D22BA8">
        <w:t xml:space="preserve"> </w:t>
      </w:r>
      <w:r>
        <w:t>fai</w:t>
      </w:r>
      <w:r w:rsidR="00D22BA8">
        <w:t>sant</w:t>
      </w:r>
      <w:r>
        <w:t xml:space="preserve"> état d’une réhabilitation convaincante, reste clémente</w:t>
      </w:r>
      <w:r w:rsidR="00D22BA8">
        <w:t xml:space="preserve"> envers l’accusé fortement impliqué dans le réseau de trafic de</w:t>
      </w:r>
      <w:r w:rsidR="00CE2643">
        <w:t>s</w:t>
      </w:r>
      <w:r w:rsidR="00D22BA8">
        <w:t xml:space="preserve"> stupéfiants</w:t>
      </w:r>
      <w:r w:rsidR="00FA30F3">
        <w:t>,</w:t>
      </w:r>
      <w:r w:rsidR="00B60375">
        <w:t xml:space="preserve"> surtout </w:t>
      </w:r>
      <w:r w:rsidR="007B7950">
        <w:t>qu</w:t>
      </w:r>
      <w:r w:rsidR="00B60375">
        <w:t xml:space="preserve">’il </w:t>
      </w:r>
      <w:r w:rsidR="007B7950">
        <w:t xml:space="preserve">demeure </w:t>
      </w:r>
      <w:r w:rsidR="00CE2643">
        <w:t>toujours</w:t>
      </w:r>
      <w:r w:rsidR="007B7950">
        <w:t xml:space="preserve"> à la même adresse et </w:t>
      </w:r>
      <w:r w:rsidR="00CE2643">
        <w:t>qu</w:t>
      </w:r>
      <w:r w:rsidR="00FA30F3">
        <w:t xml:space="preserve">’il </w:t>
      </w:r>
      <w:r w:rsidR="007B7950">
        <w:t>a une augmentation remarquable de revenus</w:t>
      </w:r>
      <w:r w:rsidR="00FA30F3">
        <w:t>,</w:t>
      </w:r>
      <w:r w:rsidR="007B7950">
        <w:t xml:space="preserve"> sans preuve convaincante de </w:t>
      </w:r>
      <w:r w:rsidR="00CE2643">
        <w:t>ressources à ce sujet</w:t>
      </w:r>
      <w:r w:rsidR="006A355B">
        <w:t>.</w:t>
      </w:r>
    </w:p>
    <w:p w14:paraId="1B58C9C4" w14:textId="77777777" w:rsidR="00F1201A" w:rsidRDefault="00F1201A" w:rsidP="00F1201A">
      <w:pPr>
        <w:pStyle w:val="Titre1"/>
      </w:pPr>
      <w:r w:rsidRPr="00BE113F">
        <w:t>CONCLUSION</w:t>
      </w:r>
    </w:p>
    <w:p w14:paraId="384114FB" w14:textId="7ECBB43C" w:rsidR="005D4769" w:rsidRPr="00173D81" w:rsidRDefault="005D4769" w:rsidP="00F85267">
      <w:pPr>
        <w:pStyle w:val="Paragraphe"/>
        <w:tabs>
          <w:tab w:val="clear" w:pos="360"/>
          <w:tab w:val="num" w:pos="0"/>
        </w:tabs>
        <w:spacing w:line="240" w:lineRule="auto"/>
      </w:pPr>
      <w:r w:rsidRPr="00173D81">
        <w:t>La peine appropriée doit prendre en considération la gravité de</w:t>
      </w:r>
      <w:r w:rsidR="00173D81" w:rsidRPr="00173D81">
        <w:t xml:space="preserve"> l'infraction commise par l'accusé.</w:t>
      </w:r>
    </w:p>
    <w:p w14:paraId="33CEC48A" w14:textId="39BA5F91" w:rsidR="005D4769" w:rsidRPr="00173D81" w:rsidRDefault="005D4769" w:rsidP="008505DD">
      <w:pPr>
        <w:pStyle w:val="Paragraphe"/>
        <w:tabs>
          <w:tab w:val="clear" w:pos="360"/>
          <w:tab w:val="num" w:pos="0"/>
        </w:tabs>
        <w:spacing w:line="240" w:lineRule="auto"/>
      </w:pPr>
      <w:r w:rsidRPr="00173D81">
        <w:t xml:space="preserve"> Dans de telles circonstances, la détermination de la peine doit prioriser les objectifs de la dénonciation et de la dissuasion (tant particulière que générale). La peine doit refléter et communiquer de façon claire les valeurs de notre société</w:t>
      </w:r>
      <w:r w:rsidR="006D55B8">
        <w:t xml:space="preserve">, </w:t>
      </w:r>
      <w:r w:rsidRPr="00173D81">
        <w:t xml:space="preserve">à savoir, qu’elle n’a aucune tolérance pour </w:t>
      </w:r>
      <w:r w:rsidR="00173D81" w:rsidRPr="00173D81">
        <w:t>le trafic de substances illicites et nocives.</w:t>
      </w:r>
    </w:p>
    <w:p w14:paraId="7FA15AB2" w14:textId="3469920D" w:rsidR="005D4769" w:rsidRPr="004F4AEF" w:rsidRDefault="005D4769" w:rsidP="00D378C6">
      <w:pPr>
        <w:pStyle w:val="Paragraphe"/>
        <w:tabs>
          <w:tab w:val="clear" w:pos="360"/>
          <w:tab w:val="num" w:pos="0"/>
        </w:tabs>
        <w:spacing w:line="240" w:lineRule="auto"/>
      </w:pPr>
      <w:r w:rsidRPr="00173D81">
        <w:t>Ce qui précède ne nie pas la pertinence de la réadaptation et la réinsertion sociale de l’accusé dans la détermination de la peine.</w:t>
      </w:r>
      <w:r w:rsidR="00173D81">
        <w:t xml:space="preserve"> </w:t>
      </w:r>
      <w:r w:rsidRPr="00173D81">
        <w:t>La peine qui sera imposée prend en compte les circonstances subjectives de l’accusé, y compris son passé, son âge, son historique de travail, l’absence d’antécédents judiciaires en semblable matière, et l’absence de récidive depuis le dépôt des accusations</w:t>
      </w:r>
      <w:r w:rsidR="00D033E8">
        <w:t>,</w:t>
      </w:r>
      <w:r w:rsidRPr="00173D81">
        <w:t xml:space="preserve"> il y a plus de</w:t>
      </w:r>
      <w:r w:rsidR="006D55B8">
        <w:t xml:space="preserve"> trois</w:t>
      </w:r>
      <w:r w:rsidRPr="00173D81">
        <w:t xml:space="preserve"> ans.</w:t>
      </w:r>
      <w:r w:rsidR="00173D81">
        <w:t xml:space="preserve"> L</w:t>
      </w:r>
      <w:r w:rsidRPr="00173D81">
        <w:t xml:space="preserve">e Tribunal accorde à </w:t>
      </w:r>
      <w:r w:rsidRPr="004F4AEF">
        <w:t xml:space="preserve">l’accusé le bénéfice du doute quant à la sincérité des remords qu’il a exprimés. </w:t>
      </w:r>
    </w:p>
    <w:p w14:paraId="6C215C77" w14:textId="61DE11B5" w:rsidR="005D4769" w:rsidRPr="004F4AEF" w:rsidRDefault="005D4769" w:rsidP="007B51C6">
      <w:pPr>
        <w:pStyle w:val="Paragraphe"/>
        <w:tabs>
          <w:tab w:val="clear" w:pos="360"/>
          <w:tab w:val="num" w:pos="0"/>
        </w:tabs>
        <w:spacing w:line="240" w:lineRule="auto"/>
      </w:pPr>
      <w:r w:rsidRPr="004F4AEF">
        <w:t xml:space="preserve">Mais tout en reconnaissant l’importance de favoriser la réinsertion sociale de l’accusé, la peine </w:t>
      </w:r>
      <w:r w:rsidR="004F4AEF" w:rsidRPr="004F4AEF">
        <w:t>doit respecter l</w:t>
      </w:r>
      <w:r w:rsidRPr="004F4AEF">
        <w:t>es principes de dénonciation et de dissuasion générale exige</w:t>
      </w:r>
      <w:r w:rsidR="004F4AEF" w:rsidRPr="004F4AEF">
        <w:t>a</w:t>
      </w:r>
      <w:r w:rsidRPr="004F4AEF">
        <w:t xml:space="preserve">nt </w:t>
      </w:r>
      <w:r w:rsidR="004F4AEF" w:rsidRPr="004F4AEF">
        <w:t>qu'</w:t>
      </w:r>
      <w:r w:rsidRPr="004F4AEF">
        <w:t>une peine</w:t>
      </w:r>
      <w:r w:rsidR="004F4AEF" w:rsidRPr="004F4AEF">
        <w:t xml:space="preserve"> ne doit pas être </w:t>
      </w:r>
      <w:r w:rsidRPr="004F4AEF">
        <w:t>perçue comme étant</w:t>
      </w:r>
      <w:r w:rsidR="004F4AEF" w:rsidRPr="004F4AEF">
        <w:t xml:space="preserve"> </w:t>
      </w:r>
      <w:r w:rsidRPr="004F4AEF">
        <w:t>une simple tape sur les doigts.  Avec égard pour l’opinion contraire, le Tribunal ne considère pas qu'une peine</w:t>
      </w:r>
      <w:r w:rsidR="004F4AEF" w:rsidRPr="004F4AEF">
        <w:t xml:space="preserve"> de deux ans moins un jour </w:t>
      </w:r>
      <w:r w:rsidRPr="004F4AEF">
        <w:t>soit suffisante pour faire avancer ces principes.</w:t>
      </w:r>
    </w:p>
    <w:p w14:paraId="56E54088" w14:textId="77777777" w:rsidR="005D4769" w:rsidRPr="004F4AEF" w:rsidRDefault="005D4769" w:rsidP="006A38EB">
      <w:pPr>
        <w:pStyle w:val="Paragraphe"/>
        <w:tabs>
          <w:tab w:val="clear" w:pos="360"/>
          <w:tab w:val="num" w:pos="0"/>
        </w:tabs>
        <w:spacing w:line="240" w:lineRule="auto"/>
        <w:rPr>
          <w:rFonts w:eastAsia="Arial Unicode MS"/>
        </w:rPr>
      </w:pPr>
      <w:r w:rsidRPr="004F4AEF">
        <w:rPr>
          <w:rFonts w:eastAsia="Arial Unicode MS"/>
        </w:rPr>
        <w:t>En l'espèce, la proportionnalité et les objectifs de dénonciation et de dissuasion générale exigent une peine privative de liberté.  Les principes de parité, de modération et l'objectif de réadaptation permettent de déterminer la durée de la peine.</w:t>
      </w:r>
    </w:p>
    <w:p w14:paraId="22AAC936" w14:textId="2ED15E32" w:rsidR="005D4769" w:rsidRPr="004F4AEF" w:rsidRDefault="005D4769" w:rsidP="008E0E02">
      <w:pPr>
        <w:pStyle w:val="Paragraphe"/>
        <w:tabs>
          <w:tab w:val="clear" w:pos="360"/>
          <w:tab w:val="num" w:pos="0"/>
        </w:tabs>
        <w:spacing w:line="240" w:lineRule="auto"/>
      </w:pPr>
      <w:r w:rsidRPr="004F4AEF">
        <w:t>La peine à être imposée doit évidemment considérer les peines prononcées par nos Tribunaux dans des cas semblables.  Lors de l’examen des peines prononcées pour des affaires semblables, on était en mesure de constater que les peines imposées</w:t>
      </w:r>
      <w:r w:rsidR="00794A1B">
        <w:t>, à titre indicatif,</w:t>
      </w:r>
      <w:r w:rsidRPr="004F4AEF">
        <w:t xml:space="preserve"> pouvaient varier de l’emprisonnement ferme de </w:t>
      </w:r>
      <w:r w:rsidR="00234FE8">
        <w:t>quelques</w:t>
      </w:r>
      <w:r w:rsidR="00B058F4">
        <w:t xml:space="preserve"> </w:t>
      </w:r>
      <w:r w:rsidR="00B912BA">
        <w:t>années</w:t>
      </w:r>
      <w:r w:rsidR="00234FE8">
        <w:t xml:space="preserve"> </w:t>
      </w:r>
      <w:r w:rsidR="001800A7">
        <w:t>d’emprisonnement</w:t>
      </w:r>
      <w:r w:rsidR="00AA4E23">
        <w:t>.</w:t>
      </w:r>
      <w:r w:rsidRPr="004F4AEF">
        <w:t xml:space="preserve"> </w:t>
      </w:r>
    </w:p>
    <w:p w14:paraId="0CF5E23B" w14:textId="1A796CD5" w:rsidR="005D4769" w:rsidRPr="004F4AEF" w:rsidRDefault="005D4769" w:rsidP="00C842EF">
      <w:pPr>
        <w:pStyle w:val="Paragraphe"/>
        <w:tabs>
          <w:tab w:val="clear" w:pos="360"/>
          <w:tab w:val="num" w:pos="0"/>
        </w:tabs>
        <w:spacing w:line="240" w:lineRule="auto"/>
        <w:rPr>
          <w:rFonts w:eastAsia="Arial Unicode MS"/>
        </w:rPr>
      </w:pPr>
      <w:r w:rsidRPr="004F4AEF">
        <w:rPr>
          <w:rFonts w:eastAsia="Arial Unicode MS"/>
        </w:rPr>
        <w:t xml:space="preserve">Enfin, l'article 718.2 du </w:t>
      </w:r>
      <w:r w:rsidRPr="004F4AEF">
        <w:rPr>
          <w:rFonts w:eastAsia="Arial Unicode MS"/>
          <w:i/>
        </w:rPr>
        <w:t>Code criminel</w:t>
      </w:r>
      <w:r w:rsidRPr="004F4AEF">
        <w:rPr>
          <w:rFonts w:eastAsia="Arial Unicode MS"/>
        </w:rPr>
        <w:t xml:space="preserve"> oblige le Tribunal</w:t>
      </w:r>
      <w:r w:rsidR="00811EDC">
        <w:rPr>
          <w:rFonts w:eastAsia="Arial Unicode MS"/>
        </w:rPr>
        <w:t xml:space="preserve"> à </w:t>
      </w:r>
      <w:r w:rsidRPr="004F4AEF">
        <w:rPr>
          <w:rFonts w:eastAsia="Arial Unicode MS"/>
        </w:rPr>
        <w:t xml:space="preserve">considérer qu'un délinquant ne devrait pas être privé de sa liberté si des sanctions moins restrictives peuvent être appropriées dans les circonstances. À part les considérations subjectives propres à l’accusé, la sanction «la moins </w:t>
      </w:r>
      <w:r w:rsidR="00DB031F" w:rsidRPr="004F4AEF">
        <w:rPr>
          <w:rFonts w:eastAsia="Arial Unicode MS"/>
        </w:rPr>
        <w:t>restrictive »</w:t>
      </w:r>
      <w:r w:rsidRPr="004F4AEF">
        <w:rPr>
          <w:rFonts w:eastAsia="Arial Unicode MS"/>
        </w:rPr>
        <w:t xml:space="preserve"> dans les circonstances de cette affaire doit quand même être compatible avec la gravité objective de l’infraction et le préjudice causé à la </w:t>
      </w:r>
      <w:r w:rsidR="00DD5460">
        <w:rPr>
          <w:rFonts w:eastAsia="Arial Unicode MS"/>
        </w:rPr>
        <w:t>société entière</w:t>
      </w:r>
      <w:r w:rsidRPr="004F4AEF">
        <w:rPr>
          <w:rFonts w:eastAsia="Arial Unicode MS"/>
        </w:rPr>
        <w:t xml:space="preserve">. </w:t>
      </w:r>
    </w:p>
    <w:p w14:paraId="75EEC141" w14:textId="32FD5FED" w:rsidR="005D4769" w:rsidRPr="004F4AEF" w:rsidRDefault="005D4769" w:rsidP="00C842EF">
      <w:pPr>
        <w:pStyle w:val="Paragraphe"/>
        <w:tabs>
          <w:tab w:val="clear" w:pos="360"/>
          <w:tab w:val="num" w:pos="0"/>
        </w:tabs>
        <w:spacing w:line="240" w:lineRule="auto"/>
        <w:rPr>
          <w:rFonts w:eastAsia="Arial Unicode MS"/>
        </w:rPr>
      </w:pPr>
      <w:r w:rsidRPr="004F4AEF">
        <w:rPr>
          <w:rFonts w:eastAsia="Arial Unicode MS"/>
        </w:rPr>
        <w:t>La dissuasion individuelle et la réhabilitation prennent une plus grande importance lors de la condamnation d'une personne pour la première fois</w:t>
      </w:r>
      <w:r w:rsidRPr="004F4AEF">
        <w:rPr>
          <w:rStyle w:val="Appelnotedebasdep"/>
          <w:rFonts w:eastAsia="Arial Unicode MS"/>
          <w:vertAlign w:val="superscript"/>
        </w:rPr>
        <w:footnoteReference w:id="32"/>
      </w:r>
      <w:r w:rsidRPr="004F4AEF">
        <w:rPr>
          <w:rFonts w:eastAsia="Arial Unicode MS"/>
        </w:rPr>
        <w:t xml:space="preserve">. Même si une peine d'emprisonnement est requise, comme c'est le cas en l'espèce, le Tribunal doit faire preuve de retenue, car l’accusé n’a pas d’antécédents </w:t>
      </w:r>
      <w:r w:rsidR="00DD5460">
        <w:rPr>
          <w:rFonts w:eastAsia="Arial Unicode MS"/>
        </w:rPr>
        <w:t>judiciaires</w:t>
      </w:r>
      <w:r w:rsidRPr="004F4AEF">
        <w:rPr>
          <w:rStyle w:val="Appelnotedebasdep"/>
          <w:rFonts w:eastAsia="Arial Unicode MS"/>
          <w:vertAlign w:val="superscript"/>
        </w:rPr>
        <w:footnoteReference w:id="33"/>
      </w:r>
      <w:r w:rsidRPr="004F4AEF">
        <w:rPr>
          <w:rFonts w:eastAsia="Arial Unicode MS"/>
        </w:rPr>
        <w:t>. En d'autres termes, le Tribunal doit imposer la peine la plus courte qui puisse encore satisfaire aux principes de dénonciation et de dissuasion</w:t>
      </w:r>
      <w:r w:rsidRPr="004F4AEF">
        <w:rPr>
          <w:rStyle w:val="Appelnotedebasdep"/>
          <w:rFonts w:eastAsia="Arial Unicode MS"/>
          <w:vertAlign w:val="superscript"/>
        </w:rPr>
        <w:footnoteReference w:id="34"/>
      </w:r>
      <w:r w:rsidRPr="004F4AEF">
        <w:rPr>
          <w:rFonts w:eastAsia="Arial Unicode MS"/>
        </w:rPr>
        <w:t>.</w:t>
      </w:r>
    </w:p>
    <w:p w14:paraId="6378DD23" w14:textId="699A7BB1" w:rsidR="005D4769" w:rsidRPr="004F4AEF" w:rsidRDefault="005D4769" w:rsidP="00A7709D">
      <w:pPr>
        <w:pStyle w:val="Paragraphe"/>
        <w:spacing w:line="240" w:lineRule="auto"/>
        <w:rPr>
          <w:rFonts w:eastAsia="Arial Unicode MS"/>
        </w:rPr>
      </w:pPr>
      <w:r w:rsidRPr="004F4AEF">
        <w:rPr>
          <w:rFonts w:eastAsia="Arial Unicode MS"/>
        </w:rPr>
        <w:t xml:space="preserve"> Si le Tribunal ne devait considérer </w:t>
      </w:r>
      <w:r w:rsidR="00BC2A89">
        <w:rPr>
          <w:rFonts w:eastAsia="Arial Unicode MS"/>
        </w:rPr>
        <w:t xml:space="preserve">que </w:t>
      </w:r>
      <w:r w:rsidRPr="004F4AEF">
        <w:rPr>
          <w:rFonts w:eastAsia="Arial Unicode MS"/>
        </w:rPr>
        <w:t>les facteurs aggravants, la peine imposée aurait dépassé de quelques mois la limite supérieure des fourchettes des peines pour des infractions semblables. Toutefois, le Tribunal est d’avis que l’accusé a appris sa leçon et qu’une peine sévère n’est nullement nécessaire pour le dissuader de récidiver. Comme mentionné plus haut, il s’est bien comporté depuis le dépôt des accusations il y a plus d</w:t>
      </w:r>
      <w:r w:rsidR="00E9651E">
        <w:rPr>
          <w:rFonts w:eastAsia="Arial Unicode MS"/>
        </w:rPr>
        <w:t>e trois</w:t>
      </w:r>
      <w:r w:rsidRPr="004F4AEF">
        <w:rPr>
          <w:rFonts w:eastAsia="Arial Unicode MS"/>
        </w:rPr>
        <w:t xml:space="preserve"> ans. </w:t>
      </w:r>
    </w:p>
    <w:p w14:paraId="2EC871BD" w14:textId="0DBE0A49" w:rsidR="005D4769" w:rsidRPr="004F4AEF" w:rsidRDefault="005D4769" w:rsidP="00A7709D">
      <w:pPr>
        <w:pStyle w:val="Paragraphe"/>
        <w:spacing w:line="240" w:lineRule="auto"/>
        <w:rPr>
          <w:rFonts w:eastAsia="Arial Unicode MS"/>
        </w:rPr>
      </w:pPr>
      <w:r w:rsidRPr="004F4AEF">
        <w:rPr>
          <w:rFonts w:eastAsia="Arial Unicode MS"/>
        </w:rPr>
        <w:t>Pour toutes ces considérations, le Tribunal va opter pour une peine d’emprisonnement à la limite inférieure</w:t>
      </w:r>
      <w:r w:rsidR="00632155">
        <w:rPr>
          <w:rFonts w:eastAsia="Arial Unicode MS"/>
        </w:rPr>
        <w:t xml:space="preserve"> </w:t>
      </w:r>
      <w:r w:rsidRPr="004F4AEF">
        <w:rPr>
          <w:rFonts w:eastAsia="Arial Unicode MS"/>
        </w:rPr>
        <w:t>de la fourchette</w:t>
      </w:r>
      <w:r w:rsidR="00FC0C0A">
        <w:rPr>
          <w:rFonts w:eastAsia="Arial Unicode MS"/>
        </w:rPr>
        <w:t xml:space="preserve"> </w:t>
      </w:r>
      <w:r w:rsidRPr="004F4AEF">
        <w:rPr>
          <w:rFonts w:eastAsia="Arial Unicode MS"/>
        </w:rPr>
        <w:t>des peines pour des infractions semblables.</w:t>
      </w:r>
    </w:p>
    <w:p w14:paraId="1B8A53C0" w14:textId="675885E0" w:rsidR="005D4769" w:rsidRPr="00AA43F2" w:rsidRDefault="005D4769" w:rsidP="00FA78C6">
      <w:pPr>
        <w:pStyle w:val="Titre1"/>
        <w:numPr>
          <w:ilvl w:val="0"/>
          <w:numId w:val="0"/>
        </w:numPr>
        <w:rPr>
          <w:rFonts w:eastAsia="Arial Unicode MS"/>
        </w:rPr>
      </w:pPr>
      <w:r>
        <w:rPr>
          <w:rFonts w:eastAsia="Arial Unicode MS"/>
        </w:rPr>
        <w:t>POUR CES MOTIFS, LE TRIBUNAL :</w:t>
      </w:r>
    </w:p>
    <w:p w14:paraId="24BBBF2C" w14:textId="4CE6EB66" w:rsidR="005D4769" w:rsidRPr="00F9188B" w:rsidRDefault="005D4769" w:rsidP="00A7709D">
      <w:pPr>
        <w:pStyle w:val="Paragraphe"/>
        <w:spacing w:line="240" w:lineRule="auto"/>
        <w:rPr>
          <w:rFonts w:eastAsia="Arial Unicode MS"/>
        </w:rPr>
      </w:pPr>
      <w:r w:rsidRPr="005C3548">
        <w:rPr>
          <w:rFonts w:eastAsia="Arial Unicode MS"/>
          <w:b/>
        </w:rPr>
        <w:t>CONDAMNE</w:t>
      </w:r>
      <w:r w:rsidR="0004535D">
        <w:rPr>
          <w:rFonts w:eastAsia="Arial Unicode MS"/>
          <w:b/>
        </w:rPr>
        <w:t xml:space="preserve"> </w:t>
      </w:r>
      <w:r>
        <w:rPr>
          <w:rFonts w:eastAsia="Arial Unicode MS"/>
        </w:rPr>
        <w:t xml:space="preserve">l’accusé à purger une peine </w:t>
      </w:r>
      <w:r w:rsidRPr="001800A7">
        <w:rPr>
          <w:rFonts w:eastAsia="Arial Unicode MS"/>
        </w:rPr>
        <w:t>de</w:t>
      </w:r>
      <w:r w:rsidR="00B94B7E" w:rsidRPr="001800A7">
        <w:rPr>
          <w:rFonts w:eastAsia="Arial Unicode MS"/>
        </w:rPr>
        <w:t xml:space="preserve"> 30 mois</w:t>
      </w:r>
      <w:r w:rsidRPr="00F9188B">
        <w:rPr>
          <w:rFonts w:eastAsia="Arial Unicode MS"/>
        </w:rPr>
        <w:t xml:space="preserve"> d’emprisonnement. </w:t>
      </w:r>
    </w:p>
    <w:p w14:paraId="51A1CD54" w14:textId="3DA1608E" w:rsidR="005D4769" w:rsidRPr="00833D41" w:rsidRDefault="005D4769" w:rsidP="00A7709D">
      <w:pPr>
        <w:pStyle w:val="Paragraphe"/>
        <w:tabs>
          <w:tab w:val="left" w:pos="0"/>
        </w:tabs>
        <w:spacing w:line="240" w:lineRule="auto"/>
        <w:rPr>
          <w:rFonts w:ascii="Times New Roman" w:hAnsi="Times New Roman"/>
        </w:rPr>
      </w:pPr>
      <w:r>
        <w:rPr>
          <w:rFonts w:eastAsia="Arial Unicode MS"/>
          <w:b/>
        </w:rPr>
        <w:t>INTERDIT</w:t>
      </w:r>
      <w:r>
        <w:rPr>
          <w:rFonts w:eastAsia="Arial Unicode MS"/>
        </w:rPr>
        <w:t xml:space="preserve"> à l’accusé</w:t>
      </w:r>
      <w:r w:rsidR="004B4DA0">
        <w:rPr>
          <w:rFonts w:eastAsia="Arial Unicode MS"/>
        </w:rPr>
        <w:t xml:space="preserve"> pour une durée de 10 ans,</w:t>
      </w:r>
      <w:r>
        <w:rPr>
          <w:rFonts w:eastAsia="Arial Unicode MS"/>
        </w:rPr>
        <w:t xml:space="preserve"> la possession d’armes à feu, armes prohibées, armes à autorisation restreinte, arbalètes, dispositifs prohibés, munitions, munitions prohibées et substances explosives, </w:t>
      </w:r>
      <w:r w:rsidRPr="00F9188B">
        <w:t>en vertu de l’article 109</w:t>
      </w:r>
      <w:r>
        <w:t xml:space="preserve"> du Code </w:t>
      </w:r>
      <w:r w:rsidRPr="00833D41">
        <w:rPr>
          <w:i/>
        </w:rPr>
        <w:t>criminel</w:t>
      </w:r>
      <w:r w:rsidR="00F01185">
        <w:rPr>
          <w:i/>
        </w:rPr>
        <w:t>.</w:t>
      </w:r>
    </w:p>
    <w:p w14:paraId="60B4E771" w14:textId="616B2ADF" w:rsidR="003A6902" w:rsidRDefault="005D4769" w:rsidP="00FA78C6">
      <w:pPr>
        <w:pStyle w:val="Paragraphe"/>
        <w:spacing w:line="240" w:lineRule="auto"/>
      </w:pPr>
      <w:r w:rsidRPr="00571BA5">
        <w:rPr>
          <w:rFonts w:eastAsia="Arial Unicode MS"/>
          <w:b/>
        </w:rPr>
        <w:t>ORDONNE</w:t>
      </w:r>
      <w:r>
        <w:rPr>
          <w:rFonts w:eastAsia="Arial Unicode MS"/>
        </w:rPr>
        <w:t xml:space="preserve"> </w:t>
      </w:r>
      <w:r w:rsidRPr="00571BA5">
        <w:rPr>
          <w:rFonts w:eastAsia="Arial Unicode MS"/>
        </w:rPr>
        <w:t xml:space="preserve">le prélèvement du nombre </w:t>
      </w:r>
      <w:r>
        <w:rPr>
          <w:rFonts w:eastAsia="Arial Unicode MS"/>
        </w:rPr>
        <w:t xml:space="preserve">nécessaire </w:t>
      </w:r>
      <w:r w:rsidRPr="00571BA5">
        <w:rPr>
          <w:rFonts w:eastAsia="Arial Unicode MS"/>
        </w:rPr>
        <w:t>d’échantillons de substances corporelles de l’accusé, aux fins d’analyse génétique,</w:t>
      </w:r>
      <w:r w:rsidRPr="00F9188B">
        <w:t xml:space="preserve"> en vertu de l’article 487.051</w:t>
      </w:r>
      <w:r w:rsidR="001E598A">
        <w:t xml:space="preserve"> (3)</w:t>
      </w:r>
      <w:r>
        <w:t xml:space="preserve"> du </w:t>
      </w:r>
      <w:r>
        <w:rPr>
          <w:i/>
        </w:rPr>
        <w:t>Code c</w:t>
      </w:r>
      <w:r w:rsidRPr="00571BA5">
        <w:rPr>
          <w:i/>
        </w:rPr>
        <w:t>riminel</w:t>
      </w:r>
      <w:r w:rsidRPr="00571BA5">
        <w:rPr>
          <w:rFonts w:eastAsia="Arial Unicode MS"/>
        </w:rPr>
        <w:t xml:space="preserve">.  </w:t>
      </w:r>
    </w:p>
    <w:tbl>
      <w:tblPr>
        <w:tblW w:w="9505" w:type="dxa"/>
        <w:tblLayout w:type="fixed"/>
        <w:tblCellMar>
          <w:left w:w="0" w:type="dxa"/>
          <w:right w:w="0" w:type="dxa"/>
        </w:tblCellMar>
        <w:tblLook w:val="0000" w:firstRow="0" w:lastRow="0" w:firstColumn="0" w:lastColumn="0" w:noHBand="0" w:noVBand="0"/>
      </w:tblPr>
      <w:tblGrid>
        <w:gridCol w:w="2552"/>
        <w:gridCol w:w="2315"/>
        <w:gridCol w:w="4638"/>
      </w:tblGrid>
      <w:tr w:rsidR="004F2C02" w14:paraId="5CF5A829" w14:textId="77777777" w:rsidTr="004B2156">
        <w:trPr>
          <w:cantSplit/>
        </w:trPr>
        <w:tc>
          <w:tcPr>
            <w:tcW w:w="4867" w:type="dxa"/>
            <w:gridSpan w:val="2"/>
          </w:tcPr>
          <w:p w14:paraId="43103168" w14:textId="77777777" w:rsidR="004F2C02" w:rsidRPr="002B5305" w:rsidRDefault="004F2C02">
            <w:pPr>
              <w:rPr>
                <w:sz w:val="16"/>
                <w:szCs w:val="16"/>
              </w:rPr>
            </w:pPr>
          </w:p>
        </w:tc>
        <w:tc>
          <w:tcPr>
            <w:tcW w:w="4638" w:type="dxa"/>
          </w:tcPr>
          <w:p w14:paraId="5F443367" w14:textId="77777777" w:rsidR="004F2C02" w:rsidRDefault="00EF5343">
            <w:pPr>
              <w:pStyle w:val="zSoquijdatSignature3Juge"/>
            </w:pPr>
            <w:r>
              <w:t>__________________________________</w:t>
            </w:r>
          </w:p>
          <w:p w14:paraId="5674E157" w14:textId="77777777" w:rsidR="004F2C02" w:rsidRDefault="00B02DA5">
            <w:pPr>
              <w:pStyle w:val="zSoquijdatSignature3Juge"/>
            </w:pPr>
            <w:r w:rsidRPr="00FE1282">
              <w:rPr>
                <w:rFonts w:cs="Arial"/>
                <w:b/>
                <w:lang w:val="it-IT"/>
              </w:rPr>
              <w:t>SALVATORE MASCIA, J.C.Q.</w:t>
            </w:r>
          </w:p>
        </w:tc>
      </w:tr>
      <w:tr w:rsidR="004F2C02" w14:paraId="77864B1E" w14:textId="77777777" w:rsidTr="004B2156">
        <w:tblPrEx>
          <w:tblCellMar>
            <w:left w:w="70" w:type="dxa"/>
            <w:right w:w="70" w:type="dxa"/>
          </w:tblCellMar>
        </w:tblPrEx>
        <w:tc>
          <w:tcPr>
            <w:tcW w:w="9505" w:type="dxa"/>
            <w:gridSpan w:val="3"/>
          </w:tcPr>
          <w:p w14:paraId="574119C4" w14:textId="77777777" w:rsidR="004F2C02" w:rsidRDefault="004F2C02"/>
        </w:tc>
      </w:tr>
      <w:tr w:rsidR="004F2C02" w14:paraId="7908ED1F" w14:textId="77777777" w:rsidTr="004B2156">
        <w:tblPrEx>
          <w:tblCellMar>
            <w:left w:w="70" w:type="dxa"/>
            <w:right w:w="70" w:type="dxa"/>
          </w:tblCellMar>
        </w:tblPrEx>
        <w:trPr>
          <w:cantSplit/>
        </w:trPr>
        <w:tc>
          <w:tcPr>
            <w:tcW w:w="9505" w:type="dxa"/>
            <w:gridSpan w:val="3"/>
          </w:tcPr>
          <w:p w14:paraId="75FCB2B5" w14:textId="77777777" w:rsidR="009249B9" w:rsidRDefault="00B02DA5" w:rsidP="009249B9">
            <w:pPr>
              <w:pStyle w:val="zSoquijdatNomProcureurDem"/>
            </w:pPr>
            <w:r w:rsidRPr="00B02DA5">
              <w:t>M</w:t>
            </w:r>
            <w:r w:rsidR="009249B9" w:rsidRPr="004B2156">
              <w:t>e</w:t>
            </w:r>
            <w:r w:rsidR="0037376D">
              <w:t xml:space="preserve"> Mathieu Longpré</w:t>
            </w:r>
            <w:r w:rsidRPr="00B02DA5">
              <w:t xml:space="preserve"> </w:t>
            </w:r>
          </w:p>
          <w:p w14:paraId="7A60D0D9" w14:textId="77777777" w:rsidR="0037376D" w:rsidRDefault="0037376D" w:rsidP="009249B9">
            <w:pPr>
              <w:pStyle w:val="zSoquijdatNomProcureurDem"/>
            </w:pPr>
            <w:r>
              <w:t>Me Marie-France Plante</w:t>
            </w:r>
          </w:p>
          <w:p w14:paraId="6F3901DA" w14:textId="77777777" w:rsidR="009249B9" w:rsidRDefault="0037376D" w:rsidP="009249B9">
            <w:pPr>
              <w:pStyle w:val="zSoquijdatNomProcureurDem"/>
            </w:pPr>
            <w:r>
              <w:t>Me Han-Catherine Morin</w:t>
            </w:r>
          </w:p>
        </w:tc>
      </w:tr>
      <w:tr w:rsidR="004F2C02" w14:paraId="7F1DC2B3" w14:textId="77777777" w:rsidTr="004B2156">
        <w:tblPrEx>
          <w:tblCellMar>
            <w:left w:w="70" w:type="dxa"/>
            <w:right w:w="70" w:type="dxa"/>
          </w:tblCellMar>
        </w:tblPrEx>
        <w:trPr>
          <w:cantSplit/>
        </w:trPr>
        <w:tc>
          <w:tcPr>
            <w:tcW w:w="9505" w:type="dxa"/>
            <w:gridSpan w:val="3"/>
          </w:tcPr>
          <w:p w14:paraId="667DB1E0" w14:textId="475210E6" w:rsidR="004F2C02" w:rsidRDefault="009249B9" w:rsidP="00B02DA5">
            <w:pPr>
              <w:pStyle w:val="zSoquijdatCabinetProcureurDem"/>
            </w:pPr>
            <w:r>
              <w:rPr>
                <w:rFonts w:cs="Arial"/>
              </w:rPr>
              <w:t xml:space="preserve">Directeur des poursuites criminelles et pénales </w:t>
            </w:r>
          </w:p>
        </w:tc>
      </w:tr>
      <w:tr w:rsidR="004F2C02" w14:paraId="67B5B3E6" w14:textId="77777777" w:rsidTr="004B2156">
        <w:tblPrEx>
          <w:tblCellMar>
            <w:left w:w="70" w:type="dxa"/>
            <w:right w:w="70" w:type="dxa"/>
          </w:tblCellMar>
        </w:tblPrEx>
        <w:trPr>
          <w:cantSplit/>
        </w:trPr>
        <w:tc>
          <w:tcPr>
            <w:tcW w:w="9505" w:type="dxa"/>
            <w:gridSpan w:val="3"/>
          </w:tcPr>
          <w:p w14:paraId="33C3558C" w14:textId="77777777" w:rsidR="004F2C02" w:rsidRDefault="00B02DA5" w:rsidP="009249B9">
            <w:pPr>
              <w:pStyle w:val="zSoquijlblProcureurDem"/>
            </w:pPr>
            <w:r w:rsidRPr="00FE1282">
              <w:rPr>
                <w:rFonts w:cs="Arial"/>
              </w:rPr>
              <w:t>Procureur</w:t>
            </w:r>
            <w:r w:rsidR="0037376D">
              <w:rPr>
                <w:rFonts w:cs="Arial"/>
              </w:rPr>
              <w:t xml:space="preserve">s </w:t>
            </w:r>
            <w:r w:rsidR="00910104">
              <w:rPr>
                <w:rFonts w:cs="Arial"/>
              </w:rPr>
              <w:t>du poursuivant</w:t>
            </w:r>
            <w:r w:rsidR="009249B9">
              <w:rPr>
                <w:rFonts w:cs="Arial"/>
              </w:rPr>
              <w:t xml:space="preserve"> </w:t>
            </w:r>
          </w:p>
        </w:tc>
      </w:tr>
      <w:tr w:rsidR="004F2C02" w14:paraId="2398700B" w14:textId="77777777" w:rsidTr="004B2156">
        <w:tblPrEx>
          <w:tblCellMar>
            <w:left w:w="70" w:type="dxa"/>
            <w:right w:w="70" w:type="dxa"/>
          </w:tblCellMar>
        </w:tblPrEx>
        <w:trPr>
          <w:cantSplit/>
        </w:trPr>
        <w:tc>
          <w:tcPr>
            <w:tcW w:w="9505" w:type="dxa"/>
            <w:gridSpan w:val="3"/>
          </w:tcPr>
          <w:p w14:paraId="40C368CE" w14:textId="77777777" w:rsidR="004F2C02" w:rsidRDefault="004F2C02"/>
        </w:tc>
      </w:tr>
      <w:tr w:rsidR="004F2C02" w14:paraId="209479FB" w14:textId="77777777" w:rsidTr="004B2156">
        <w:tblPrEx>
          <w:tblCellMar>
            <w:left w:w="70" w:type="dxa"/>
            <w:right w:w="70" w:type="dxa"/>
          </w:tblCellMar>
        </w:tblPrEx>
        <w:trPr>
          <w:cantSplit/>
        </w:trPr>
        <w:tc>
          <w:tcPr>
            <w:tcW w:w="9505" w:type="dxa"/>
            <w:gridSpan w:val="3"/>
          </w:tcPr>
          <w:p w14:paraId="2A0F1B3B" w14:textId="66837C6B" w:rsidR="004F2C02" w:rsidRDefault="004B2156" w:rsidP="004B2156">
            <w:pPr>
              <w:pStyle w:val="zSoquijdatNomProcureurDef"/>
            </w:pPr>
            <w:r>
              <w:t xml:space="preserve">Me </w:t>
            </w:r>
            <w:r w:rsidR="0037376D">
              <w:t>Marc-Antoine Rock</w:t>
            </w:r>
          </w:p>
        </w:tc>
      </w:tr>
      <w:tr w:rsidR="004F2C02" w14:paraId="70403304" w14:textId="77777777" w:rsidTr="004B2156">
        <w:tblPrEx>
          <w:tblCellMar>
            <w:left w:w="70" w:type="dxa"/>
            <w:right w:w="70" w:type="dxa"/>
          </w:tblCellMar>
        </w:tblPrEx>
        <w:trPr>
          <w:cantSplit/>
        </w:trPr>
        <w:tc>
          <w:tcPr>
            <w:tcW w:w="9505" w:type="dxa"/>
            <w:gridSpan w:val="3"/>
          </w:tcPr>
          <w:p w14:paraId="7B1859F6" w14:textId="77777777" w:rsidR="004F2C02" w:rsidRDefault="0037376D">
            <w:pPr>
              <w:pStyle w:val="zSoquijdatCabinetProcureurDef"/>
            </w:pPr>
            <w:r>
              <w:t>Me Mélina Le Blanc</w:t>
            </w:r>
          </w:p>
        </w:tc>
      </w:tr>
      <w:tr w:rsidR="004F2C02" w14:paraId="082966CD" w14:textId="77777777" w:rsidTr="004B2156">
        <w:tblPrEx>
          <w:tblCellMar>
            <w:left w:w="70" w:type="dxa"/>
            <w:right w:w="70" w:type="dxa"/>
          </w:tblCellMar>
        </w:tblPrEx>
        <w:trPr>
          <w:cantSplit/>
        </w:trPr>
        <w:tc>
          <w:tcPr>
            <w:tcW w:w="9505" w:type="dxa"/>
            <w:gridSpan w:val="3"/>
          </w:tcPr>
          <w:p w14:paraId="69F21C02" w14:textId="77777777" w:rsidR="004F2C02" w:rsidRDefault="0037376D">
            <w:pPr>
              <w:pStyle w:val="zSoquijlblProcureurDef"/>
            </w:pPr>
            <w:r>
              <w:t>Procureurs</w:t>
            </w:r>
            <w:r w:rsidR="004B2156">
              <w:t xml:space="preserve"> de l’accusé</w:t>
            </w:r>
          </w:p>
        </w:tc>
      </w:tr>
      <w:tr w:rsidR="004F2C02" w14:paraId="7DAE1C32" w14:textId="77777777" w:rsidTr="004B2156">
        <w:tblPrEx>
          <w:tblCellMar>
            <w:left w:w="70" w:type="dxa"/>
            <w:right w:w="70" w:type="dxa"/>
          </w:tblCellMar>
        </w:tblPrEx>
        <w:tc>
          <w:tcPr>
            <w:tcW w:w="9505" w:type="dxa"/>
            <w:gridSpan w:val="3"/>
          </w:tcPr>
          <w:p w14:paraId="3759736E" w14:textId="77777777" w:rsidR="004F2C02" w:rsidRDefault="004F2C02"/>
        </w:tc>
      </w:tr>
      <w:tr w:rsidR="004F2C02" w14:paraId="0FAE31BA" w14:textId="77777777" w:rsidTr="004B2156">
        <w:tblPrEx>
          <w:tblCellMar>
            <w:left w:w="70" w:type="dxa"/>
            <w:right w:w="70" w:type="dxa"/>
          </w:tblCellMar>
        </w:tblPrEx>
        <w:tc>
          <w:tcPr>
            <w:tcW w:w="2552" w:type="dxa"/>
          </w:tcPr>
          <w:p w14:paraId="1B7CB72F" w14:textId="14FE154C" w:rsidR="004F2C02" w:rsidRDefault="00EF5343" w:rsidP="00F9157F">
            <w:pPr>
              <w:pStyle w:val="zSoquijlblDateAudience"/>
            </w:pPr>
            <w:r>
              <w:t>Date</w:t>
            </w:r>
            <w:r w:rsidR="00462907">
              <w:t>s</w:t>
            </w:r>
            <w:r w:rsidR="00F9157F">
              <w:t xml:space="preserve"> </w:t>
            </w:r>
            <w:r>
              <w:t>d’audience</w:t>
            </w:r>
            <w:r w:rsidR="00462907">
              <w:t>s</w:t>
            </w:r>
            <w:r>
              <w:t> :</w:t>
            </w:r>
            <w:r w:rsidR="00F9157F">
              <w:t xml:space="preserve"> </w:t>
            </w:r>
          </w:p>
        </w:tc>
        <w:tc>
          <w:tcPr>
            <w:tcW w:w="6953" w:type="dxa"/>
            <w:gridSpan w:val="2"/>
          </w:tcPr>
          <w:p w14:paraId="1A8C33DC" w14:textId="58EAC694" w:rsidR="004F2C02" w:rsidRDefault="00F9157F" w:rsidP="00B02DA5">
            <w:pPr>
              <w:pStyle w:val="zSoquijdatDateAudience"/>
            </w:pPr>
            <w:r>
              <w:t>Le 6 décembre 2021 et le 14 mars 2022</w:t>
            </w:r>
          </w:p>
        </w:tc>
      </w:tr>
    </w:tbl>
    <w:p w14:paraId="28B665E4" w14:textId="77777777" w:rsidR="00EF5343" w:rsidRDefault="00EF5343"/>
    <w:sectPr w:rsidR="00EF5343">
      <w:headerReference w:type="default" r:id="rId14"/>
      <w:footerReference w:type="even" r:id="rId15"/>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D99F7" w14:textId="77777777" w:rsidR="0016752B" w:rsidRDefault="0016752B">
      <w:r>
        <w:separator/>
      </w:r>
    </w:p>
  </w:endnote>
  <w:endnote w:type="continuationSeparator" w:id="0">
    <w:p w14:paraId="5E29AAAD" w14:textId="77777777" w:rsidR="0016752B" w:rsidRDefault="00167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44A58" w14:textId="77777777" w:rsidR="004F2C02" w:rsidRDefault="00EF5343">
    <w:pPr>
      <w:framePr w:wrap="around" w:vAnchor="text" w:hAnchor="margin" w:xAlign="right" w:y="1"/>
    </w:pPr>
    <w:r>
      <w:fldChar w:fldCharType="begin"/>
    </w:r>
    <w:r>
      <w:instrText xml:space="preserve">PAGE  </w:instrText>
    </w:r>
    <w:r>
      <w:fldChar w:fldCharType="end"/>
    </w:r>
  </w:p>
  <w:p w14:paraId="1404D3FC" w14:textId="77777777" w:rsidR="004F2C02" w:rsidRDefault="004F2C02">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AEBB9" w14:textId="77777777" w:rsidR="0016752B" w:rsidRDefault="0016752B">
      <w:r>
        <w:separator/>
      </w:r>
    </w:p>
  </w:footnote>
  <w:footnote w:type="continuationSeparator" w:id="0">
    <w:p w14:paraId="4E555C94" w14:textId="77777777" w:rsidR="0016752B" w:rsidRDefault="0016752B">
      <w:r>
        <w:continuationSeparator/>
      </w:r>
    </w:p>
  </w:footnote>
  <w:footnote w:id="1">
    <w:p w14:paraId="3A793C99" w14:textId="20A4201D" w:rsidR="00062F4A" w:rsidRPr="00062F4A" w:rsidRDefault="00062F4A">
      <w:pPr>
        <w:pStyle w:val="Notedebasdepage"/>
        <w:rPr>
          <w:vertAlign w:val="superscript"/>
        </w:rPr>
      </w:pPr>
      <w:r w:rsidRPr="00062F4A">
        <w:rPr>
          <w:rStyle w:val="Appelnotedebasdep"/>
          <w:vertAlign w:val="superscript"/>
        </w:rPr>
        <w:footnoteRef/>
      </w:r>
      <w:r w:rsidRPr="00062F4A">
        <w:rPr>
          <w:vertAlign w:val="superscript"/>
        </w:rPr>
        <w:t xml:space="preserve"> </w:t>
      </w:r>
      <w:r>
        <w:rPr>
          <w:vertAlign w:val="superscript"/>
        </w:rPr>
        <w:tab/>
      </w:r>
      <w:bookmarkStart w:id="1" w:name="_Hlk119678890"/>
      <w:r w:rsidRPr="00062F4A">
        <w:t>Trame factuelle</w:t>
      </w:r>
      <w:r>
        <w:t xml:space="preserve"> conjointe pour plaidoyer de culpabilité.</w:t>
      </w:r>
      <w:bookmarkEnd w:id="1"/>
    </w:p>
  </w:footnote>
  <w:footnote w:id="2">
    <w:p w14:paraId="1223F07F" w14:textId="24DC0EF5" w:rsidR="00855DB6" w:rsidRPr="00855DB6" w:rsidRDefault="00855DB6">
      <w:pPr>
        <w:pStyle w:val="Notedebasdepage"/>
        <w:rPr>
          <w:vertAlign w:val="superscript"/>
        </w:rPr>
      </w:pPr>
      <w:r w:rsidRPr="00855DB6">
        <w:rPr>
          <w:rStyle w:val="Appelnotedebasdep"/>
          <w:vertAlign w:val="superscript"/>
        </w:rPr>
        <w:footnoteRef/>
      </w:r>
      <w:r w:rsidRPr="00855DB6">
        <w:rPr>
          <w:vertAlign w:val="superscript"/>
        </w:rPr>
        <w:t xml:space="preserve"> </w:t>
      </w:r>
      <w:r>
        <w:rPr>
          <w:vertAlign w:val="superscript"/>
        </w:rPr>
        <w:tab/>
      </w:r>
      <w:r>
        <w:t>Argumentaire de la défe</w:t>
      </w:r>
      <w:r w:rsidR="002F2950">
        <w:t xml:space="preserve">nse </w:t>
      </w:r>
      <w:r>
        <w:t>relati</w:t>
      </w:r>
      <w:r w:rsidR="002F2950">
        <w:t xml:space="preserve">f </w:t>
      </w:r>
      <w:r>
        <w:t>à la sentence appropriée.</w:t>
      </w:r>
    </w:p>
  </w:footnote>
  <w:footnote w:id="3">
    <w:p w14:paraId="2FEAA8C1" w14:textId="2674A23C" w:rsidR="005E4400" w:rsidRDefault="005E4400">
      <w:pPr>
        <w:pStyle w:val="Notedebasdepage"/>
      </w:pPr>
      <w:r w:rsidRPr="00F5520F">
        <w:rPr>
          <w:rStyle w:val="Appelnotedebasdep"/>
          <w:vertAlign w:val="superscript"/>
        </w:rPr>
        <w:footnoteRef/>
      </w:r>
      <w:r>
        <w:t xml:space="preserve"> </w:t>
      </w:r>
      <w:r>
        <w:tab/>
        <w:t>Rapport présentenciel du 1</w:t>
      </w:r>
      <w:r w:rsidRPr="005E4400">
        <w:rPr>
          <w:vertAlign w:val="superscript"/>
        </w:rPr>
        <w:t>er</w:t>
      </w:r>
      <w:r>
        <w:t xml:space="preserve"> mars 2022, p</w:t>
      </w:r>
      <w:r w:rsidR="004F5D5D">
        <w:t>.</w:t>
      </w:r>
      <w:r>
        <w:t xml:space="preserve"> 8-9.</w:t>
      </w:r>
    </w:p>
  </w:footnote>
  <w:footnote w:id="4">
    <w:p w14:paraId="0950EE2B" w14:textId="324F576B" w:rsidR="007A71D0" w:rsidRPr="00C730BD" w:rsidRDefault="007A71D0" w:rsidP="007A71D0">
      <w:pPr>
        <w:pStyle w:val="Notedebasdepage"/>
      </w:pPr>
      <w:r w:rsidRPr="00C730BD">
        <w:rPr>
          <w:rStyle w:val="Appelnotedebasdep"/>
          <w:vertAlign w:val="superscript"/>
        </w:rPr>
        <w:footnoteRef/>
      </w:r>
      <w:r w:rsidRPr="00C730BD">
        <w:rPr>
          <w:vertAlign w:val="superscript"/>
        </w:rPr>
        <w:t xml:space="preserve"> </w:t>
      </w:r>
      <w:r>
        <w:rPr>
          <w:rFonts w:cs="Arial"/>
          <w:color w:val="000000"/>
        </w:rPr>
        <w:tab/>
      </w:r>
      <w:r w:rsidRPr="00C730BD">
        <w:rPr>
          <w:rFonts w:cs="Arial"/>
          <w:i/>
          <w:iCs/>
        </w:rPr>
        <w:t>R</w:t>
      </w:r>
      <w:r w:rsidRPr="00F34031">
        <w:rPr>
          <w:rFonts w:cs="Arial"/>
        </w:rPr>
        <w:t>. c</w:t>
      </w:r>
      <w:r w:rsidRPr="00C730BD">
        <w:rPr>
          <w:rFonts w:cs="Arial"/>
        </w:rPr>
        <w:t>. </w:t>
      </w:r>
      <w:r w:rsidRPr="00C730BD">
        <w:rPr>
          <w:rFonts w:cs="Arial"/>
          <w:i/>
          <w:iCs/>
        </w:rPr>
        <w:t>M. (C.A.)</w:t>
      </w:r>
      <w:r w:rsidRPr="00C730BD">
        <w:rPr>
          <w:rFonts w:cs="Arial"/>
        </w:rPr>
        <w:t>, [1996] 1 RCS 500 au par. </w:t>
      </w:r>
      <w:hyperlink r:id="rId1" w:anchor="par82" w:history="1">
        <w:r w:rsidRPr="00C730BD">
          <w:rPr>
            <w:rFonts w:cs="Arial"/>
          </w:rPr>
          <w:t>82</w:t>
        </w:r>
      </w:hyperlink>
      <w:r w:rsidR="005E4400">
        <w:rPr>
          <w:rFonts w:cs="Arial"/>
        </w:rPr>
        <w:t>.</w:t>
      </w:r>
    </w:p>
  </w:footnote>
  <w:footnote w:id="5">
    <w:p w14:paraId="00CD945C" w14:textId="308C8660" w:rsidR="007A71D0" w:rsidRPr="0054512F" w:rsidRDefault="007A71D0" w:rsidP="007A71D0">
      <w:pPr>
        <w:pStyle w:val="Notedebasdepage"/>
        <w:ind w:left="284" w:hanging="284"/>
      </w:pPr>
      <w:r w:rsidRPr="00D74178">
        <w:rPr>
          <w:rStyle w:val="Appelnotedebasdep"/>
          <w:vertAlign w:val="superscript"/>
        </w:rPr>
        <w:footnoteRef/>
      </w:r>
      <w:r>
        <w:rPr>
          <w:rFonts w:cs="Arial"/>
          <w:i/>
          <w:iCs/>
        </w:rPr>
        <w:t xml:space="preserve"> </w:t>
      </w:r>
      <w:r>
        <w:rPr>
          <w:rFonts w:cs="Arial"/>
          <w:i/>
          <w:iCs/>
        </w:rPr>
        <w:tab/>
      </w:r>
      <w:r w:rsidRPr="0054512F">
        <w:rPr>
          <w:rFonts w:cs="Arial"/>
          <w:i/>
          <w:iCs/>
        </w:rPr>
        <w:t xml:space="preserve">R. </w:t>
      </w:r>
      <w:r w:rsidRPr="00F34031">
        <w:rPr>
          <w:rFonts w:cs="Arial"/>
        </w:rPr>
        <w:t>c</w:t>
      </w:r>
      <w:r w:rsidRPr="0054512F">
        <w:rPr>
          <w:rFonts w:cs="Arial"/>
          <w:i/>
          <w:iCs/>
        </w:rPr>
        <w:t>. Grenier,</w:t>
      </w:r>
      <w:r w:rsidRPr="0054512F">
        <w:rPr>
          <w:rFonts w:cs="Arial"/>
        </w:rPr>
        <w:t> </w:t>
      </w:r>
      <w:hyperlink r:id="rId2" w:history="1">
        <w:r w:rsidRPr="0054512F">
          <w:rPr>
            <w:rFonts w:cs="Arial"/>
          </w:rPr>
          <w:t>2017 QCCA 57</w:t>
        </w:r>
      </w:hyperlink>
      <w:r w:rsidRPr="0054512F">
        <w:rPr>
          <w:rFonts w:cs="Arial"/>
          <w:color w:val="000000"/>
        </w:rPr>
        <w:t>.</w:t>
      </w:r>
    </w:p>
  </w:footnote>
  <w:footnote w:id="6">
    <w:p w14:paraId="69C12B64" w14:textId="4B23AD5C" w:rsidR="007A71D0" w:rsidRPr="0054512F" w:rsidRDefault="007A71D0" w:rsidP="007A71D0">
      <w:pPr>
        <w:pStyle w:val="Notedebasdepage"/>
        <w:ind w:left="284" w:hanging="284"/>
      </w:pPr>
      <w:r w:rsidRPr="0054512F">
        <w:rPr>
          <w:rStyle w:val="Appelnotedebasdep"/>
          <w:vertAlign w:val="superscript"/>
        </w:rPr>
        <w:footnoteRef/>
      </w:r>
      <w:r w:rsidRPr="0054512F">
        <w:t xml:space="preserve"> </w:t>
      </w:r>
      <w:r>
        <w:tab/>
      </w:r>
      <w:r w:rsidRPr="00F9188B">
        <w:rPr>
          <w:rFonts w:cs="Arial"/>
          <w:i/>
          <w:iCs/>
          <w:szCs w:val="24"/>
          <w:lang w:eastAsia="fr-CA"/>
        </w:rPr>
        <w:t>R.</w:t>
      </w:r>
      <w:r w:rsidRPr="00F9188B">
        <w:rPr>
          <w:rFonts w:cs="Arial"/>
          <w:szCs w:val="24"/>
          <w:lang w:eastAsia="fr-CA"/>
        </w:rPr>
        <w:t> c. </w:t>
      </w:r>
      <w:r w:rsidRPr="00F9188B">
        <w:rPr>
          <w:rFonts w:cs="Arial"/>
          <w:i/>
          <w:iCs/>
          <w:szCs w:val="24"/>
          <w:lang w:eastAsia="fr-CA"/>
        </w:rPr>
        <w:t>Lacasse</w:t>
      </w:r>
      <w:r w:rsidR="00537DCF">
        <w:rPr>
          <w:rFonts w:cs="Arial"/>
          <w:i/>
          <w:iCs/>
          <w:szCs w:val="24"/>
          <w:lang w:eastAsia="fr-CA"/>
        </w:rPr>
        <w:t>,</w:t>
      </w:r>
      <w:r w:rsidRPr="0054512F">
        <w:t xml:space="preserve"> [2015</w:t>
      </w:r>
      <w:r w:rsidRPr="0054512F">
        <w:rPr>
          <w:rFonts w:cs="Arial"/>
          <w:lang w:eastAsia="fr-CA"/>
        </w:rPr>
        <w:t>] 3 RCS 1089, aux paragraphes </w:t>
      </w:r>
      <w:hyperlink r:id="rId3" w:anchor="par12" w:history="1">
        <w:r w:rsidRPr="0054512F">
          <w:rPr>
            <w:rFonts w:cs="Arial"/>
            <w:lang w:eastAsia="fr-CA"/>
          </w:rPr>
          <w:t>12 et 53</w:t>
        </w:r>
      </w:hyperlink>
      <w:r w:rsidR="005E4400">
        <w:rPr>
          <w:rFonts w:cs="Arial"/>
          <w:lang w:eastAsia="fr-CA"/>
        </w:rPr>
        <w:t>.</w:t>
      </w:r>
    </w:p>
  </w:footnote>
  <w:footnote w:id="7">
    <w:p w14:paraId="7663121C" w14:textId="51951590" w:rsidR="007A71D0" w:rsidRPr="0054512F" w:rsidRDefault="007A71D0" w:rsidP="007A71D0">
      <w:pPr>
        <w:jc w:val="both"/>
        <w:rPr>
          <w:sz w:val="20"/>
          <w:vertAlign w:val="superscript"/>
        </w:rPr>
      </w:pPr>
      <w:r w:rsidRPr="0054512F">
        <w:rPr>
          <w:rStyle w:val="Appelnotedebasdep"/>
          <w:sz w:val="20"/>
          <w:vertAlign w:val="superscript"/>
        </w:rPr>
        <w:footnoteRef/>
      </w:r>
      <w:r w:rsidRPr="0054512F">
        <w:rPr>
          <w:sz w:val="20"/>
          <w:vertAlign w:val="superscript"/>
        </w:rPr>
        <w:t xml:space="preserve"> </w:t>
      </w:r>
      <w:r>
        <w:rPr>
          <w:color w:val="000000"/>
          <w:sz w:val="20"/>
        </w:rPr>
        <w:t xml:space="preserve">   </w:t>
      </w:r>
      <w:r w:rsidRPr="00F34031">
        <w:rPr>
          <w:i/>
          <w:iCs/>
          <w:color w:val="212529"/>
          <w:sz w:val="20"/>
        </w:rPr>
        <w:t>R</w:t>
      </w:r>
      <w:r w:rsidRPr="00F34031">
        <w:rPr>
          <w:color w:val="212529"/>
          <w:sz w:val="20"/>
        </w:rPr>
        <w:t>. c</w:t>
      </w:r>
      <w:r w:rsidRPr="0054512F">
        <w:rPr>
          <w:i/>
          <w:iCs/>
          <w:color w:val="212529"/>
          <w:sz w:val="20"/>
        </w:rPr>
        <w:t xml:space="preserve">. Joseph, </w:t>
      </w:r>
      <w:r w:rsidRPr="0054512F">
        <w:rPr>
          <w:sz w:val="20"/>
          <w:lang w:val="fr-FR" w:eastAsia="fr-CA"/>
        </w:rPr>
        <w:t>2019 QCCQ 2298, par. 25.</w:t>
      </w:r>
    </w:p>
  </w:footnote>
  <w:footnote w:id="8">
    <w:p w14:paraId="0EC29432" w14:textId="00CFC107" w:rsidR="0068003F" w:rsidRPr="00530B80" w:rsidRDefault="0068003F" w:rsidP="0068003F">
      <w:pPr>
        <w:pStyle w:val="Notedebasdepage"/>
      </w:pPr>
      <w:r w:rsidRPr="002F3970">
        <w:rPr>
          <w:rStyle w:val="Appelnotedebasdep"/>
          <w:vertAlign w:val="superscript"/>
        </w:rPr>
        <w:footnoteRef/>
      </w:r>
      <w:r w:rsidR="002F3970">
        <w:rPr>
          <w:i/>
          <w:iCs/>
          <w:color w:val="212529"/>
        </w:rPr>
        <w:t xml:space="preserve">   </w:t>
      </w:r>
      <w:r w:rsidR="002F3970" w:rsidRPr="0068003F">
        <w:rPr>
          <w:i/>
          <w:iCs/>
          <w:lang w:val="fr-FR"/>
        </w:rPr>
        <w:t>Trudel</w:t>
      </w:r>
      <w:r w:rsidR="002F3970" w:rsidRPr="0068003F">
        <w:rPr>
          <w:lang w:val="fr-FR"/>
        </w:rPr>
        <w:t xml:space="preserve"> c. </w:t>
      </w:r>
      <w:r w:rsidR="002F3970" w:rsidRPr="0068003F">
        <w:rPr>
          <w:i/>
          <w:iCs/>
          <w:lang w:val="fr-FR"/>
        </w:rPr>
        <w:t>R</w:t>
      </w:r>
      <w:r w:rsidR="002F3970">
        <w:rPr>
          <w:i/>
          <w:iCs/>
          <w:color w:val="212529"/>
        </w:rPr>
        <w:t xml:space="preserve">., </w:t>
      </w:r>
      <w:hyperlink r:id="rId4" w:history="1">
        <w:r w:rsidRPr="00537DCF">
          <w:rPr>
            <w:color w:val="212529"/>
          </w:rPr>
          <w:t>2019 QCCA 1011</w:t>
        </w:r>
      </w:hyperlink>
      <w:r w:rsidRPr="00537DCF">
        <w:rPr>
          <w:color w:val="212529"/>
        </w:rPr>
        <w:t>.</w:t>
      </w:r>
    </w:p>
  </w:footnote>
  <w:footnote w:id="9">
    <w:p w14:paraId="6B3FF88D" w14:textId="1A30DF65" w:rsidR="003C11AB" w:rsidRPr="00653985" w:rsidRDefault="003C11AB" w:rsidP="003C11AB">
      <w:pPr>
        <w:pStyle w:val="Notedebasdepage"/>
        <w:rPr>
          <w:rStyle w:val="Numrodepage"/>
          <w:rFonts w:cs="Arial"/>
        </w:rPr>
      </w:pPr>
      <w:r w:rsidRPr="00653985">
        <w:rPr>
          <w:rStyle w:val="Appelnotedebasdep"/>
          <w:vertAlign w:val="superscript"/>
        </w:rPr>
        <w:footnoteRef/>
      </w:r>
      <w:r w:rsidR="00653985">
        <w:rPr>
          <w:rStyle w:val="Numrodepage"/>
          <w:rFonts w:cs="Arial"/>
        </w:rPr>
        <w:t xml:space="preserve"> </w:t>
      </w:r>
      <w:r w:rsidR="00653985">
        <w:rPr>
          <w:rStyle w:val="Numrodepage"/>
          <w:rFonts w:cs="Arial"/>
        </w:rPr>
        <w:tab/>
      </w:r>
      <w:r w:rsidR="0007301D" w:rsidRPr="00BF55C7">
        <w:rPr>
          <w:rStyle w:val="Numrodepage"/>
          <w:rFonts w:cs="Arial"/>
          <w:i/>
          <w:iCs/>
          <w:szCs w:val="24"/>
        </w:rPr>
        <w:t xml:space="preserve">Vallières </w:t>
      </w:r>
      <w:r w:rsidR="0007301D" w:rsidRPr="00BF55C7">
        <w:rPr>
          <w:rStyle w:val="Numrodepage"/>
          <w:rFonts w:cs="Arial"/>
          <w:szCs w:val="24"/>
        </w:rPr>
        <w:t xml:space="preserve">c. </w:t>
      </w:r>
      <w:r w:rsidR="0007301D" w:rsidRPr="00BF55C7">
        <w:rPr>
          <w:rStyle w:val="Numrodepage"/>
          <w:rFonts w:cs="Arial"/>
          <w:i/>
          <w:iCs/>
          <w:szCs w:val="24"/>
        </w:rPr>
        <w:t>R</w:t>
      </w:r>
      <w:r w:rsidR="0007301D">
        <w:t xml:space="preserve">., </w:t>
      </w:r>
      <w:hyperlink r:id="rId5" w:history="1">
        <w:r w:rsidRPr="00653985">
          <w:rPr>
            <w:rStyle w:val="Numrodepage"/>
            <w:rFonts w:cs="Arial"/>
          </w:rPr>
          <w:t>2020 QCCA 372</w:t>
        </w:r>
      </w:hyperlink>
      <w:r w:rsidRPr="00653985">
        <w:rPr>
          <w:rStyle w:val="Numrodepage"/>
          <w:rFonts w:cs="Arial"/>
        </w:rPr>
        <w:t xml:space="preserve"> (appel accueilli par la CSC : </w:t>
      </w:r>
      <w:hyperlink r:id="rId6" w:history="1">
        <w:r w:rsidRPr="00653985">
          <w:rPr>
            <w:rStyle w:val="Numrodepage"/>
            <w:rFonts w:cs="Arial"/>
          </w:rPr>
          <w:t>2022 CSC 10</w:t>
        </w:r>
      </w:hyperlink>
      <w:r w:rsidRPr="00653985">
        <w:rPr>
          <w:rStyle w:val="Numrodepage"/>
          <w:rFonts w:cs="Arial"/>
        </w:rPr>
        <w:t xml:space="preserve"> : questions du montant de l'amende compensatoire, et répartition de la valeur du bien qui constitue un produit de la criminalité).</w:t>
      </w:r>
    </w:p>
  </w:footnote>
  <w:footnote w:id="10">
    <w:p w14:paraId="102F378E" w14:textId="753CBCC7" w:rsidR="003C11AB" w:rsidRPr="00683DB5" w:rsidRDefault="003C11AB" w:rsidP="003C11AB">
      <w:pPr>
        <w:pStyle w:val="Notedebasdepage"/>
      </w:pPr>
      <w:r w:rsidRPr="00306F48">
        <w:rPr>
          <w:rStyle w:val="Appelnotedebasdep"/>
          <w:vertAlign w:val="superscript"/>
        </w:rPr>
        <w:footnoteRef/>
      </w:r>
      <w:r>
        <w:t xml:space="preserve"> </w:t>
      </w:r>
      <w:r w:rsidR="00306F48">
        <w:tab/>
      </w:r>
      <w:r w:rsidRPr="00683DB5">
        <w:rPr>
          <w:i/>
          <w:iCs/>
        </w:rPr>
        <w:t>Id.</w:t>
      </w:r>
      <w:r>
        <w:t>, par. 208.</w:t>
      </w:r>
    </w:p>
  </w:footnote>
  <w:footnote w:id="11">
    <w:p w14:paraId="7E72FFA6" w14:textId="4511DD12" w:rsidR="003C11AB" w:rsidRPr="00B7571B" w:rsidRDefault="003C11AB" w:rsidP="003C11AB">
      <w:pPr>
        <w:pStyle w:val="Notedebasdepage"/>
      </w:pPr>
      <w:r w:rsidRPr="00083B54">
        <w:rPr>
          <w:rStyle w:val="Appelnotedebasdep"/>
          <w:vertAlign w:val="superscript"/>
        </w:rPr>
        <w:footnoteRef/>
      </w:r>
      <w:r>
        <w:t xml:space="preserve"> </w:t>
      </w:r>
      <w:r w:rsidR="00083B54">
        <w:tab/>
      </w:r>
      <w:r w:rsidR="006276C2" w:rsidRPr="00BF55C7">
        <w:rPr>
          <w:rStyle w:val="Numrodepage"/>
          <w:rFonts w:cs="Arial"/>
          <w:i/>
          <w:iCs/>
          <w:szCs w:val="24"/>
        </w:rPr>
        <w:t>Giroux</w:t>
      </w:r>
      <w:r w:rsidR="006276C2" w:rsidRPr="00BF55C7">
        <w:rPr>
          <w:rStyle w:val="Numrodepage"/>
          <w:rFonts w:cs="Arial"/>
          <w:szCs w:val="24"/>
        </w:rPr>
        <w:t xml:space="preserve"> c. </w:t>
      </w:r>
      <w:r w:rsidR="006276C2" w:rsidRPr="00BF55C7">
        <w:rPr>
          <w:rStyle w:val="Numrodepage"/>
          <w:rFonts w:cs="Arial"/>
          <w:i/>
          <w:iCs/>
          <w:szCs w:val="24"/>
        </w:rPr>
        <w:t>R</w:t>
      </w:r>
      <w:r w:rsidR="006276C2">
        <w:t xml:space="preserve">., </w:t>
      </w:r>
      <w:r>
        <w:t>2022 QCCA 708.</w:t>
      </w:r>
    </w:p>
  </w:footnote>
  <w:footnote w:id="12">
    <w:p w14:paraId="51BAAAD7" w14:textId="77777777" w:rsidR="007A71D0" w:rsidRDefault="007A71D0" w:rsidP="007A71D0">
      <w:pPr>
        <w:pStyle w:val="Notedebasdepage"/>
      </w:pPr>
      <w:r w:rsidRPr="00B71198">
        <w:rPr>
          <w:rStyle w:val="Appelnotedebasdep"/>
          <w:vertAlign w:val="superscript"/>
        </w:rPr>
        <w:footnoteRef/>
      </w:r>
      <w:r w:rsidRPr="00B71198">
        <w:rPr>
          <w:vertAlign w:val="superscript"/>
        </w:rPr>
        <w:t xml:space="preserve"> </w:t>
      </w:r>
      <w:r>
        <w:rPr>
          <w:vertAlign w:val="superscript"/>
        </w:rPr>
        <w:tab/>
      </w:r>
      <w:r>
        <w:t xml:space="preserve">Le Tribunal a repris les propos du juge Kukurin dans </w:t>
      </w:r>
      <w:r w:rsidRPr="00D74178">
        <w:rPr>
          <w:i/>
        </w:rPr>
        <w:t>R. v. Sayers</w:t>
      </w:r>
      <w:r>
        <w:t xml:space="preserve">, 2020 ONCJ 644 (CanLII), par. 13. </w:t>
      </w:r>
    </w:p>
  </w:footnote>
  <w:footnote w:id="13">
    <w:p w14:paraId="461DDC32" w14:textId="1F0789A8" w:rsidR="00A11F08" w:rsidRPr="00A11F08" w:rsidRDefault="00A11F08">
      <w:pPr>
        <w:pStyle w:val="Notedebasdepage"/>
        <w:rPr>
          <w:vertAlign w:val="superscript"/>
        </w:rPr>
      </w:pPr>
      <w:r w:rsidRPr="00A11F08">
        <w:rPr>
          <w:rStyle w:val="Appelnotedebasdep"/>
          <w:vertAlign w:val="superscript"/>
        </w:rPr>
        <w:footnoteRef/>
      </w:r>
      <w:r>
        <w:rPr>
          <w:vertAlign w:val="superscript"/>
        </w:rPr>
        <w:t xml:space="preserve"> </w:t>
      </w:r>
      <w:r>
        <w:rPr>
          <w:vertAlign w:val="superscript"/>
        </w:rPr>
        <w:tab/>
      </w:r>
      <w:r w:rsidRPr="00A11F08">
        <w:rPr>
          <w:rFonts w:cs="Arial"/>
          <w:i/>
          <w:iCs/>
          <w:lang w:val="fr-FR"/>
        </w:rPr>
        <w:t>Claveau</w:t>
      </w:r>
      <w:r>
        <w:rPr>
          <w:rFonts w:cs="Arial"/>
          <w:lang w:val="fr-FR"/>
        </w:rPr>
        <w:t xml:space="preserve"> c. </w:t>
      </w:r>
      <w:r w:rsidRPr="00A11F08">
        <w:rPr>
          <w:rFonts w:cs="Arial"/>
          <w:i/>
          <w:iCs/>
          <w:lang w:val="fr-FR"/>
        </w:rPr>
        <w:t>R</w:t>
      </w:r>
      <w:r>
        <w:t>., 2022 QCCA 90</w:t>
      </w:r>
      <w:r w:rsidR="002515DE">
        <w:t>.</w:t>
      </w:r>
      <w:r w:rsidRPr="00A11F08">
        <w:rPr>
          <w:vertAlign w:val="superscript"/>
        </w:rPr>
        <w:tab/>
      </w:r>
    </w:p>
  </w:footnote>
  <w:footnote w:id="14">
    <w:p w14:paraId="58551320" w14:textId="7F38BF81" w:rsidR="003A0990" w:rsidRPr="003A0990" w:rsidRDefault="003A0990">
      <w:pPr>
        <w:pStyle w:val="Notedebasdepage"/>
        <w:rPr>
          <w:vertAlign w:val="superscript"/>
        </w:rPr>
      </w:pPr>
      <w:r w:rsidRPr="003A0990">
        <w:rPr>
          <w:rStyle w:val="Appelnotedebasdep"/>
          <w:vertAlign w:val="superscript"/>
        </w:rPr>
        <w:footnoteRef/>
      </w:r>
      <w:r w:rsidRPr="003A0990">
        <w:rPr>
          <w:vertAlign w:val="superscript"/>
        </w:rPr>
        <w:t xml:space="preserve"> </w:t>
      </w:r>
      <w:r>
        <w:rPr>
          <w:vertAlign w:val="superscript"/>
        </w:rPr>
        <w:tab/>
      </w:r>
      <w:r w:rsidRPr="003A0990">
        <w:rPr>
          <w:rFonts w:cs="Arial"/>
          <w:i/>
          <w:iCs/>
          <w:lang w:val="fr-FR"/>
        </w:rPr>
        <w:t>Rochette c. R</w:t>
      </w:r>
      <w:r>
        <w:rPr>
          <w:rFonts w:cs="Arial"/>
          <w:i/>
          <w:iCs/>
          <w:lang w:val="fr-FR"/>
        </w:rPr>
        <w:t>.</w:t>
      </w:r>
      <w:r w:rsidRPr="003A0990">
        <w:rPr>
          <w:rFonts w:cs="Arial"/>
          <w:i/>
          <w:iCs/>
          <w:lang w:val="fr-FR"/>
        </w:rPr>
        <w:t>,</w:t>
      </w:r>
      <w:r>
        <w:rPr>
          <w:rFonts w:cs="Arial"/>
          <w:i/>
          <w:iCs/>
          <w:lang w:val="fr-FR"/>
        </w:rPr>
        <w:t xml:space="preserve"> </w:t>
      </w:r>
      <w:r w:rsidRPr="002515DE">
        <w:rPr>
          <w:rFonts w:cs="Arial"/>
          <w:lang w:val="fr-FR"/>
        </w:rPr>
        <w:t>2022 QCCA</w:t>
      </w:r>
      <w:r w:rsidR="002515DE" w:rsidRPr="002515DE">
        <w:rPr>
          <w:rFonts w:cs="Arial"/>
          <w:lang w:val="fr-FR"/>
        </w:rPr>
        <w:t xml:space="preserve"> 58</w:t>
      </w:r>
      <w:r w:rsidR="002515DE">
        <w:rPr>
          <w:rFonts w:cs="Arial"/>
          <w:lang w:val="fr-FR"/>
        </w:rPr>
        <w:t>.</w:t>
      </w:r>
      <w:r>
        <w:rPr>
          <w:vertAlign w:val="superscript"/>
        </w:rPr>
        <w:t xml:space="preserve"> </w:t>
      </w:r>
    </w:p>
  </w:footnote>
  <w:footnote w:id="15">
    <w:p w14:paraId="758E3C38" w14:textId="58D060BB" w:rsidR="007239EE" w:rsidRPr="007239EE" w:rsidRDefault="007239EE" w:rsidP="007239EE">
      <w:pPr>
        <w:pStyle w:val="Notedebasdepage"/>
        <w:rPr>
          <w:vertAlign w:val="superscript"/>
        </w:rPr>
      </w:pPr>
      <w:r w:rsidRPr="007239EE">
        <w:rPr>
          <w:rStyle w:val="Appelnotedebasdep"/>
          <w:vertAlign w:val="superscript"/>
        </w:rPr>
        <w:footnoteRef/>
      </w:r>
      <w:r>
        <w:rPr>
          <w:vertAlign w:val="superscript"/>
        </w:rPr>
        <w:t xml:space="preserve"> </w:t>
      </w:r>
      <w:r>
        <w:rPr>
          <w:vertAlign w:val="superscript"/>
        </w:rPr>
        <w:tab/>
      </w:r>
      <w:r w:rsidRPr="007239EE">
        <w:rPr>
          <w:vertAlign w:val="superscript"/>
        </w:rPr>
        <w:t xml:space="preserve"> </w:t>
      </w:r>
      <w:r w:rsidRPr="00062F4A">
        <w:t>Trame factuelle</w:t>
      </w:r>
      <w:r>
        <w:t xml:space="preserve"> conjointe pour plaidoyer de culpabilité</w:t>
      </w:r>
      <w:r w:rsidR="000200A6">
        <w:t xml:space="preserve"> précitée, </w:t>
      </w:r>
      <w:r w:rsidR="004D36EB">
        <w:t>page 4.</w:t>
      </w:r>
    </w:p>
  </w:footnote>
  <w:footnote w:id="16">
    <w:p w14:paraId="7FA303EB" w14:textId="77777777" w:rsidR="001D1E0D" w:rsidRDefault="001D1E0D" w:rsidP="001D1E0D">
      <w:pPr>
        <w:pStyle w:val="Notedebasdepage"/>
      </w:pPr>
      <w:r w:rsidRPr="003D3D3B">
        <w:rPr>
          <w:rStyle w:val="Appelnotedebasdep"/>
          <w:vertAlign w:val="superscript"/>
        </w:rPr>
        <w:footnoteRef/>
      </w:r>
      <w:r w:rsidRPr="003D3D3B">
        <w:rPr>
          <w:vertAlign w:val="superscript"/>
        </w:rPr>
        <w:t xml:space="preserve"> </w:t>
      </w:r>
      <w:r>
        <w:rPr>
          <w:vertAlign w:val="superscript"/>
        </w:rPr>
        <w:tab/>
      </w:r>
      <w:r w:rsidRPr="005E1222">
        <w:rPr>
          <w:i/>
          <w:szCs w:val="24"/>
        </w:rPr>
        <w:t>Perron c. R</w:t>
      </w:r>
      <w:r>
        <w:rPr>
          <w:i/>
          <w:szCs w:val="24"/>
        </w:rPr>
        <w:t>.,</w:t>
      </w:r>
      <w:r w:rsidRPr="00F9188B">
        <w:rPr>
          <w:szCs w:val="24"/>
        </w:rPr>
        <w:t xml:space="preserve"> 2015 QCCA 601 (CanLII),</w:t>
      </w:r>
    </w:p>
  </w:footnote>
  <w:footnote w:id="17">
    <w:p w14:paraId="1003F120" w14:textId="771ECDE9" w:rsidR="006748DF" w:rsidRPr="006748DF" w:rsidRDefault="006748DF" w:rsidP="006748DF">
      <w:pPr>
        <w:pStyle w:val="Notedebasdepage"/>
        <w:rPr>
          <w:i/>
          <w:iCs/>
          <w:lang w:eastAsia="fr-CA"/>
        </w:rPr>
      </w:pPr>
      <w:r w:rsidRPr="006748DF">
        <w:rPr>
          <w:rStyle w:val="Appelnotedebasdep"/>
          <w:vertAlign w:val="superscript"/>
        </w:rPr>
        <w:footnoteRef/>
      </w:r>
      <w:r>
        <w:t xml:space="preserve"> </w:t>
      </w:r>
      <w:r>
        <w:tab/>
      </w:r>
      <w:r w:rsidRPr="001D1E0D">
        <w:rPr>
          <w:i/>
          <w:iCs/>
          <w:lang w:eastAsia="fr-CA"/>
        </w:rPr>
        <w:t>R. c. Bernier</w:t>
      </w:r>
      <w:r w:rsidRPr="006748DF">
        <w:rPr>
          <w:i/>
          <w:iCs/>
          <w:lang w:eastAsia="fr-CA"/>
        </w:rPr>
        <w:t>, 2011 QCCA 228</w:t>
      </w:r>
    </w:p>
  </w:footnote>
  <w:footnote w:id="18">
    <w:p w14:paraId="6DB8152B" w14:textId="2B8E21ED" w:rsidR="001D1E0D" w:rsidRDefault="001D1E0D" w:rsidP="001D1E0D">
      <w:pPr>
        <w:pStyle w:val="Notedebasdepage"/>
      </w:pPr>
      <w:r w:rsidRPr="001B0F7A">
        <w:rPr>
          <w:rStyle w:val="Appelnotedebasdep"/>
          <w:vertAlign w:val="superscript"/>
        </w:rPr>
        <w:footnoteRef/>
      </w:r>
      <w:r w:rsidRPr="001B0F7A">
        <w:rPr>
          <w:vertAlign w:val="superscript"/>
        </w:rPr>
        <w:t xml:space="preserve"> </w:t>
      </w:r>
      <w:r>
        <w:rPr>
          <w:vertAlign w:val="superscript"/>
        </w:rPr>
        <w:t xml:space="preserve"> </w:t>
      </w:r>
      <w:r>
        <w:rPr>
          <w:vertAlign w:val="superscript"/>
        </w:rPr>
        <w:tab/>
      </w:r>
      <w:r>
        <w:t xml:space="preserve">Par. 92 dans la décision de </w:t>
      </w:r>
      <w:r w:rsidR="00F93FD6" w:rsidRPr="00F93FD6">
        <w:rPr>
          <w:i/>
          <w:iCs/>
        </w:rPr>
        <w:t>R</w:t>
      </w:r>
      <w:r w:rsidR="00F93FD6">
        <w:t xml:space="preserve">. c. </w:t>
      </w:r>
      <w:r w:rsidRPr="001B0F7A">
        <w:rPr>
          <w:i/>
        </w:rPr>
        <w:t>M. (C.A.),</w:t>
      </w:r>
      <w:r>
        <w:t xml:space="preserve"> précité. </w:t>
      </w:r>
    </w:p>
  </w:footnote>
  <w:footnote w:id="19">
    <w:p w14:paraId="4A11094F" w14:textId="74E89AD7" w:rsidR="001D1E0D" w:rsidRDefault="001D1E0D" w:rsidP="001D1E0D">
      <w:pPr>
        <w:pStyle w:val="Notedebasdepage"/>
      </w:pPr>
      <w:r w:rsidRPr="001B0F7A">
        <w:rPr>
          <w:rStyle w:val="Appelnotedebasdep"/>
          <w:vertAlign w:val="superscript"/>
        </w:rPr>
        <w:footnoteRef/>
      </w:r>
      <w:r>
        <w:rPr>
          <w:rFonts w:cs="Arial"/>
          <w:i/>
          <w:iCs/>
          <w:szCs w:val="24"/>
          <w:lang w:eastAsia="fr-CA"/>
        </w:rPr>
        <w:t xml:space="preserve">  </w:t>
      </w:r>
      <w:r>
        <w:rPr>
          <w:rFonts w:cs="Arial"/>
          <w:i/>
          <w:iCs/>
          <w:szCs w:val="24"/>
          <w:lang w:eastAsia="fr-CA"/>
        </w:rPr>
        <w:tab/>
      </w:r>
      <w:r w:rsidRPr="00F9188B">
        <w:rPr>
          <w:rFonts w:cs="Arial"/>
          <w:i/>
          <w:iCs/>
          <w:szCs w:val="24"/>
          <w:lang w:eastAsia="fr-CA"/>
        </w:rPr>
        <w:t>R. c. Gagné</w:t>
      </w:r>
      <w:r>
        <w:rPr>
          <w:rFonts w:cs="Arial"/>
          <w:i/>
          <w:iCs/>
          <w:szCs w:val="24"/>
          <w:lang w:eastAsia="fr-CA"/>
        </w:rPr>
        <w:t xml:space="preserve">, </w:t>
      </w:r>
      <w:hyperlink r:id="rId7" w:history="1">
        <w:r w:rsidRPr="00F9188B">
          <w:rPr>
            <w:rFonts w:cs="Arial"/>
            <w:szCs w:val="24"/>
            <w:lang w:eastAsia="fr-CA"/>
          </w:rPr>
          <w:t>2002 CanLII 31056</w:t>
        </w:r>
      </w:hyperlink>
      <w:r w:rsidRPr="00F9188B">
        <w:rPr>
          <w:rFonts w:cs="Arial"/>
          <w:szCs w:val="24"/>
          <w:lang w:eastAsia="fr-CA"/>
        </w:rPr>
        <w:t> (QC CQ)</w:t>
      </w:r>
      <w:r>
        <w:rPr>
          <w:rFonts w:cs="Arial"/>
          <w:szCs w:val="24"/>
          <w:lang w:eastAsia="fr-CA"/>
        </w:rPr>
        <w:t>.</w:t>
      </w:r>
    </w:p>
  </w:footnote>
  <w:footnote w:id="20">
    <w:p w14:paraId="0A9EEAC1" w14:textId="3EAFAF65" w:rsidR="001D1E0D" w:rsidRDefault="001D1E0D" w:rsidP="001D1E0D">
      <w:pPr>
        <w:pStyle w:val="Notedebasdepage"/>
      </w:pPr>
      <w:r w:rsidRPr="00784EF4">
        <w:rPr>
          <w:rStyle w:val="Appelnotedebasdep"/>
          <w:vertAlign w:val="superscript"/>
        </w:rPr>
        <w:footnoteRef/>
      </w:r>
      <w:r w:rsidRPr="00784EF4">
        <w:rPr>
          <w:vertAlign w:val="superscript"/>
        </w:rPr>
        <w:t xml:space="preserve"> </w:t>
      </w:r>
      <w:r>
        <w:rPr>
          <w:vertAlign w:val="superscript"/>
        </w:rPr>
        <w:t xml:space="preserve"> </w:t>
      </w:r>
      <w:r>
        <w:rPr>
          <w:vertAlign w:val="superscript"/>
        </w:rPr>
        <w:tab/>
      </w:r>
      <w:r w:rsidRPr="00F9188B">
        <w:rPr>
          <w:rFonts w:cs="Arial"/>
          <w:i/>
          <w:iCs/>
          <w:szCs w:val="24"/>
          <w:lang w:eastAsia="fr-CA"/>
        </w:rPr>
        <w:t>R. c. Nasogaluak</w:t>
      </w:r>
      <w:r w:rsidR="00BC1F98">
        <w:rPr>
          <w:rFonts w:cs="Arial"/>
          <w:i/>
          <w:iCs/>
          <w:szCs w:val="24"/>
          <w:lang w:eastAsia="fr-CA"/>
        </w:rPr>
        <w:t>,</w:t>
      </w:r>
      <w:r w:rsidRPr="00F9188B">
        <w:rPr>
          <w:rFonts w:cs="Arial"/>
          <w:szCs w:val="24"/>
          <w:lang w:eastAsia="fr-CA"/>
        </w:rPr>
        <w:t xml:space="preserve"> [2010] 1 RCS 206</w:t>
      </w:r>
      <w:r>
        <w:rPr>
          <w:rFonts w:cs="Arial"/>
          <w:szCs w:val="24"/>
          <w:lang w:eastAsia="fr-CA"/>
        </w:rPr>
        <w:t>.</w:t>
      </w:r>
    </w:p>
  </w:footnote>
  <w:footnote w:id="21">
    <w:p w14:paraId="0DA0936E" w14:textId="600B9C51" w:rsidR="001D1E0D" w:rsidRPr="00E04AAC" w:rsidRDefault="001D1E0D" w:rsidP="001D1E0D">
      <w:pPr>
        <w:pStyle w:val="Notedebasdepage"/>
        <w:rPr>
          <w:rFonts w:cs="Arial"/>
          <w:iCs/>
          <w:color w:val="000000"/>
        </w:rPr>
      </w:pPr>
      <w:r w:rsidRPr="00784EF4">
        <w:rPr>
          <w:rStyle w:val="Appelnotedebasdep"/>
          <w:vertAlign w:val="superscript"/>
        </w:rPr>
        <w:footnoteRef/>
      </w:r>
      <w:r w:rsidRPr="00784EF4">
        <w:rPr>
          <w:vertAlign w:val="superscript"/>
        </w:rPr>
        <w:t xml:space="preserve"> </w:t>
      </w:r>
      <w:r>
        <w:tab/>
        <w:t>L</w:t>
      </w:r>
      <w:r>
        <w:rPr>
          <w:rFonts w:cs="Arial"/>
          <w:color w:val="000000"/>
        </w:rPr>
        <w:t>e Tribunal a repris textuellement les propos du juge Gilles Charest </w:t>
      </w:r>
      <w:r>
        <w:rPr>
          <w:rStyle w:val="reflex"/>
          <w:rFonts w:cs="Arial"/>
          <w:color w:val="000000"/>
        </w:rPr>
        <w:t>dans </w:t>
      </w:r>
      <w:r>
        <w:rPr>
          <w:rStyle w:val="reflex"/>
          <w:rFonts w:cs="Arial"/>
          <w:i/>
          <w:iCs/>
          <w:color w:val="000000"/>
        </w:rPr>
        <w:t xml:space="preserve">R. c. Bessette, </w:t>
      </w:r>
      <w:r w:rsidRPr="00784EF4">
        <w:rPr>
          <w:rStyle w:val="reflex"/>
          <w:rFonts w:cs="Arial"/>
          <w:iCs/>
          <w:color w:val="000000"/>
        </w:rPr>
        <w:t xml:space="preserve">par. </w:t>
      </w:r>
      <w:r w:rsidR="007F6816" w:rsidRPr="00784EF4">
        <w:rPr>
          <w:rStyle w:val="reflex"/>
          <w:rFonts w:cs="Arial"/>
          <w:iCs/>
          <w:color w:val="000000"/>
        </w:rPr>
        <w:t>75, qui</w:t>
      </w:r>
      <w:r w:rsidRPr="00784EF4">
        <w:rPr>
          <w:rStyle w:val="reflex"/>
          <w:rFonts w:cs="Arial"/>
          <w:iCs/>
          <w:color w:val="000000"/>
        </w:rPr>
        <w:t xml:space="preserve"> </w:t>
      </w:r>
      <w:r>
        <w:rPr>
          <w:rStyle w:val="reflex"/>
          <w:rFonts w:cs="Arial"/>
          <w:iCs/>
          <w:color w:val="000000"/>
        </w:rPr>
        <w:t>f</w:t>
      </w:r>
      <w:r>
        <w:rPr>
          <w:rFonts w:cs="Arial"/>
          <w:iCs/>
          <w:color w:val="000000"/>
        </w:rPr>
        <w:t>on</w:t>
      </w:r>
      <w:r w:rsidRPr="00784EF4">
        <w:rPr>
          <w:rFonts w:cs="Arial"/>
          <w:iCs/>
          <w:color w:val="000000"/>
        </w:rPr>
        <w:t>t</w:t>
      </w:r>
      <w:r>
        <w:rPr>
          <w:rFonts w:cs="Arial"/>
          <w:i/>
          <w:iCs/>
          <w:color w:val="000000"/>
        </w:rPr>
        <w:t xml:space="preserve"> </w:t>
      </w:r>
      <w:r w:rsidRPr="00784EF4">
        <w:rPr>
          <w:rFonts w:cs="Arial"/>
          <w:iCs/>
          <w:color w:val="000000"/>
        </w:rPr>
        <w:t xml:space="preserve">référence à la cause de </w:t>
      </w:r>
      <w:r w:rsidRPr="00784EF4">
        <w:rPr>
          <w:rFonts w:cs="Arial"/>
          <w:i/>
          <w:iCs/>
          <w:color w:val="000000"/>
        </w:rPr>
        <w:t>R. c. Nasogaluak</w:t>
      </w:r>
      <w:r>
        <w:rPr>
          <w:rFonts w:cs="Arial"/>
          <w:color w:val="000000"/>
        </w:rPr>
        <w:t xml:space="preserve">, précité. </w:t>
      </w:r>
    </w:p>
  </w:footnote>
  <w:footnote w:id="22">
    <w:p w14:paraId="6444A7F8" w14:textId="402DB26C" w:rsidR="001D1E0D" w:rsidRDefault="001D1E0D" w:rsidP="001D1E0D">
      <w:pPr>
        <w:pStyle w:val="Notedebasdepage"/>
      </w:pPr>
      <w:r w:rsidRPr="00164D09">
        <w:rPr>
          <w:rStyle w:val="Appelnotedebasdep"/>
          <w:vertAlign w:val="superscript"/>
        </w:rPr>
        <w:footnoteRef/>
      </w:r>
      <w:r>
        <w:rPr>
          <w:vertAlign w:val="superscript"/>
        </w:rPr>
        <w:t xml:space="preserve"> </w:t>
      </w:r>
      <w:r w:rsidR="00D334B3">
        <w:rPr>
          <w:vertAlign w:val="superscript"/>
        </w:rPr>
        <w:tab/>
      </w:r>
      <w:r>
        <w:rPr>
          <w:rFonts w:cs="Arial"/>
          <w:color w:val="000000"/>
        </w:rPr>
        <w:t>Hugues Parent et Julie Desrosiers, </w:t>
      </w:r>
      <w:r>
        <w:rPr>
          <w:rFonts w:cs="Arial"/>
          <w:i/>
          <w:iCs/>
          <w:color w:val="000000"/>
        </w:rPr>
        <w:t>Traité de droit criminel : La peine</w:t>
      </w:r>
      <w:r>
        <w:rPr>
          <w:rFonts w:cs="Arial"/>
          <w:color w:val="000000"/>
        </w:rPr>
        <w:t xml:space="preserve">, </w:t>
      </w:r>
      <w:r w:rsidR="003132A2">
        <w:rPr>
          <w:rFonts w:cs="Arial"/>
          <w:color w:val="000000"/>
        </w:rPr>
        <w:t>T.</w:t>
      </w:r>
      <w:r>
        <w:rPr>
          <w:rFonts w:cs="Arial"/>
          <w:color w:val="000000"/>
        </w:rPr>
        <w:t xml:space="preserve"> 3, 2</w:t>
      </w:r>
      <w:r>
        <w:rPr>
          <w:rFonts w:cs="Arial"/>
          <w:color w:val="000000"/>
          <w:vertAlign w:val="superscript"/>
        </w:rPr>
        <w:t>e </w:t>
      </w:r>
      <w:r>
        <w:rPr>
          <w:rFonts w:cs="Arial"/>
          <w:color w:val="000000"/>
        </w:rPr>
        <w:t>éd., Montréal, Thémis, 2016, p. 592, no. 501.</w:t>
      </w:r>
    </w:p>
  </w:footnote>
  <w:footnote w:id="23">
    <w:p w14:paraId="42E35A97" w14:textId="654B3446" w:rsidR="000B49C9" w:rsidRPr="0096435A" w:rsidRDefault="000B49C9">
      <w:pPr>
        <w:pStyle w:val="Notedebasdepage"/>
        <w:rPr>
          <w:vertAlign w:val="superscript"/>
        </w:rPr>
      </w:pPr>
      <w:r w:rsidRPr="000B49C9">
        <w:rPr>
          <w:rStyle w:val="Appelnotedebasdep"/>
          <w:vertAlign w:val="superscript"/>
        </w:rPr>
        <w:footnoteRef/>
      </w:r>
      <w:r w:rsidRPr="0096435A">
        <w:rPr>
          <w:vertAlign w:val="superscript"/>
        </w:rPr>
        <w:t xml:space="preserve"> </w:t>
      </w:r>
      <w:r w:rsidR="0096435A" w:rsidRPr="0096435A">
        <w:rPr>
          <w:vertAlign w:val="superscript"/>
        </w:rPr>
        <w:tab/>
      </w:r>
      <w:r w:rsidR="0096435A" w:rsidRPr="0096435A">
        <w:rPr>
          <w:i/>
          <w:iCs/>
          <w:lang w:eastAsia="fr-CA"/>
        </w:rPr>
        <w:t>Normand c. R</w:t>
      </w:r>
      <w:r w:rsidR="0096435A" w:rsidRPr="00C261F4">
        <w:rPr>
          <w:lang w:eastAsia="fr-CA"/>
        </w:rPr>
        <w:t>, 2011 QCCQ 14150</w:t>
      </w:r>
      <w:r w:rsidR="0096435A" w:rsidRPr="0096435A">
        <w:rPr>
          <w:lang w:eastAsia="fr-CA"/>
        </w:rPr>
        <w:t>, ci</w:t>
      </w:r>
      <w:r w:rsidR="0096435A">
        <w:rPr>
          <w:lang w:eastAsia="fr-CA"/>
        </w:rPr>
        <w:t xml:space="preserve">té dans </w:t>
      </w:r>
      <w:r w:rsidR="0096435A" w:rsidRPr="00C261F4">
        <w:rPr>
          <w:i/>
          <w:iCs/>
          <w:lang w:eastAsia="fr-CA"/>
        </w:rPr>
        <w:t>R.</w:t>
      </w:r>
      <w:r w:rsidR="00C522AA">
        <w:rPr>
          <w:i/>
          <w:iCs/>
          <w:lang w:eastAsia="fr-CA"/>
        </w:rPr>
        <w:t xml:space="preserve"> </w:t>
      </w:r>
      <w:r w:rsidR="00C522AA" w:rsidRPr="00C522AA">
        <w:rPr>
          <w:lang w:eastAsia="fr-CA"/>
        </w:rPr>
        <w:t>c.</w:t>
      </w:r>
      <w:r w:rsidR="0096435A" w:rsidRPr="00C261F4">
        <w:rPr>
          <w:i/>
          <w:iCs/>
          <w:lang w:eastAsia="fr-CA"/>
        </w:rPr>
        <w:t xml:space="preserve"> M…V…</w:t>
      </w:r>
      <w:r w:rsidR="0096435A">
        <w:rPr>
          <w:lang w:eastAsia="fr-CA"/>
        </w:rPr>
        <w:t>2014 QCCA 878</w:t>
      </w:r>
    </w:p>
  </w:footnote>
  <w:footnote w:id="24">
    <w:p w14:paraId="09A508AA" w14:textId="3B1A5F4A" w:rsidR="00A16801" w:rsidRPr="00A16801" w:rsidRDefault="00A16801">
      <w:pPr>
        <w:pStyle w:val="Notedebasdepage"/>
        <w:rPr>
          <w:vertAlign w:val="superscript"/>
        </w:rPr>
      </w:pPr>
      <w:r w:rsidRPr="00A16801">
        <w:rPr>
          <w:rStyle w:val="Appelnotedebasdep"/>
          <w:vertAlign w:val="superscript"/>
        </w:rPr>
        <w:footnoteRef/>
      </w:r>
      <w:r w:rsidRPr="00A16801">
        <w:rPr>
          <w:vertAlign w:val="superscript"/>
        </w:rPr>
        <w:t xml:space="preserve"> </w:t>
      </w:r>
      <w:r w:rsidRPr="00A16801">
        <w:rPr>
          <w:vertAlign w:val="superscript"/>
        </w:rPr>
        <w:tab/>
      </w:r>
      <w:r w:rsidRPr="00A16801">
        <w:rPr>
          <w:i/>
          <w:iCs/>
          <w:lang w:eastAsia="fr-CA"/>
        </w:rPr>
        <w:t xml:space="preserve">R. v. Paper, </w:t>
      </w:r>
      <w:r w:rsidRPr="00A16801">
        <w:rPr>
          <w:lang w:eastAsia="fr-CA"/>
        </w:rPr>
        <w:t xml:space="preserve">2010 ONCJ 88; </w:t>
      </w:r>
      <w:r>
        <w:rPr>
          <w:lang w:eastAsia="fr-CA"/>
        </w:rPr>
        <w:t xml:space="preserve">confirmé par </w:t>
      </w:r>
      <w:r w:rsidRPr="00A16801">
        <w:rPr>
          <w:i/>
          <w:iCs/>
          <w:lang w:eastAsia="fr-CA"/>
        </w:rPr>
        <w:t>R. v. Paper</w:t>
      </w:r>
      <w:r>
        <w:rPr>
          <w:lang w:eastAsia="fr-CA"/>
        </w:rPr>
        <w:t>, 2011 ONCA 56.</w:t>
      </w:r>
    </w:p>
  </w:footnote>
  <w:footnote w:id="25">
    <w:p w14:paraId="02A8E400" w14:textId="3C4D02E4" w:rsidR="00370001" w:rsidRPr="00370001" w:rsidRDefault="00370001">
      <w:pPr>
        <w:pStyle w:val="Notedebasdepage"/>
      </w:pPr>
      <w:r w:rsidRPr="00370001">
        <w:rPr>
          <w:rStyle w:val="Appelnotedebasdep"/>
          <w:vertAlign w:val="superscript"/>
        </w:rPr>
        <w:footnoteRef/>
      </w:r>
      <w:r w:rsidRPr="00370001">
        <w:t xml:space="preserve"> </w:t>
      </w:r>
      <w:r w:rsidRPr="00370001">
        <w:tab/>
      </w:r>
      <w:r w:rsidRPr="00D334B3">
        <w:rPr>
          <w:i/>
          <w:iCs/>
          <w:kern w:val="24"/>
        </w:rPr>
        <w:t>R</w:t>
      </w:r>
      <w:r w:rsidRPr="00370001">
        <w:rPr>
          <w:kern w:val="24"/>
        </w:rPr>
        <w:t>. c</w:t>
      </w:r>
      <w:r w:rsidRPr="00D334B3">
        <w:rPr>
          <w:i/>
          <w:iCs/>
          <w:kern w:val="24"/>
        </w:rPr>
        <w:t>. Lafrance</w:t>
      </w:r>
      <w:r w:rsidRPr="00370001">
        <w:rPr>
          <w:kern w:val="24"/>
        </w:rPr>
        <w:t>,</w:t>
      </w:r>
      <w:r w:rsidR="005055D6">
        <w:rPr>
          <w:kern w:val="24"/>
        </w:rPr>
        <w:t xml:space="preserve"> J.E. 94-58 (C.A.),</w:t>
      </w:r>
      <w:r w:rsidR="004F0D23">
        <w:rPr>
          <w:kern w:val="24"/>
        </w:rPr>
        <w:t xml:space="preserve"> cité dans </w:t>
      </w:r>
      <w:r w:rsidR="004F0D23" w:rsidRPr="00D334B3">
        <w:rPr>
          <w:i/>
          <w:iCs/>
          <w:kern w:val="24"/>
        </w:rPr>
        <w:t>R</w:t>
      </w:r>
      <w:r w:rsidR="004F0D23">
        <w:rPr>
          <w:kern w:val="24"/>
        </w:rPr>
        <w:t xml:space="preserve">. c. </w:t>
      </w:r>
      <w:r w:rsidR="004F0D23" w:rsidRPr="00D334B3">
        <w:rPr>
          <w:i/>
          <w:iCs/>
          <w:kern w:val="24"/>
        </w:rPr>
        <w:t>Préfontaine</w:t>
      </w:r>
      <w:r w:rsidR="00D334B3">
        <w:rPr>
          <w:i/>
          <w:iCs/>
          <w:kern w:val="24"/>
        </w:rPr>
        <w:t xml:space="preserve"> </w:t>
      </w:r>
      <w:r w:rsidR="00D334B3" w:rsidRPr="00D334B3">
        <w:rPr>
          <w:kern w:val="24"/>
        </w:rPr>
        <w:t>2020 QCCA 1138</w:t>
      </w:r>
      <w:r w:rsidR="006C7352">
        <w:rPr>
          <w:kern w:val="24"/>
        </w:rPr>
        <w:t>, par. 19.</w:t>
      </w:r>
    </w:p>
  </w:footnote>
  <w:footnote w:id="26">
    <w:p w14:paraId="2009756D" w14:textId="04051C9D" w:rsidR="00451805" w:rsidRDefault="00451805">
      <w:pPr>
        <w:pStyle w:val="Notedebasdepage"/>
      </w:pPr>
      <w:r w:rsidRPr="00451805">
        <w:rPr>
          <w:rStyle w:val="Appelnotedebasdep"/>
          <w:vertAlign w:val="superscript"/>
        </w:rPr>
        <w:footnoteRef/>
      </w:r>
      <w:r w:rsidRPr="00451805">
        <w:rPr>
          <w:vertAlign w:val="superscript"/>
        </w:rPr>
        <w:t xml:space="preserve"> </w:t>
      </w:r>
      <w:r>
        <w:tab/>
      </w:r>
      <w:r w:rsidRPr="00451805">
        <w:rPr>
          <w:i/>
          <w:iCs/>
        </w:rPr>
        <w:t xml:space="preserve">R. </w:t>
      </w:r>
      <w:r w:rsidRPr="00451805">
        <w:t>c</w:t>
      </w:r>
      <w:r w:rsidRPr="00451805">
        <w:rPr>
          <w:i/>
          <w:iCs/>
        </w:rPr>
        <w:t xml:space="preserve">. Rhéaume </w:t>
      </w:r>
      <w:r w:rsidRPr="00451805">
        <w:t>20</w:t>
      </w:r>
      <w:r w:rsidR="00A46E52">
        <w:t>0</w:t>
      </w:r>
      <w:r w:rsidRPr="00451805">
        <w:t>8 QCCS 6913</w:t>
      </w:r>
    </w:p>
  </w:footnote>
  <w:footnote w:id="27">
    <w:p w14:paraId="6CCBC4BB" w14:textId="18EAD7F2" w:rsidR="00451805" w:rsidRPr="00451805" w:rsidRDefault="00451805">
      <w:pPr>
        <w:pStyle w:val="Notedebasdepage"/>
      </w:pPr>
      <w:r w:rsidRPr="00451805">
        <w:rPr>
          <w:rStyle w:val="Appelnotedebasdep"/>
          <w:vertAlign w:val="superscript"/>
        </w:rPr>
        <w:footnoteRef/>
      </w:r>
      <w:r w:rsidRPr="00451805">
        <w:rPr>
          <w:vertAlign w:val="superscript"/>
        </w:rPr>
        <w:t xml:space="preserve"> </w:t>
      </w:r>
      <w:r>
        <w:rPr>
          <w:vertAlign w:val="superscript"/>
        </w:rPr>
        <w:tab/>
      </w:r>
      <w:r w:rsidRPr="00451805">
        <w:rPr>
          <w:i/>
          <w:iCs/>
        </w:rPr>
        <w:t>R</w:t>
      </w:r>
      <w:r>
        <w:rPr>
          <w:i/>
          <w:iCs/>
        </w:rPr>
        <w:t xml:space="preserve">. c. Béliveau 2013 </w:t>
      </w:r>
      <w:r w:rsidRPr="00F67409">
        <w:t>QCCQ 1309</w:t>
      </w:r>
    </w:p>
  </w:footnote>
  <w:footnote w:id="28">
    <w:p w14:paraId="5B34D432" w14:textId="7D5A1DDA" w:rsidR="00663D2D" w:rsidRPr="00663D2D" w:rsidRDefault="00663D2D">
      <w:pPr>
        <w:pStyle w:val="Notedebasdepage"/>
        <w:rPr>
          <w:vertAlign w:val="superscript"/>
        </w:rPr>
      </w:pPr>
      <w:r w:rsidRPr="00663D2D">
        <w:rPr>
          <w:rStyle w:val="Appelnotedebasdep"/>
          <w:vertAlign w:val="superscript"/>
        </w:rPr>
        <w:footnoteRef/>
      </w:r>
      <w:r w:rsidRPr="00663D2D">
        <w:rPr>
          <w:vertAlign w:val="superscript"/>
        </w:rPr>
        <w:t xml:space="preserve"> </w:t>
      </w:r>
      <w:r w:rsidRPr="00663D2D">
        <w:rPr>
          <w:vertAlign w:val="superscript"/>
        </w:rPr>
        <w:tab/>
      </w:r>
      <w:r w:rsidRPr="00632155">
        <w:rPr>
          <w:i/>
          <w:iCs/>
          <w:lang w:val="fr-FR" w:eastAsia="fr-CA"/>
        </w:rPr>
        <w:t>R</w:t>
      </w:r>
      <w:r>
        <w:rPr>
          <w:lang w:val="fr-FR" w:eastAsia="fr-CA"/>
        </w:rPr>
        <w:t xml:space="preserve">. c. </w:t>
      </w:r>
      <w:r w:rsidRPr="00632155">
        <w:rPr>
          <w:i/>
          <w:iCs/>
          <w:lang w:val="fr-FR" w:eastAsia="fr-CA"/>
        </w:rPr>
        <w:t>Pierre-Paul Par</w:t>
      </w:r>
      <w:r w:rsidRPr="00894259">
        <w:rPr>
          <w:i/>
          <w:iCs/>
          <w:lang w:val="fr-FR" w:eastAsia="fr-CA"/>
        </w:rPr>
        <w:t>é</w:t>
      </w:r>
      <w:r w:rsidR="00081FFD" w:rsidRPr="00081FFD">
        <w:rPr>
          <w:lang w:val="fr-FR" w:eastAsia="fr-CA"/>
        </w:rPr>
        <w:t xml:space="preserve"> 2021</w:t>
      </w:r>
      <w:r w:rsidR="00081FFD">
        <w:rPr>
          <w:lang w:val="fr-FR" w:eastAsia="fr-CA"/>
        </w:rPr>
        <w:t xml:space="preserve"> QCCQ 3397</w:t>
      </w:r>
    </w:p>
  </w:footnote>
  <w:footnote w:id="29">
    <w:p w14:paraId="30A21E96" w14:textId="42C6A763" w:rsidR="00CF1943" w:rsidRPr="00176F9F" w:rsidRDefault="00CF1943">
      <w:pPr>
        <w:pStyle w:val="Notedebasdepage"/>
        <w:rPr>
          <w:vertAlign w:val="superscript"/>
        </w:rPr>
      </w:pPr>
      <w:r w:rsidRPr="00CF1943">
        <w:rPr>
          <w:rStyle w:val="Appelnotedebasdep"/>
          <w:vertAlign w:val="superscript"/>
        </w:rPr>
        <w:footnoteRef/>
      </w:r>
      <w:r w:rsidRPr="00176F9F">
        <w:rPr>
          <w:vertAlign w:val="superscript"/>
        </w:rPr>
        <w:t xml:space="preserve"> </w:t>
      </w:r>
      <w:r w:rsidR="00176F9F" w:rsidRPr="00176F9F">
        <w:rPr>
          <w:vertAlign w:val="superscript"/>
        </w:rPr>
        <w:tab/>
      </w:r>
      <w:r w:rsidR="00176F9F">
        <w:rPr>
          <w:i/>
          <w:iCs/>
          <w:lang w:val="fr-FR" w:eastAsia="fr-CA"/>
        </w:rPr>
        <w:t>R. c. P</w:t>
      </w:r>
      <w:r w:rsidR="00176F9F" w:rsidRPr="00E93E05">
        <w:rPr>
          <w:i/>
          <w:iCs/>
          <w:lang w:val="fr-FR" w:eastAsia="fr-CA"/>
        </w:rPr>
        <w:t xml:space="preserve">ierre </w:t>
      </w:r>
      <w:r w:rsidR="002B50FD" w:rsidRPr="00E93E05">
        <w:rPr>
          <w:i/>
          <w:iCs/>
          <w:lang w:val="fr-FR" w:eastAsia="fr-CA"/>
        </w:rPr>
        <w:t>Ricard</w:t>
      </w:r>
      <w:r w:rsidR="002B50FD">
        <w:rPr>
          <w:i/>
          <w:iCs/>
          <w:lang w:val="fr-FR" w:eastAsia="fr-CA"/>
        </w:rPr>
        <w:t xml:space="preserve"> 2014</w:t>
      </w:r>
      <w:r w:rsidR="00176F9F" w:rsidRPr="00176F9F">
        <w:rPr>
          <w:lang w:val="fr-FR" w:eastAsia="fr-CA"/>
        </w:rPr>
        <w:t xml:space="preserve"> QCCA 1160</w:t>
      </w:r>
    </w:p>
  </w:footnote>
  <w:footnote w:id="30">
    <w:p w14:paraId="5631428D" w14:textId="31078F9B" w:rsidR="00CF1943" w:rsidRPr="00176F9F" w:rsidRDefault="00CF1943">
      <w:pPr>
        <w:pStyle w:val="Notedebasdepage"/>
        <w:rPr>
          <w:vertAlign w:val="superscript"/>
        </w:rPr>
      </w:pPr>
      <w:r w:rsidRPr="00CF1943">
        <w:rPr>
          <w:rStyle w:val="Appelnotedebasdep"/>
          <w:vertAlign w:val="superscript"/>
        </w:rPr>
        <w:footnoteRef/>
      </w:r>
      <w:r w:rsidRPr="00176F9F">
        <w:rPr>
          <w:vertAlign w:val="superscript"/>
        </w:rPr>
        <w:t xml:space="preserve"> </w:t>
      </w:r>
      <w:r w:rsidR="00176F9F" w:rsidRPr="00176F9F">
        <w:rPr>
          <w:vertAlign w:val="superscript"/>
        </w:rPr>
        <w:tab/>
      </w:r>
      <w:r w:rsidR="00D247EC">
        <w:rPr>
          <w:i/>
          <w:iCs/>
          <w:lang w:val="fr-FR" w:eastAsia="fr-CA"/>
        </w:rPr>
        <w:t>C</w:t>
      </w:r>
      <w:r w:rsidR="00176F9F" w:rsidRPr="00AE4E13">
        <w:rPr>
          <w:i/>
          <w:iCs/>
          <w:lang w:val="fr-FR" w:eastAsia="fr-CA"/>
        </w:rPr>
        <w:t>alderon</w:t>
      </w:r>
      <w:r w:rsidR="00D247EC">
        <w:rPr>
          <w:i/>
          <w:iCs/>
          <w:lang w:val="fr-FR" w:eastAsia="fr-CA"/>
        </w:rPr>
        <w:t xml:space="preserve"> c. R. </w:t>
      </w:r>
      <w:r w:rsidR="00D247EC" w:rsidRPr="0089109F">
        <w:rPr>
          <w:lang w:val="fr-FR" w:eastAsia="fr-CA"/>
        </w:rPr>
        <w:t>2015 QCC</w:t>
      </w:r>
      <w:r w:rsidR="0089109F">
        <w:rPr>
          <w:lang w:val="fr-FR" w:eastAsia="fr-CA"/>
        </w:rPr>
        <w:t>A</w:t>
      </w:r>
      <w:r w:rsidR="00D247EC" w:rsidRPr="0089109F">
        <w:rPr>
          <w:lang w:val="fr-FR" w:eastAsia="fr-CA"/>
        </w:rPr>
        <w:t xml:space="preserve"> 1573</w:t>
      </w:r>
    </w:p>
  </w:footnote>
  <w:footnote w:id="31">
    <w:p w14:paraId="6589BA67" w14:textId="7F414156" w:rsidR="00CF1943" w:rsidRPr="0096766D" w:rsidRDefault="00CF1943">
      <w:pPr>
        <w:pStyle w:val="Notedebasdepage"/>
        <w:rPr>
          <w:vertAlign w:val="superscript"/>
        </w:rPr>
      </w:pPr>
      <w:r w:rsidRPr="00CF1943">
        <w:rPr>
          <w:rStyle w:val="Appelnotedebasdep"/>
          <w:vertAlign w:val="superscript"/>
        </w:rPr>
        <w:footnoteRef/>
      </w:r>
      <w:r w:rsidRPr="0096766D">
        <w:rPr>
          <w:vertAlign w:val="superscript"/>
        </w:rPr>
        <w:t xml:space="preserve"> </w:t>
      </w:r>
      <w:r w:rsidR="0096766D" w:rsidRPr="0096766D">
        <w:rPr>
          <w:vertAlign w:val="superscript"/>
        </w:rPr>
        <w:tab/>
      </w:r>
      <w:r w:rsidR="0096766D" w:rsidRPr="00CF1943">
        <w:rPr>
          <w:i/>
          <w:iCs/>
        </w:rPr>
        <w:t>R</w:t>
      </w:r>
      <w:r w:rsidR="0096766D">
        <w:t>. c</w:t>
      </w:r>
      <w:r w:rsidR="0096766D" w:rsidRPr="00CF1943">
        <w:rPr>
          <w:i/>
          <w:iCs/>
        </w:rPr>
        <w:t>. Liliane Blais</w:t>
      </w:r>
      <w:r w:rsidR="0096766D">
        <w:rPr>
          <w:i/>
          <w:iCs/>
        </w:rPr>
        <w:t xml:space="preserve">, </w:t>
      </w:r>
      <w:r w:rsidR="0096766D" w:rsidRPr="00AF42D8">
        <w:t>2010 QCCQ 5606</w:t>
      </w:r>
      <w:r w:rsidR="00F85267">
        <w:t>.</w:t>
      </w:r>
    </w:p>
  </w:footnote>
  <w:footnote w:id="32">
    <w:p w14:paraId="29DF0CA2" w14:textId="33081725" w:rsidR="005D4769" w:rsidRPr="00195E80" w:rsidRDefault="005D4769" w:rsidP="005D4769">
      <w:pPr>
        <w:pStyle w:val="Notedebasdepage"/>
      </w:pPr>
      <w:r w:rsidRPr="00CF1943">
        <w:rPr>
          <w:rStyle w:val="Appelnotedebasdep"/>
          <w:vertAlign w:val="superscript"/>
        </w:rPr>
        <w:footnoteRef/>
      </w:r>
      <w:r w:rsidRPr="00CF1943">
        <w:rPr>
          <w:vertAlign w:val="superscript"/>
        </w:rPr>
        <w:t xml:space="preserve"> </w:t>
      </w:r>
      <w:r w:rsidRPr="00B1383F">
        <w:tab/>
      </w:r>
      <w:r w:rsidRPr="00B1383F">
        <w:rPr>
          <w:rFonts w:cs="Arial"/>
          <w:i/>
          <w:color w:val="212529"/>
        </w:rPr>
        <w:t>R</w:t>
      </w:r>
      <w:r w:rsidRPr="00B1383F">
        <w:rPr>
          <w:rFonts w:cs="Arial"/>
          <w:i/>
        </w:rPr>
        <w:t>. v. H.P.,</w:t>
      </w:r>
      <w:r w:rsidRPr="00B1383F">
        <w:rPr>
          <w:rFonts w:cs="Arial"/>
        </w:rPr>
        <w:t xml:space="preserve"> 2019 ONSC 6421 (CanLII), par. 12 où le juge Davies réfère, aux décisions de la Cour d’appel de l’Ontario dans </w:t>
      </w:r>
      <w:r w:rsidRPr="00B1383F">
        <w:rPr>
          <w:rFonts w:cs="Arial"/>
          <w:i/>
          <w:iCs/>
        </w:rPr>
        <w:t>R. v. Thurairajah</w:t>
      </w:r>
      <w:r w:rsidRPr="00B1383F">
        <w:rPr>
          <w:rFonts w:cs="Arial"/>
        </w:rPr>
        <w:t>, </w:t>
      </w:r>
      <w:hyperlink r:id="rId8" w:history="1">
        <w:r w:rsidRPr="00B1383F">
          <w:rPr>
            <w:rFonts w:cs="Arial"/>
          </w:rPr>
          <w:t>2008 ONCA 91</w:t>
        </w:r>
      </w:hyperlink>
      <w:r w:rsidR="00195E80">
        <w:rPr>
          <w:rFonts w:cs="Arial"/>
        </w:rPr>
        <w:t xml:space="preserve"> au </w:t>
      </w:r>
      <w:r>
        <w:rPr>
          <w:rFonts w:cs="Arial"/>
        </w:rPr>
        <w:t>par.</w:t>
      </w:r>
      <w:r w:rsidRPr="00B1383F">
        <w:rPr>
          <w:rFonts w:cs="Arial"/>
        </w:rPr>
        <w:t> </w:t>
      </w:r>
      <w:hyperlink r:id="rId9" w:anchor="par41" w:history="1">
        <w:r w:rsidRPr="00195E80">
          <w:rPr>
            <w:rFonts w:cs="Arial"/>
          </w:rPr>
          <w:t>41</w:t>
        </w:r>
        <w:r w:rsidR="00195E80" w:rsidRPr="00195E80">
          <w:rPr>
            <w:rFonts w:cs="Arial"/>
          </w:rPr>
          <w:t xml:space="preserve"> et</w:t>
        </w:r>
        <w:r w:rsidRPr="00195E80">
          <w:rPr>
            <w:rFonts w:cs="Arial"/>
          </w:rPr>
          <w:t xml:space="preserve"> 42</w:t>
        </w:r>
      </w:hyperlink>
      <w:r w:rsidRPr="00195E80">
        <w:rPr>
          <w:rFonts w:cs="Arial"/>
        </w:rPr>
        <w:t xml:space="preserve">; </w:t>
      </w:r>
      <w:r w:rsidRPr="00195E80">
        <w:rPr>
          <w:rFonts w:cs="Arial"/>
          <w:i/>
          <w:iCs/>
        </w:rPr>
        <w:t>R. v. Brown</w:t>
      </w:r>
      <w:r w:rsidRPr="00195E80">
        <w:rPr>
          <w:rFonts w:cs="Arial"/>
        </w:rPr>
        <w:t>, </w:t>
      </w:r>
      <w:hyperlink r:id="rId10" w:history="1">
        <w:r w:rsidRPr="00195E80">
          <w:rPr>
            <w:rFonts w:cs="Arial"/>
          </w:rPr>
          <w:t>2015 ONCA 361</w:t>
        </w:r>
      </w:hyperlink>
      <w:r w:rsidRPr="00195E80">
        <w:rPr>
          <w:rFonts w:cs="Arial"/>
        </w:rPr>
        <w:t> a</w:t>
      </w:r>
      <w:r w:rsidR="00195E80" w:rsidRPr="00195E80">
        <w:rPr>
          <w:rFonts w:cs="Arial"/>
        </w:rPr>
        <w:t xml:space="preserve">u </w:t>
      </w:r>
      <w:r w:rsidRPr="00195E80">
        <w:rPr>
          <w:rFonts w:cs="Arial"/>
        </w:rPr>
        <w:t>par. </w:t>
      </w:r>
      <w:hyperlink r:id="rId11" w:anchor="par7" w:history="1">
        <w:r w:rsidRPr="00195E80">
          <w:rPr>
            <w:rFonts w:cs="Arial"/>
          </w:rPr>
          <w:t>7</w:t>
        </w:r>
      </w:hyperlink>
      <w:r w:rsidRPr="00195E80">
        <w:rPr>
          <w:rFonts w:cs="Arial"/>
        </w:rPr>
        <w:t> </w:t>
      </w:r>
      <w:r w:rsidR="00195E80" w:rsidRPr="00195E80">
        <w:rPr>
          <w:rFonts w:cs="Arial"/>
        </w:rPr>
        <w:t>et</w:t>
      </w:r>
      <w:r w:rsidRPr="00195E80">
        <w:rPr>
          <w:rFonts w:cs="Arial"/>
        </w:rPr>
        <w:t xml:space="preserve"> R</w:t>
      </w:r>
      <w:r w:rsidRPr="00195E80">
        <w:rPr>
          <w:rFonts w:cs="Arial"/>
          <w:i/>
          <w:iCs/>
        </w:rPr>
        <w:t>. v. Dirie</w:t>
      </w:r>
      <w:r w:rsidRPr="00195E80">
        <w:rPr>
          <w:rFonts w:cs="Arial"/>
        </w:rPr>
        <w:t>, </w:t>
      </w:r>
      <w:hyperlink r:id="rId12" w:history="1">
        <w:r w:rsidRPr="00195E80">
          <w:rPr>
            <w:rFonts w:cs="Arial"/>
          </w:rPr>
          <w:t>2018 ONSC 5536</w:t>
        </w:r>
      </w:hyperlink>
      <w:r w:rsidRPr="00195E80">
        <w:rPr>
          <w:rFonts w:cs="Arial"/>
        </w:rPr>
        <w:t xml:space="preserve">. </w:t>
      </w:r>
    </w:p>
  </w:footnote>
  <w:footnote w:id="33">
    <w:p w14:paraId="6CF4628A" w14:textId="77777777" w:rsidR="005D4769" w:rsidRPr="00B1383F" w:rsidRDefault="005D4769" w:rsidP="005D4769">
      <w:pPr>
        <w:pStyle w:val="Notedebasdepage"/>
        <w:rPr>
          <w:lang w:val="en-CA"/>
        </w:rPr>
      </w:pPr>
      <w:r w:rsidRPr="00CF1943">
        <w:rPr>
          <w:rStyle w:val="Appelnotedebasdep"/>
          <w:vertAlign w:val="superscript"/>
        </w:rPr>
        <w:footnoteRef/>
      </w:r>
      <w:r w:rsidRPr="00B1383F">
        <w:rPr>
          <w:lang w:val="en-CA"/>
        </w:rPr>
        <w:t xml:space="preserve"> </w:t>
      </w:r>
      <w:r w:rsidRPr="00B1383F">
        <w:rPr>
          <w:lang w:val="en-CA"/>
        </w:rPr>
        <w:tab/>
      </w:r>
      <w:r w:rsidRPr="00B1383F">
        <w:rPr>
          <w:i/>
          <w:lang w:val="en-CA"/>
        </w:rPr>
        <w:t>Id.</w:t>
      </w:r>
      <w:r>
        <w:rPr>
          <w:lang w:val="en-CA"/>
        </w:rPr>
        <w:t xml:space="preserve"> </w:t>
      </w:r>
    </w:p>
  </w:footnote>
  <w:footnote w:id="34">
    <w:p w14:paraId="7675311B" w14:textId="77777777" w:rsidR="005D4769" w:rsidRPr="00B86805" w:rsidRDefault="005D4769" w:rsidP="005D4769">
      <w:pPr>
        <w:pStyle w:val="Notedebasdepage"/>
        <w:rPr>
          <w:lang w:val="en-CA"/>
        </w:rPr>
      </w:pPr>
      <w:r w:rsidRPr="00225D9D">
        <w:rPr>
          <w:rStyle w:val="Appelnotedebasdep"/>
          <w:vertAlign w:val="superscript"/>
        </w:rPr>
        <w:footnoteRef/>
      </w:r>
      <w:r w:rsidRPr="00B86805">
        <w:rPr>
          <w:lang w:val="en-CA"/>
        </w:rPr>
        <w:t xml:space="preserve">   </w:t>
      </w:r>
      <w:r w:rsidRPr="00B86805">
        <w:rPr>
          <w:i/>
          <w:lang w:val="en-CA"/>
        </w:rPr>
        <w:t>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3724B" w14:textId="2E602935" w:rsidR="004F2C02" w:rsidRDefault="0005455B">
    <w:pPr>
      <w:tabs>
        <w:tab w:val="center" w:pos="4709"/>
        <w:tab w:val="right" w:pos="9360"/>
      </w:tabs>
      <w:ind w:right="524"/>
    </w:pPr>
    <w:r w:rsidRPr="00FE1282">
      <w:rPr>
        <w:rFonts w:cs="Arial"/>
      </w:rPr>
      <w:t>500-</w:t>
    </w:r>
    <w:r>
      <w:rPr>
        <w:rFonts w:cs="Arial"/>
      </w:rPr>
      <w:t>01-191054-193</w:t>
    </w:r>
    <w:r w:rsidR="00EF5343">
      <w:tab/>
    </w:r>
    <w:r w:rsidR="00EF5343">
      <w:tab/>
      <w:t xml:space="preserve">PAGE : </w:t>
    </w:r>
    <w:r w:rsidR="00EF5343">
      <w:fldChar w:fldCharType="begin"/>
    </w:r>
    <w:r w:rsidR="00EF5343">
      <w:instrText xml:space="preserve"> PAGE </w:instrText>
    </w:r>
    <w:r w:rsidR="00EF5343">
      <w:fldChar w:fldCharType="separate"/>
    </w:r>
    <w:r w:rsidR="006E6417">
      <w:rPr>
        <w:noProof/>
      </w:rPr>
      <w:t>22</w:t>
    </w:r>
    <w:r w:rsidR="00EF5343">
      <w:fldChar w:fldCharType="end"/>
    </w:r>
  </w:p>
  <w:p w14:paraId="6A848DF8" w14:textId="77777777" w:rsidR="004F2C02" w:rsidRDefault="004F2C02">
    <w:pPr>
      <w:tabs>
        <w:tab w:val="center" w:pos="4709"/>
        <w:tab w:val="right" w:pos="9090"/>
      </w:tabs>
      <w:ind w:right="52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5C8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EA1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24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00E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46F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E788A"/>
    <w:multiLevelType w:val="hybridMultilevel"/>
    <w:tmpl w:val="D4D6B028"/>
    <w:lvl w:ilvl="0" w:tplc="5620886A">
      <w:start w:val="2"/>
      <w:numFmt w:val="lowerLetter"/>
      <w:lvlText w:val="%1)"/>
      <w:lvlJc w:val="left"/>
      <w:pPr>
        <w:ind w:left="720" w:hanging="360"/>
      </w:pPr>
      <w:rPr>
        <w:rFonts w:hint="default"/>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63C3DE5"/>
    <w:multiLevelType w:val="hybridMultilevel"/>
    <w:tmpl w:val="A90E08D0"/>
    <w:lvl w:ilvl="0" w:tplc="9F842F22">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3290AEE"/>
    <w:multiLevelType w:val="hybridMultilevel"/>
    <w:tmpl w:val="EEAE4B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8090E04"/>
    <w:multiLevelType w:val="hybridMultilevel"/>
    <w:tmpl w:val="F20E8426"/>
    <w:lvl w:ilvl="0" w:tplc="278803E2">
      <w:start w:val="1"/>
      <w:numFmt w:val="bullet"/>
      <w:lvlText w:val=""/>
      <w:lvlJc w:val="left"/>
      <w:pPr>
        <w:ind w:left="720" w:hanging="360"/>
      </w:pPr>
      <w:rPr>
        <w:rFonts w:ascii="Symbol" w:hAnsi="Symbol" w:hint="default"/>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2C1F19"/>
    <w:multiLevelType w:val="hybridMultilevel"/>
    <w:tmpl w:val="6CB85818"/>
    <w:lvl w:ilvl="0" w:tplc="F9CEDAE0">
      <w:start w:val="1"/>
      <w:numFmt w:val="lowerRoman"/>
      <w:lvlText w:val="%1)"/>
      <w:lvlJc w:val="left"/>
      <w:pPr>
        <w:ind w:left="1454" w:hanging="720"/>
      </w:pPr>
      <w:rPr>
        <w:rFonts w:hint="default"/>
      </w:rPr>
    </w:lvl>
    <w:lvl w:ilvl="1" w:tplc="0C0C0019" w:tentative="1">
      <w:start w:val="1"/>
      <w:numFmt w:val="lowerLetter"/>
      <w:lvlText w:val="%2."/>
      <w:lvlJc w:val="left"/>
      <w:pPr>
        <w:ind w:left="1814" w:hanging="360"/>
      </w:pPr>
    </w:lvl>
    <w:lvl w:ilvl="2" w:tplc="0C0C001B" w:tentative="1">
      <w:start w:val="1"/>
      <w:numFmt w:val="lowerRoman"/>
      <w:lvlText w:val="%3."/>
      <w:lvlJc w:val="right"/>
      <w:pPr>
        <w:ind w:left="2534" w:hanging="180"/>
      </w:pPr>
    </w:lvl>
    <w:lvl w:ilvl="3" w:tplc="0C0C000F" w:tentative="1">
      <w:start w:val="1"/>
      <w:numFmt w:val="decimal"/>
      <w:lvlText w:val="%4."/>
      <w:lvlJc w:val="left"/>
      <w:pPr>
        <w:ind w:left="3254" w:hanging="360"/>
      </w:pPr>
    </w:lvl>
    <w:lvl w:ilvl="4" w:tplc="0C0C0019" w:tentative="1">
      <w:start w:val="1"/>
      <w:numFmt w:val="lowerLetter"/>
      <w:lvlText w:val="%5."/>
      <w:lvlJc w:val="left"/>
      <w:pPr>
        <w:ind w:left="3974" w:hanging="360"/>
      </w:pPr>
    </w:lvl>
    <w:lvl w:ilvl="5" w:tplc="0C0C001B" w:tentative="1">
      <w:start w:val="1"/>
      <w:numFmt w:val="lowerRoman"/>
      <w:lvlText w:val="%6."/>
      <w:lvlJc w:val="right"/>
      <w:pPr>
        <w:ind w:left="4694" w:hanging="180"/>
      </w:pPr>
    </w:lvl>
    <w:lvl w:ilvl="6" w:tplc="0C0C000F" w:tentative="1">
      <w:start w:val="1"/>
      <w:numFmt w:val="decimal"/>
      <w:lvlText w:val="%7."/>
      <w:lvlJc w:val="left"/>
      <w:pPr>
        <w:ind w:left="5414" w:hanging="360"/>
      </w:pPr>
    </w:lvl>
    <w:lvl w:ilvl="7" w:tplc="0C0C0019" w:tentative="1">
      <w:start w:val="1"/>
      <w:numFmt w:val="lowerLetter"/>
      <w:lvlText w:val="%8."/>
      <w:lvlJc w:val="left"/>
      <w:pPr>
        <w:ind w:left="6134" w:hanging="360"/>
      </w:pPr>
    </w:lvl>
    <w:lvl w:ilvl="8" w:tplc="0C0C001B" w:tentative="1">
      <w:start w:val="1"/>
      <w:numFmt w:val="lowerRoman"/>
      <w:lvlText w:val="%9."/>
      <w:lvlJc w:val="right"/>
      <w:pPr>
        <w:ind w:left="6854" w:hanging="180"/>
      </w:pPr>
    </w:lvl>
  </w:abstractNum>
  <w:abstractNum w:abstractNumId="15" w15:restartNumberingAfterBreak="0">
    <w:nsid w:val="2AC031D6"/>
    <w:multiLevelType w:val="hybridMultilevel"/>
    <w:tmpl w:val="40161B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B190E9C"/>
    <w:multiLevelType w:val="hybridMultilevel"/>
    <w:tmpl w:val="67360EEA"/>
    <w:lvl w:ilvl="0" w:tplc="4490C1F4">
      <w:start w:val="1"/>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A4C26D1"/>
    <w:multiLevelType w:val="hybridMultilevel"/>
    <w:tmpl w:val="A194534C"/>
    <w:lvl w:ilvl="0" w:tplc="5CACA676">
      <w:start w:val="5"/>
      <w:numFmt w:val="lowerLetter"/>
      <w:lvlText w:val="%1)"/>
      <w:lvlJc w:val="left"/>
      <w:pPr>
        <w:ind w:left="720" w:hanging="360"/>
      </w:pPr>
      <w:rPr>
        <w:rFonts w:hint="default"/>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F9D2D10"/>
    <w:multiLevelType w:val="multilevel"/>
    <w:tmpl w:val="0C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9" w15:restartNumberingAfterBreak="0">
    <w:nsid w:val="4B5964F3"/>
    <w:multiLevelType w:val="hybridMultilevel"/>
    <w:tmpl w:val="C0924812"/>
    <w:lvl w:ilvl="0" w:tplc="3482E0BA">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3AB1492"/>
    <w:multiLevelType w:val="hybridMultilevel"/>
    <w:tmpl w:val="8D403B66"/>
    <w:lvl w:ilvl="0" w:tplc="0C0C0001">
      <w:start w:val="1"/>
      <w:numFmt w:val="bullet"/>
      <w:lvlText w:val=""/>
      <w:lvlJc w:val="left"/>
      <w:pPr>
        <w:ind w:left="1454" w:hanging="360"/>
      </w:pPr>
      <w:rPr>
        <w:rFonts w:ascii="Symbol" w:hAnsi="Symbol" w:hint="default"/>
      </w:rPr>
    </w:lvl>
    <w:lvl w:ilvl="1" w:tplc="0C0C0003" w:tentative="1">
      <w:start w:val="1"/>
      <w:numFmt w:val="bullet"/>
      <w:lvlText w:val="o"/>
      <w:lvlJc w:val="left"/>
      <w:pPr>
        <w:ind w:left="2174" w:hanging="360"/>
      </w:pPr>
      <w:rPr>
        <w:rFonts w:ascii="Courier New" w:hAnsi="Courier New" w:cs="Courier New" w:hint="default"/>
      </w:rPr>
    </w:lvl>
    <w:lvl w:ilvl="2" w:tplc="0C0C0005" w:tentative="1">
      <w:start w:val="1"/>
      <w:numFmt w:val="bullet"/>
      <w:lvlText w:val=""/>
      <w:lvlJc w:val="left"/>
      <w:pPr>
        <w:ind w:left="2894" w:hanging="360"/>
      </w:pPr>
      <w:rPr>
        <w:rFonts w:ascii="Wingdings" w:hAnsi="Wingdings" w:hint="default"/>
      </w:rPr>
    </w:lvl>
    <w:lvl w:ilvl="3" w:tplc="0C0C0001" w:tentative="1">
      <w:start w:val="1"/>
      <w:numFmt w:val="bullet"/>
      <w:lvlText w:val=""/>
      <w:lvlJc w:val="left"/>
      <w:pPr>
        <w:ind w:left="3614" w:hanging="360"/>
      </w:pPr>
      <w:rPr>
        <w:rFonts w:ascii="Symbol" w:hAnsi="Symbol" w:hint="default"/>
      </w:rPr>
    </w:lvl>
    <w:lvl w:ilvl="4" w:tplc="0C0C0003" w:tentative="1">
      <w:start w:val="1"/>
      <w:numFmt w:val="bullet"/>
      <w:lvlText w:val="o"/>
      <w:lvlJc w:val="left"/>
      <w:pPr>
        <w:ind w:left="4334" w:hanging="360"/>
      </w:pPr>
      <w:rPr>
        <w:rFonts w:ascii="Courier New" w:hAnsi="Courier New" w:cs="Courier New" w:hint="default"/>
      </w:rPr>
    </w:lvl>
    <w:lvl w:ilvl="5" w:tplc="0C0C0005" w:tentative="1">
      <w:start w:val="1"/>
      <w:numFmt w:val="bullet"/>
      <w:lvlText w:val=""/>
      <w:lvlJc w:val="left"/>
      <w:pPr>
        <w:ind w:left="5054" w:hanging="360"/>
      </w:pPr>
      <w:rPr>
        <w:rFonts w:ascii="Wingdings" w:hAnsi="Wingdings" w:hint="default"/>
      </w:rPr>
    </w:lvl>
    <w:lvl w:ilvl="6" w:tplc="0C0C0001" w:tentative="1">
      <w:start w:val="1"/>
      <w:numFmt w:val="bullet"/>
      <w:lvlText w:val=""/>
      <w:lvlJc w:val="left"/>
      <w:pPr>
        <w:ind w:left="5774" w:hanging="360"/>
      </w:pPr>
      <w:rPr>
        <w:rFonts w:ascii="Symbol" w:hAnsi="Symbol" w:hint="default"/>
      </w:rPr>
    </w:lvl>
    <w:lvl w:ilvl="7" w:tplc="0C0C0003" w:tentative="1">
      <w:start w:val="1"/>
      <w:numFmt w:val="bullet"/>
      <w:lvlText w:val="o"/>
      <w:lvlJc w:val="left"/>
      <w:pPr>
        <w:ind w:left="6494" w:hanging="360"/>
      </w:pPr>
      <w:rPr>
        <w:rFonts w:ascii="Courier New" w:hAnsi="Courier New" w:cs="Courier New" w:hint="default"/>
      </w:rPr>
    </w:lvl>
    <w:lvl w:ilvl="8" w:tplc="0C0C0005" w:tentative="1">
      <w:start w:val="1"/>
      <w:numFmt w:val="bullet"/>
      <w:lvlText w:val=""/>
      <w:lvlJc w:val="left"/>
      <w:pPr>
        <w:ind w:left="7214" w:hanging="360"/>
      </w:pPr>
      <w:rPr>
        <w:rFonts w:ascii="Wingdings" w:hAnsi="Wingdings" w:hint="default"/>
      </w:rPr>
    </w:lvl>
  </w:abstractNum>
  <w:abstractNum w:abstractNumId="21" w15:restartNumberingAfterBreak="0">
    <w:nsid w:val="56F956CD"/>
    <w:multiLevelType w:val="hybridMultilevel"/>
    <w:tmpl w:val="052CBB5C"/>
    <w:lvl w:ilvl="0" w:tplc="2042D5B4">
      <w:start w:val="2"/>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9A97EE2"/>
    <w:multiLevelType w:val="hybridMultilevel"/>
    <w:tmpl w:val="BFA49490"/>
    <w:lvl w:ilvl="0" w:tplc="3E0A5080">
      <w:numFmt w:val="bullet"/>
      <w:lvlText w:val="-"/>
      <w:lvlJc w:val="left"/>
      <w:pPr>
        <w:ind w:left="1152" w:hanging="360"/>
      </w:pPr>
      <w:rPr>
        <w:rFonts w:ascii="Arial" w:eastAsia="Times New Roman" w:hAnsi="Arial" w:cs="Arial" w:hint="default"/>
      </w:rPr>
    </w:lvl>
    <w:lvl w:ilvl="1" w:tplc="0C0C0003" w:tentative="1">
      <w:start w:val="1"/>
      <w:numFmt w:val="bullet"/>
      <w:lvlText w:val="o"/>
      <w:lvlJc w:val="left"/>
      <w:pPr>
        <w:ind w:left="1872" w:hanging="360"/>
      </w:pPr>
      <w:rPr>
        <w:rFonts w:ascii="Courier New" w:hAnsi="Courier New" w:cs="Courier New" w:hint="default"/>
      </w:rPr>
    </w:lvl>
    <w:lvl w:ilvl="2" w:tplc="0C0C0005" w:tentative="1">
      <w:start w:val="1"/>
      <w:numFmt w:val="bullet"/>
      <w:lvlText w:val=""/>
      <w:lvlJc w:val="left"/>
      <w:pPr>
        <w:ind w:left="2592" w:hanging="360"/>
      </w:pPr>
      <w:rPr>
        <w:rFonts w:ascii="Wingdings" w:hAnsi="Wingdings" w:hint="default"/>
      </w:rPr>
    </w:lvl>
    <w:lvl w:ilvl="3" w:tplc="0C0C0001" w:tentative="1">
      <w:start w:val="1"/>
      <w:numFmt w:val="bullet"/>
      <w:lvlText w:val=""/>
      <w:lvlJc w:val="left"/>
      <w:pPr>
        <w:ind w:left="3312" w:hanging="360"/>
      </w:pPr>
      <w:rPr>
        <w:rFonts w:ascii="Symbol" w:hAnsi="Symbol" w:hint="default"/>
      </w:rPr>
    </w:lvl>
    <w:lvl w:ilvl="4" w:tplc="0C0C0003" w:tentative="1">
      <w:start w:val="1"/>
      <w:numFmt w:val="bullet"/>
      <w:lvlText w:val="o"/>
      <w:lvlJc w:val="left"/>
      <w:pPr>
        <w:ind w:left="4032" w:hanging="360"/>
      </w:pPr>
      <w:rPr>
        <w:rFonts w:ascii="Courier New" w:hAnsi="Courier New" w:cs="Courier New" w:hint="default"/>
      </w:rPr>
    </w:lvl>
    <w:lvl w:ilvl="5" w:tplc="0C0C0005" w:tentative="1">
      <w:start w:val="1"/>
      <w:numFmt w:val="bullet"/>
      <w:lvlText w:val=""/>
      <w:lvlJc w:val="left"/>
      <w:pPr>
        <w:ind w:left="4752" w:hanging="360"/>
      </w:pPr>
      <w:rPr>
        <w:rFonts w:ascii="Wingdings" w:hAnsi="Wingdings" w:hint="default"/>
      </w:rPr>
    </w:lvl>
    <w:lvl w:ilvl="6" w:tplc="0C0C0001" w:tentative="1">
      <w:start w:val="1"/>
      <w:numFmt w:val="bullet"/>
      <w:lvlText w:val=""/>
      <w:lvlJc w:val="left"/>
      <w:pPr>
        <w:ind w:left="5472" w:hanging="360"/>
      </w:pPr>
      <w:rPr>
        <w:rFonts w:ascii="Symbol" w:hAnsi="Symbol" w:hint="default"/>
      </w:rPr>
    </w:lvl>
    <w:lvl w:ilvl="7" w:tplc="0C0C0003" w:tentative="1">
      <w:start w:val="1"/>
      <w:numFmt w:val="bullet"/>
      <w:lvlText w:val="o"/>
      <w:lvlJc w:val="left"/>
      <w:pPr>
        <w:ind w:left="6192" w:hanging="360"/>
      </w:pPr>
      <w:rPr>
        <w:rFonts w:ascii="Courier New" w:hAnsi="Courier New" w:cs="Courier New" w:hint="default"/>
      </w:rPr>
    </w:lvl>
    <w:lvl w:ilvl="8" w:tplc="0C0C0005" w:tentative="1">
      <w:start w:val="1"/>
      <w:numFmt w:val="bullet"/>
      <w:lvlText w:val=""/>
      <w:lvlJc w:val="left"/>
      <w:pPr>
        <w:ind w:left="6912" w:hanging="360"/>
      </w:pPr>
      <w:rPr>
        <w:rFonts w:ascii="Wingdings" w:hAnsi="Wingdings" w:hint="default"/>
      </w:rPr>
    </w:lvl>
  </w:abstractNum>
  <w:abstractNum w:abstractNumId="23" w15:restartNumberingAfterBreak="0">
    <w:nsid w:val="5C9B0309"/>
    <w:multiLevelType w:val="hybridMultilevel"/>
    <w:tmpl w:val="5BA067A2"/>
    <w:lvl w:ilvl="0" w:tplc="57CA6728">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DC05555"/>
    <w:multiLevelType w:val="hybridMultilevel"/>
    <w:tmpl w:val="CC521702"/>
    <w:lvl w:ilvl="0" w:tplc="57CA67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09C0DCC"/>
    <w:multiLevelType w:val="multilevel"/>
    <w:tmpl w:val="3CA039DC"/>
    <w:lvl w:ilvl="0">
      <w:start w:val="1"/>
      <w:numFmt w:val="decimal"/>
      <w:pStyle w:val="Paragraphe"/>
      <w:lvlText w:val="[%1]"/>
      <w:lvlJc w:val="left"/>
      <w:pPr>
        <w:tabs>
          <w:tab w:val="num" w:pos="360"/>
        </w:tabs>
        <w:ind w:left="0" w:firstLine="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ous-paragraphe"/>
      <w:lvlText w:val="%1.%2."/>
      <w:lvlJc w:val="left"/>
      <w:pPr>
        <w:tabs>
          <w:tab w:val="num" w:pos="792"/>
        </w:tabs>
        <w:ind w:left="792" w:hanging="432"/>
      </w:pPr>
      <w:rPr>
        <w:i w:val="0"/>
        <w:iCs w:val="0"/>
      </w:r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67A5688F"/>
    <w:multiLevelType w:val="hybridMultilevel"/>
    <w:tmpl w:val="13EC9E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95D5A2A"/>
    <w:multiLevelType w:val="hybridMultilevel"/>
    <w:tmpl w:val="B2309304"/>
    <w:lvl w:ilvl="0" w:tplc="4490C1F4">
      <w:start w:val="1"/>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B9B65FC"/>
    <w:multiLevelType w:val="hybridMultilevel"/>
    <w:tmpl w:val="8F3095A2"/>
    <w:lvl w:ilvl="0" w:tplc="C7BC0770">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C68295E"/>
    <w:multiLevelType w:val="hybridMultilevel"/>
    <w:tmpl w:val="5F3051D4"/>
    <w:lvl w:ilvl="0" w:tplc="4490C1F4">
      <w:start w:val="1"/>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0C74735"/>
    <w:multiLevelType w:val="hybridMultilevel"/>
    <w:tmpl w:val="888C0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C2207F2"/>
    <w:multiLevelType w:val="hybridMultilevel"/>
    <w:tmpl w:val="3A924750"/>
    <w:lvl w:ilvl="0" w:tplc="697EA018">
      <w:start w:val="1"/>
      <w:numFmt w:val="lowerLetter"/>
      <w:lvlText w:val="%1)"/>
      <w:lvlJc w:val="left"/>
      <w:pPr>
        <w:ind w:left="1094" w:hanging="360"/>
      </w:pPr>
      <w:rPr>
        <w:rFonts w:hint="default"/>
        <w:i/>
      </w:rPr>
    </w:lvl>
    <w:lvl w:ilvl="1" w:tplc="0C0C0019" w:tentative="1">
      <w:start w:val="1"/>
      <w:numFmt w:val="lowerLetter"/>
      <w:lvlText w:val="%2."/>
      <w:lvlJc w:val="left"/>
      <w:pPr>
        <w:ind w:left="1814" w:hanging="360"/>
      </w:pPr>
    </w:lvl>
    <w:lvl w:ilvl="2" w:tplc="0C0C001B" w:tentative="1">
      <w:start w:val="1"/>
      <w:numFmt w:val="lowerRoman"/>
      <w:lvlText w:val="%3."/>
      <w:lvlJc w:val="right"/>
      <w:pPr>
        <w:ind w:left="2534" w:hanging="180"/>
      </w:pPr>
    </w:lvl>
    <w:lvl w:ilvl="3" w:tplc="0C0C000F" w:tentative="1">
      <w:start w:val="1"/>
      <w:numFmt w:val="decimal"/>
      <w:lvlText w:val="%4."/>
      <w:lvlJc w:val="left"/>
      <w:pPr>
        <w:ind w:left="3254" w:hanging="360"/>
      </w:pPr>
    </w:lvl>
    <w:lvl w:ilvl="4" w:tplc="0C0C0019" w:tentative="1">
      <w:start w:val="1"/>
      <w:numFmt w:val="lowerLetter"/>
      <w:lvlText w:val="%5."/>
      <w:lvlJc w:val="left"/>
      <w:pPr>
        <w:ind w:left="3974" w:hanging="360"/>
      </w:pPr>
    </w:lvl>
    <w:lvl w:ilvl="5" w:tplc="0C0C001B" w:tentative="1">
      <w:start w:val="1"/>
      <w:numFmt w:val="lowerRoman"/>
      <w:lvlText w:val="%6."/>
      <w:lvlJc w:val="right"/>
      <w:pPr>
        <w:ind w:left="4694" w:hanging="180"/>
      </w:pPr>
    </w:lvl>
    <w:lvl w:ilvl="6" w:tplc="0C0C000F" w:tentative="1">
      <w:start w:val="1"/>
      <w:numFmt w:val="decimal"/>
      <w:lvlText w:val="%7."/>
      <w:lvlJc w:val="left"/>
      <w:pPr>
        <w:ind w:left="5414" w:hanging="360"/>
      </w:pPr>
    </w:lvl>
    <w:lvl w:ilvl="7" w:tplc="0C0C0019" w:tentative="1">
      <w:start w:val="1"/>
      <w:numFmt w:val="lowerLetter"/>
      <w:lvlText w:val="%8."/>
      <w:lvlJc w:val="left"/>
      <w:pPr>
        <w:ind w:left="6134" w:hanging="360"/>
      </w:pPr>
    </w:lvl>
    <w:lvl w:ilvl="8" w:tplc="0C0C001B" w:tentative="1">
      <w:start w:val="1"/>
      <w:numFmt w:val="lowerRoman"/>
      <w:lvlText w:val="%9."/>
      <w:lvlJc w:val="right"/>
      <w:pPr>
        <w:ind w:left="6854" w:hanging="180"/>
      </w:pPr>
    </w:lvl>
  </w:abstractNum>
  <w:abstractNum w:abstractNumId="32" w15:restartNumberingAfterBreak="0">
    <w:nsid w:val="7C3B42D8"/>
    <w:multiLevelType w:val="hybridMultilevel"/>
    <w:tmpl w:val="090A2E0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25"/>
  </w:num>
  <w:num w:numId="3">
    <w:abstractNumId w:val="2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29"/>
  </w:num>
  <w:num w:numId="16">
    <w:abstractNumId w:val="32"/>
  </w:num>
  <w:num w:numId="17">
    <w:abstractNumId w:val="30"/>
  </w:num>
  <w:num w:numId="18">
    <w:abstractNumId w:val="20"/>
  </w:num>
  <w:num w:numId="19">
    <w:abstractNumId w:val="16"/>
  </w:num>
  <w:num w:numId="20">
    <w:abstractNumId w:val="27"/>
  </w:num>
  <w:num w:numId="21">
    <w:abstractNumId w:val="26"/>
  </w:num>
  <w:num w:numId="22">
    <w:abstractNumId w:val="12"/>
  </w:num>
  <w:num w:numId="23">
    <w:abstractNumId w:val="13"/>
  </w:num>
  <w:num w:numId="24">
    <w:abstractNumId w:val="24"/>
  </w:num>
  <w:num w:numId="25">
    <w:abstractNumId w:val="31"/>
  </w:num>
  <w:num w:numId="26">
    <w:abstractNumId w:val="10"/>
  </w:num>
  <w:num w:numId="27">
    <w:abstractNumId w:val="28"/>
  </w:num>
  <w:num w:numId="28">
    <w:abstractNumId w:val="19"/>
  </w:num>
  <w:num w:numId="29">
    <w:abstractNumId w:val="14"/>
  </w:num>
  <w:num w:numId="30">
    <w:abstractNumId w:val="17"/>
  </w:num>
  <w:num w:numId="31">
    <w:abstractNumId w:val="11"/>
  </w:num>
  <w:num w:numId="32">
    <w:abstractNumId w:val="23"/>
  </w:num>
  <w:num w:numId="33">
    <w:abstractNumId w:val="15"/>
  </w:num>
  <w:num w:numId="34">
    <w:abstractNumId w:val="21"/>
  </w:num>
  <w:num w:numId="35">
    <w:abstractNumId w:val="22"/>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11059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53"/>
    <w:rsid w:val="000016BC"/>
    <w:rsid w:val="00003242"/>
    <w:rsid w:val="00007FFB"/>
    <w:rsid w:val="000101B0"/>
    <w:rsid w:val="00011973"/>
    <w:rsid w:val="00012700"/>
    <w:rsid w:val="00013064"/>
    <w:rsid w:val="0001306B"/>
    <w:rsid w:val="000136C7"/>
    <w:rsid w:val="00017B34"/>
    <w:rsid w:val="000200A6"/>
    <w:rsid w:val="0002067A"/>
    <w:rsid w:val="00020937"/>
    <w:rsid w:val="0002134B"/>
    <w:rsid w:val="0002175A"/>
    <w:rsid w:val="000220A6"/>
    <w:rsid w:val="00022308"/>
    <w:rsid w:val="000224D0"/>
    <w:rsid w:val="00024379"/>
    <w:rsid w:val="00024F0C"/>
    <w:rsid w:val="000310A2"/>
    <w:rsid w:val="00031807"/>
    <w:rsid w:val="00033C9C"/>
    <w:rsid w:val="00034C52"/>
    <w:rsid w:val="00035C3E"/>
    <w:rsid w:val="000368E1"/>
    <w:rsid w:val="00040BCA"/>
    <w:rsid w:val="0004431C"/>
    <w:rsid w:val="0004535D"/>
    <w:rsid w:val="0004610A"/>
    <w:rsid w:val="00050DA2"/>
    <w:rsid w:val="00051262"/>
    <w:rsid w:val="0005455B"/>
    <w:rsid w:val="000561D0"/>
    <w:rsid w:val="00056E38"/>
    <w:rsid w:val="000604F5"/>
    <w:rsid w:val="00062F4A"/>
    <w:rsid w:val="0006518E"/>
    <w:rsid w:val="00065306"/>
    <w:rsid w:val="0006783D"/>
    <w:rsid w:val="00071F6E"/>
    <w:rsid w:val="0007301D"/>
    <w:rsid w:val="0007343F"/>
    <w:rsid w:val="00081FFD"/>
    <w:rsid w:val="00083B54"/>
    <w:rsid w:val="00083C79"/>
    <w:rsid w:val="0009111D"/>
    <w:rsid w:val="000927D8"/>
    <w:rsid w:val="00092B8E"/>
    <w:rsid w:val="00095489"/>
    <w:rsid w:val="000A2D8D"/>
    <w:rsid w:val="000A3877"/>
    <w:rsid w:val="000B303F"/>
    <w:rsid w:val="000B3730"/>
    <w:rsid w:val="000B49C9"/>
    <w:rsid w:val="000B59EF"/>
    <w:rsid w:val="000C3154"/>
    <w:rsid w:val="000C518E"/>
    <w:rsid w:val="000C7668"/>
    <w:rsid w:val="000C7EFF"/>
    <w:rsid w:val="000D1D3A"/>
    <w:rsid w:val="000D27BC"/>
    <w:rsid w:val="000D2914"/>
    <w:rsid w:val="000D4E72"/>
    <w:rsid w:val="000D5136"/>
    <w:rsid w:val="000D7EA6"/>
    <w:rsid w:val="000E1215"/>
    <w:rsid w:val="000F19A2"/>
    <w:rsid w:val="000F2324"/>
    <w:rsid w:val="000F480C"/>
    <w:rsid w:val="000F69F4"/>
    <w:rsid w:val="00100D73"/>
    <w:rsid w:val="001014B3"/>
    <w:rsid w:val="001026B6"/>
    <w:rsid w:val="0010311E"/>
    <w:rsid w:val="001041FB"/>
    <w:rsid w:val="001055DF"/>
    <w:rsid w:val="00106085"/>
    <w:rsid w:val="001115B4"/>
    <w:rsid w:val="00113C11"/>
    <w:rsid w:val="0011420D"/>
    <w:rsid w:val="00114323"/>
    <w:rsid w:val="0011758A"/>
    <w:rsid w:val="00120CA6"/>
    <w:rsid w:val="00124726"/>
    <w:rsid w:val="001314AE"/>
    <w:rsid w:val="00133FEC"/>
    <w:rsid w:val="001348FC"/>
    <w:rsid w:val="00140649"/>
    <w:rsid w:val="001435D2"/>
    <w:rsid w:val="00143619"/>
    <w:rsid w:val="00144AAA"/>
    <w:rsid w:val="00144B0E"/>
    <w:rsid w:val="001463F8"/>
    <w:rsid w:val="00150F9B"/>
    <w:rsid w:val="00152F40"/>
    <w:rsid w:val="00153058"/>
    <w:rsid w:val="0015410B"/>
    <w:rsid w:val="001551A5"/>
    <w:rsid w:val="00155316"/>
    <w:rsid w:val="00157524"/>
    <w:rsid w:val="00163B62"/>
    <w:rsid w:val="00165E25"/>
    <w:rsid w:val="0016752B"/>
    <w:rsid w:val="00167A41"/>
    <w:rsid w:val="0017239D"/>
    <w:rsid w:val="00173D81"/>
    <w:rsid w:val="00175648"/>
    <w:rsid w:val="00176E17"/>
    <w:rsid w:val="00176F9F"/>
    <w:rsid w:val="001800A7"/>
    <w:rsid w:val="00180361"/>
    <w:rsid w:val="0018336B"/>
    <w:rsid w:val="00187A0F"/>
    <w:rsid w:val="001904EC"/>
    <w:rsid w:val="00194100"/>
    <w:rsid w:val="001941B0"/>
    <w:rsid w:val="0019500C"/>
    <w:rsid w:val="00195C5C"/>
    <w:rsid w:val="00195E80"/>
    <w:rsid w:val="001976ED"/>
    <w:rsid w:val="001A2AFE"/>
    <w:rsid w:val="001A3BA8"/>
    <w:rsid w:val="001A5EB8"/>
    <w:rsid w:val="001A6D8C"/>
    <w:rsid w:val="001A7456"/>
    <w:rsid w:val="001B2F72"/>
    <w:rsid w:val="001B3547"/>
    <w:rsid w:val="001B5120"/>
    <w:rsid w:val="001C21F5"/>
    <w:rsid w:val="001C254C"/>
    <w:rsid w:val="001C327E"/>
    <w:rsid w:val="001C71CF"/>
    <w:rsid w:val="001C7420"/>
    <w:rsid w:val="001C7CAE"/>
    <w:rsid w:val="001D1D6D"/>
    <w:rsid w:val="001D1E0D"/>
    <w:rsid w:val="001D1FB2"/>
    <w:rsid w:val="001D5B92"/>
    <w:rsid w:val="001E4620"/>
    <w:rsid w:val="001E598A"/>
    <w:rsid w:val="001E6A42"/>
    <w:rsid w:val="001F213D"/>
    <w:rsid w:val="001F3F12"/>
    <w:rsid w:val="001F3F7C"/>
    <w:rsid w:val="001F6DC0"/>
    <w:rsid w:val="001F7B1F"/>
    <w:rsid w:val="002014FA"/>
    <w:rsid w:val="002036A1"/>
    <w:rsid w:val="002049F6"/>
    <w:rsid w:val="00204C79"/>
    <w:rsid w:val="00206EEC"/>
    <w:rsid w:val="00206F39"/>
    <w:rsid w:val="00210C00"/>
    <w:rsid w:val="0021170A"/>
    <w:rsid w:val="00213675"/>
    <w:rsid w:val="00213B45"/>
    <w:rsid w:val="00225D9D"/>
    <w:rsid w:val="00226AE3"/>
    <w:rsid w:val="002303DE"/>
    <w:rsid w:val="002318A0"/>
    <w:rsid w:val="00232D17"/>
    <w:rsid w:val="0023423F"/>
    <w:rsid w:val="00234A29"/>
    <w:rsid w:val="00234FE8"/>
    <w:rsid w:val="00235D51"/>
    <w:rsid w:val="00236E24"/>
    <w:rsid w:val="00242E85"/>
    <w:rsid w:val="0024302C"/>
    <w:rsid w:val="002449C4"/>
    <w:rsid w:val="002451E8"/>
    <w:rsid w:val="00251234"/>
    <w:rsid w:val="002515DE"/>
    <w:rsid w:val="002557EA"/>
    <w:rsid w:val="002576EE"/>
    <w:rsid w:val="00262272"/>
    <w:rsid w:val="00262A29"/>
    <w:rsid w:val="002642EA"/>
    <w:rsid w:val="00265185"/>
    <w:rsid w:val="0027190D"/>
    <w:rsid w:val="00272128"/>
    <w:rsid w:val="00272F0C"/>
    <w:rsid w:val="00272F26"/>
    <w:rsid w:val="002757DA"/>
    <w:rsid w:val="002778F6"/>
    <w:rsid w:val="00277C1F"/>
    <w:rsid w:val="0028267B"/>
    <w:rsid w:val="00284DF5"/>
    <w:rsid w:val="0028585E"/>
    <w:rsid w:val="00287213"/>
    <w:rsid w:val="002875C2"/>
    <w:rsid w:val="00287B3F"/>
    <w:rsid w:val="00291D1D"/>
    <w:rsid w:val="00294569"/>
    <w:rsid w:val="002A0C4A"/>
    <w:rsid w:val="002A54EF"/>
    <w:rsid w:val="002A5A5C"/>
    <w:rsid w:val="002A5C0D"/>
    <w:rsid w:val="002A78DB"/>
    <w:rsid w:val="002B01A0"/>
    <w:rsid w:val="002B2BCF"/>
    <w:rsid w:val="002B3C21"/>
    <w:rsid w:val="002B50FD"/>
    <w:rsid w:val="002B5305"/>
    <w:rsid w:val="002B78E4"/>
    <w:rsid w:val="002C3FD5"/>
    <w:rsid w:val="002C4D5E"/>
    <w:rsid w:val="002C55E4"/>
    <w:rsid w:val="002C6702"/>
    <w:rsid w:val="002C76A6"/>
    <w:rsid w:val="002D2289"/>
    <w:rsid w:val="002D2CB8"/>
    <w:rsid w:val="002D395D"/>
    <w:rsid w:val="002D3DD7"/>
    <w:rsid w:val="002D5CA7"/>
    <w:rsid w:val="002E34A0"/>
    <w:rsid w:val="002E5F7D"/>
    <w:rsid w:val="002E6622"/>
    <w:rsid w:val="002E719F"/>
    <w:rsid w:val="002E7CF6"/>
    <w:rsid w:val="002F1159"/>
    <w:rsid w:val="002F158E"/>
    <w:rsid w:val="002F2805"/>
    <w:rsid w:val="002F2950"/>
    <w:rsid w:val="002F3970"/>
    <w:rsid w:val="002F4F5F"/>
    <w:rsid w:val="002F7A8D"/>
    <w:rsid w:val="0030039D"/>
    <w:rsid w:val="00303667"/>
    <w:rsid w:val="0030452A"/>
    <w:rsid w:val="00306F48"/>
    <w:rsid w:val="003070AC"/>
    <w:rsid w:val="00311AAA"/>
    <w:rsid w:val="003132A2"/>
    <w:rsid w:val="00313799"/>
    <w:rsid w:val="0031486A"/>
    <w:rsid w:val="00315278"/>
    <w:rsid w:val="003166EE"/>
    <w:rsid w:val="0032155F"/>
    <w:rsid w:val="00325BB3"/>
    <w:rsid w:val="003261BC"/>
    <w:rsid w:val="00326929"/>
    <w:rsid w:val="00326DBB"/>
    <w:rsid w:val="0033008D"/>
    <w:rsid w:val="00330212"/>
    <w:rsid w:val="00332C93"/>
    <w:rsid w:val="0033399D"/>
    <w:rsid w:val="00335B8B"/>
    <w:rsid w:val="003366C0"/>
    <w:rsid w:val="003375E7"/>
    <w:rsid w:val="00337EBA"/>
    <w:rsid w:val="00341027"/>
    <w:rsid w:val="00342000"/>
    <w:rsid w:val="003427CB"/>
    <w:rsid w:val="003434E5"/>
    <w:rsid w:val="00345A57"/>
    <w:rsid w:val="00350E2C"/>
    <w:rsid w:val="00351363"/>
    <w:rsid w:val="00354696"/>
    <w:rsid w:val="00363B55"/>
    <w:rsid w:val="00365474"/>
    <w:rsid w:val="00367769"/>
    <w:rsid w:val="00370001"/>
    <w:rsid w:val="0037376D"/>
    <w:rsid w:val="00375A61"/>
    <w:rsid w:val="00375DDB"/>
    <w:rsid w:val="00376184"/>
    <w:rsid w:val="0037648B"/>
    <w:rsid w:val="00376860"/>
    <w:rsid w:val="00382216"/>
    <w:rsid w:val="00382262"/>
    <w:rsid w:val="0038273E"/>
    <w:rsid w:val="003874D5"/>
    <w:rsid w:val="0039316E"/>
    <w:rsid w:val="00393685"/>
    <w:rsid w:val="00396ED3"/>
    <w:rsid w:val="00397FCD"/>
    <w:rsid w:val="003A0990"/>
    <w:rsid w:val="003A256B"/>
    <w:rsid w:val="003A2B71"/>
    <w:rsid w:val="003A3C6A"/>
    <w:rsid w:val="003A3D35"/>
    <w:rsid w:val="003A6902"/>
    <w:rsid w:val="003B0471"/>
    <w:rsid w:val="003B3FD1"/>
    <w:rsid w:val="003B529F"/>
    <w:rsid w:val="003B617F"/>
    <w:rsid w:val="003C11AB"/>
    <w:rsid w:val="003C4E74"/>
    <w:rsid w:val="003C50AF"/>
    <w:rsid w:val="003C5567"/>
    <w:rsid w:val="003C5722"/>
    <w:rsid w:val="003C7449"/>
    <w:rsid w:val="003D0A5B"/>
    <w:rsid w:val="003D3A72"/>
    <w:rsid w:val="003E0643"/>
    <w:rsid w:val="003E0C87"/>
    <w:rsid w:val="003E4F6D"/>
    <w:rsid w:val="003E7049"/>
    <w:rsid w:val="003F0235"/>
    <w:rsid w:val="003F4E12"/>
    <w:rsid w:val="003F74EC"/>
    <w:rsid w:val="003F75F2"/>
    <w:rsid w:val="00403108"/>
    <w:rsid w:val="00406A22"/>
    <w:rsid w:val="0041481E"/>
    <w:rsid w:val="004152B0"/>
    <w:rsid w:val="00415FF9"/>
    <w:rsid w:val="00417438"/>
    <w:rsid w:val="00422815"/>
    <w:rsid w:val="004321F7"/>
    <w:rsid w:val="00433011"/>
    <w:rsid w:val="004346B9"/>
    <w:rsid w:val="00437876"/>
    <w:rsid w:val="004412EF"/>
    <w:rsid w:val="004430BD"/>
    <w:rsid w:val="00443172"/>
    <w:rsid w:val="00447276"/>
    <w:rsid w:val="004477F9"/>
    <w:rsid w:val="00451805"/>
    <w:rsid w:val="004535C0"/>
    <w:rsid w:val="004572F6"/>
    <w:rsid w:val="0046170A"/>
    <w:rsid w:val="00462745"/>
    <w:rsid w:val="00462907"/>
    <w:rsid w:val="00462ECD"/>
    <w:rsid w:val="004674A4"/>
    <w:rsid w:val="00467AB6"/>
    <w:rsid w:val="00467D1F"/>
    <w:rsid w:val="0047544C"/>
    <w:rsid w:val="00475FFB"/>
    <w:rsid w:val="00476A6B"/>
    <w:rsid w:val="00480FA4"/>
    <w:rsid w:val="00484500"/>
    <w:rsid w:val="004864A6"/>
    <w:rsid w:val="00490A75"/>
    <w:rsid w:val="00491874"/>
    <w:rsid w:val="00492278"/>
    <w:rsid w:val="00492900"/>
    <w:rsid w:val="00494B01"/>
    <w:rsid w:val="004975E2"/>
    <w:rsid w:val="004A0DA8"/>
    <w:rsid w:val="004A2E9A"/>
    <w:rsid w:val="004A7E01"/>
    <w:rsid w:val="004B1BBA"/>
    <w:rsid w:val="004B1EDE"/>
    <w:rsid w:val="004B2058"/>
    <w:rsid w:val="004B2075"/>
    <w:rsid w:val="004B2156"/>
    <w:rsid w:val="004B4DA0"/>
    <w:rsid w:val="004B50AF"/>
    <w:rsid w:val="004B6528"/>
    <w:rsid w:val="004C045F"/>
    <w:rsid w:val="004C09B8"/>
    <w:rsid w:val="004C2B60"/>
    <w:rsid w:val="004C3C24"/>
    <w:rsid w:val="004C4705"/>
    <w:rsid w:val="004C59BC"/>
    <w:rsid w:val="004C6449"/>
    <w:rsid w:val="004C7A4F"/>
    <w:rsid w:val="004C7E3D"/>
    <w:rsid w:val="004D0582"/>
    <w:rsid w:val="004D222A"/>
    <w:rsid w:val="004D36EB"/>
    <w:rsid w:val="004D5C6D"/>
    <w:rsid w:val="004E1996"/>
    <w:rsid w:val="004E33AB"/>
    <w:rsid w:val="004E5795"/>
    <w:rsid w:val="004E6594"/>
    <w:rsid w:val="004E7398"/>
    <w:rsid w:val="004E7976"/>
    <w:rsid w:val="004F0BB1"/>
    <w:rsid w:val="004F0D23"/>
    <w:rsid w:val="004F2C02"/>
    <w:rsid w:val="004F3464"/>
    <w:rsid w:val="004F3B19"/>
    <w:rsid w:val="004F490C"/>
    <w:rsid w:val="004F4AEF"/>
    <w:rsid w:val="004F5D5D"/>
    <w:rsid w:val="004F706B"/>
    <w:rsid w:val="004F78F0"/>
    <w:rsid w:val="004F7B2E"/>
    <w:rsid w:val="0050019B"/>
    <w:rsid w:val="0050269D"/>
    <w:rsid w:val="00504EE9"/>
    <w:rsid w:val="005055D6"/>
    <w:rsid w:val="00507A30"/>
    <w:rsid w:val="00521F2D"/>
    <w:rsid w:val="00523290"/>
    <w:rsid w:val="00524DAD"/>
    <w:rsid w:val="00524F6A"/>
    <w:rsid w:val="00527DEA"/>
    <w:rsid w:val="00532B84"/>
    <w:rsid w:val="00537DCF"/>
    <w:rsid w:val="00543E00"/>
    <w:rsid w:val="00546B23"/>
    <w:rsid w:val="00547A5B"/>
    <w:rsid w:val="005513B7"/>
    <w:rsid w:val="005515CE"/>
    <w:rsid w:val="0055204F"/>
    <w:rsid w:val="005528C7"/>
    <w:rsid w:val="0056129F"/>
    <w:rsid w:val="0056257E"/>
    <w:rsid w:val="00564CD0"/>
    <w:rsid w:val="00564EBE"/>
    <w:rsid w:val="00565F4B"/>
    <w:rsid w:val="0056638B"/>
    <w:rsid w:val="005669E3"/>
    <w:rsid w:val="00567F47"/>
    <w:rsid w:val="00570C55"/>
    <w:rsid w:val="00573205"/>
    <w:rsid w:val="00575D6A"/>
    <w:rsid w:val="00582FF5"/>
    <w:rsid w:val="005838DC"/>
    <w:rsid w:val="005850BA"/>
    <w:rsid w:val="00585871"/>
    <w:rsid w:val="00586DF2"/>
    <w:rsid w:val="00587BC0"/>
    <w:rsid w:val="00590349"/>
    <w:rsid w:val="00592B7F"/>
    <w:rsid w:val="00593DFD"/>
    <w:rsid w:val="005A4E9D"/>
    <w:rsid w:val="005A66EE"/>
    <w:rsid w:val="005B0C36"/>
    <w:rsid w:val="005B233C"/>
    <w:rsid w:val="005B3D44"/>
    <w:rsid w:val="005B4BCD"/>
    <w:rsid w:val="005B4D57"/>
    <w:rsid w:val="005B4ED6"/>
    <w:rsid w:val="005C1F38"/>
    <w:rsid w:val="005C42E4"/>
    <w:rsid w:val="005D130F"/>
    <w:rsid w:val="005D2645"/>
    <w:rsid w:val="005D4769"/>
    <w:rsid w:val="005D48F3"/>
    <w:rsid w:val="005D623C"/>
    <w:rsid w:val="005D6596"/>
    <w:rsid w:val="005D7C08"/>
    <w:rsid w:val="005E0788"/>
    <w:rsid w:val="005E1C6E"/>
    <w:rsid w:val="005E2759"/>
    <w:rsid w:val="005E2EA3"/>
    <w:rsid w:val="005E4400"/>
    <w:rsid w:val="005E5EA6"/>
    <w:rsid w:val="005E5F3F"/>
    <w:rsid w:val="005E6963"/>
    <w:rsid w:val="005F0EB9"/>
    <w:rsid w:val="005F157B"/>
    <w:rsid w:val="005F6D1A"/>
    <w:rsid w:val="0060279B"/>
    <w:rsid w:val="00611623"/>
    <w:rsid w:val="0061269A"/>
    <w:rsid w:val="0061690B"/>
    <w:rsid w:val="00616F46"/>
    <w:rsid w:val="00623368"/>
    <w:rsid w:val="00625EFF"/>
    <w:rsid w:val="006276C2"/>
    <w:rsid w:val="00631A54"/>
    <w:rsid w:val="00631F7B"/>
    <w:rsid w:val="00632155"/>
    <w:rsid w:val="0063677E"/>
    <w:rsid w:val="00636F89"/>
    <w:rsid w:val="00637262"/>
    <w:rsid w:val="0063764F"/>
    <w:rsid w:val="00637DAF"/>
    <w:rsid w:val="006410E0"/>
    <w:rsid w:val="006417EB"/>
    <w:rsid w:val="00643798"/>
    <w:rsid w:val="00645EFF"/>
    <w:rsid w:val="00653161"/>
    <w:rsid w:val="00653985"/>
    <w:rsid w:val="00660923"/>
    <w:rsid w:val="00660E71"/>
    <w:rsid w:val="0066261B"/>
    <w:rsid w:val="00663851"/>
    <w:rsid w:val="00663D2D"/>
    <w:rsid w:val="00664FFA"/>
    <w:rsid w:val="00671BB0"/>
    <w:rsid w:val="006748DF"/>
    <w:rsid w:val="0068003F"/>
    <w:rsid w:val="006800DA"/>
    <w:rsid w:val="00684619"/>
    <w:rsid w:val="00684A4F"/>
    <w:rsid w:val="0068754D"/>
    <w:rsid w:val="00691F73"/>
    <w:rsid w:val="00692D7D"/>
    <w:rsid w:val="00693693"/>
    <w:rsid w:val="00693953"/>
    <w:rsid w:val="00693FF5"/>
    <w:rsid w:val="006955F6"/>
    <w:rsid w:val="006965F1"/>
    <w:rsid w:val="006A1C99"/>
    <w:rsid w:val="006A329A"/>
    <w:rsid w:val="006A355B"/>
    <w:rsid w:val="006A38EB"/>
    <w:rsid w:val="006A43EA"/>
    <w:rsid w:val="006B36AC"/>
    <w:rsid w:val="006C24F7"/>
    <w:rsid w:val="006C3550"/>
    <w:rsid w:val="006C7352"/>
    <w:rsid w:val="006D06FD"/>
    <w:rsid w:val="006D2E7F"/>
    <w:rsid w:val="006D3A1A"/>
    <w:rsid w:val="006D4BB5"/>
    <w:rsid w:val="006D55B8"/>
    <w:rsid w:val="006D5ADE"/>
    <w:rsid w:val="006D64A2"/>
    <w:rsid w:val="006D6AE0"/>
    <w:rsid w:val="006D7B7C"/>
    <w:rsid w:val="006E0D25"/>
    <w:rsid w:val="006E1BBB"/>
    <w:rsid w:val="006E21EF"/>
    <w:rsid w:val="006E305E"/>
    <w:rsid w:val="006E35C3"/>
    <w:rsid w:val="006E6417"/>
    <w:rsid w:val="006E71AA"/>
    <w:rsid w:val="006E7F0C"/>
    <w:rsid w:val="006F1683"/>
    <w:rsid w:val="006F2F6B"/>
    <w:rsid w:val="006F4D12"/>
    <w:rsid w:val="006F682C"/>
    <w:rsid w:val="006F68DE"/>
    <w:rsid w:val="007016A6"/>
    <w:rsid w:val="00705FAB"/>
    <w:rsid w:val="00706511"/>
    <w:rsid w:val="0070770D"/>
    <w:rsid w:val="00711F74"/>
    <w:rsid w:val="00715A4F"/>
    <w:rsid w:val="007239EE"/>
    <w:rsid w:val="00733D20"/>
    <w:rsid w:val="00734332"/>
    <w:rsid w:val="00734BD2"/>
    <w:rsid w:val="00743C7D"/>
    <w:rsid w:val="0074539F"/>
    <w:rsid w:val="00745AEB"/>
    <w:rsid w:val="00746BE3"/>
    <w:rsid w:val="00746DC0"/>
    <w:rsid w:val="007524CE"/>
    <w:rsid w:val="007554BB"/>
    <w:rsid w:val="00765FD2"/>
    <w:rsid w:val="00766527"/>
    <w:rsid w:val="00766613"/>
    <w:rsid w:val="00767C25"/>
    <w:rsid w:val="00773A64"/>
    <w:rsid w:val="00774765"/>
    <w:rsid w:val="00774812"/>
    <w:rsid w:val="007759E3"/>
    <w:rsid w:val="007761C5"/>
    <w:rsid w:val="00776FDD"/>
    <w:rsid w:val="007804A5"/>
    <w:rsid w:val="00780923"/>
    <w:rsid w:val="00781CAA"/>
    <w:rsid w:val="00782220"/>
    <w:rsid w:val="007841CB"/>
    <w:rsid w:val="007874C4"/>
    <w:rsid w:val="0079254B"/>
    <w:rsid w:val="0079305E"/>
    <w:rsid w:val="007943C8"/>
    <w:rsid w:val="00794A1B"/>
    <w:rsid w:val="00796785"/>
    <w:rsid w:val="007A0A2D"/>
    <w:rsid w:val="007A164A"/>
    <w:rsid w:val="007A1E74"/>
    <w:rsid w:val="007A499D"/>
    <w:rsid w:val="007A5063"/>
    <w:rsid w:val="007A71D0"/>
    <w:rsid w:val="007A7D2C"/>
    <w:rsid w:val="007B30EF"/>
    <w:rsid w:val="007B46C3"/>
    <w:rsid w:val="007B51C6"/>
    <w:rsid w:val="007B5303"/>
    <w:rsid w:val="007B7950"/>
    <w:rsid w:val="007B79A4"/>
    <w:rsid w:val="007C04B0"/>
    <w:rsid w:val="007C1A44"/>
    <w:rsid w:val="007C2975"/>
    <w:rsid w:val="007C2F82"/>
    <w:rsid w:val="007C3424"/>
    <w:rsid w:val="007C40B0"/>
    <w:rsid w:val="007C533E"/>
    <w:rsid w:val="007D13EE"/>
    <w:rsid w:val="007D1CEB"/>
    <w:rsid w:val="007D5DC4"/>
    <w:rsid w:val="007E2688"/>
    <w:rsid w:val="007E3635"/>
    <w:rsid w:val="007E37EE"/>
    <w:rsid w:val="007F07EA"/>
    <w:rsid w:val="007F6816"/>
    <w:rsid w:val="00800A24"/>
    <w:rsid w:val="0080374B"/>
    <w:rsid w:val="008042D0"/>
    <w:rsid w:val="0080562D"/>
    <w:rsid w:val="008104DE"/>
    <w:rsid w:val="00811EDC"/>
    <w:rsid w:val="008154D1"/>
    <w:rsid w:val="00816FC4"/>
    <w:rsid w:val="0082298E"/>
    <w:rsid w:val="00822B97"/>
    <w:rsid w:val="00824827"/>
    <w:rsid w:val="00824B47"/>
    <w:rsid w:val="00825684"/>
    <w:rsid w:val="00825D43"/>
    <w:rsid w:val="00835273"/>
    <w:rsid w:val="00840E89"/>
    <w:rsid w:val="00844E87"/>
    <w:rsid w:val="00847381"/>
    <w:rsid w:val="00850142"/>
    <w:rsid w:val="008505DD"/>
    <w:rsid w:val="008506AB"/>
    <w:rsid w:val="00850D4F"/>
    <w:rsid w:val="00855BC7"/>
    <w:rsid w:val="00855DB6"/>
    <w:rsid w:val="00860602"/>
    <w:rsid w:val="00862468"/>
    <w:rsid w:val="008648FE"/>
    <w:rsid w:val="00865333"/>
    <w:rsid w:val="00867429"/>
    <w:rsid w:val="008717DC"/>
    <w:rsid w:val="00871DA0"/>
    <w:rsid w:val="00872B08"/>
    <w:rsid w:val="0087713E"/>
    <w:rsid w:val="00881200"/>
    <w:rsid w:val="00881C09"/>
    <w:rsid w:val="00883642"/>
    <w:rsid w:val="008837BF"/>
    <w:rsid w:val="0088388A"/>
    <w:rsid w:val="0088524D"/>
    <w:rsid w:val="0089109F"/>
    <w:rsid w:val="00891101"/>
    <w:rsid w:val="00894259"/>
    <w:rsid w:val="00895927"/>
    <w:rsid w:val="00895C4A"/>
    <w:rsid w:val="008A302E"/>
    <w:rsid w:val="008A574C"/>
    <w:rsid w:val="008B1724"/>
    <w:rsid w:val="008B35BB"/>
    <w:rsid w:val="008B5571"/>
    <w:rsid w:val="008B7E36"/>
    <w:rsid w:val="008C4988"/>
    <w:rsid w:val="008C6B5D"/>
    <w:rsid w:val="008D1081"/>
    <w:rsid w:val="008D2495"/>
    <w:rsid w:val="008D5C7B"/>
    <w:rsid w:val="008D6596"/>
    <w:rsid w:val="008D6EA9"/>
    <w:rsid w:val="008E0341"/>
    <w:rsid w:val="008E0E02"/>
    <w:rsid w:val="008E11A3"/>
    <w:rsid w:val="008E238E"/>
    <w:rsid w:val="008E66BE"/>
    <w:rsid w:val="008F0A2E"/>
    <w:rsid w:val="008F18BD"/>
    <w:rsid w:val="008F1FEA"/>
    <w:rsid w:val="008F351F"/>
    <w:rsid w:val="008F384C"/>
    <w:rsid w:val="008F3A0F"/>
    <w:rsid w:val="008F4B74"/>
    <w:rsid w:val="008F50B2"/>
    <w:rsid w:val="008F5663"/>
    <w:rsid w:val="008F60E7"/>
    <w:rsid w:val="009034DF"/>
    <w:rsid w:val="00906F43"/>
    <w:rsid w:val="00910104"/>
    <w:rsid w:val="009141B0"/>
    <w:rsid w:val="00916256"/>
    <w:rsid w:val="009167C6"/>
    <w:rsid w:val="0091690A"/>
    <w:rsid w:val="00917276"/>
    <w:rsid w:val="009173CF"/>
    <w:rsid w:val="0092006B"/>
    <w:rsid w:val="0092071C"/>
    <w:rsid w:val="00921133"/>
    <w:rsid w:val="009216CE"/>
    <w:rsid w:val="00923389"/>
    <w:rsid w:val="009249B9"/>
    <w:rsid w:val="00925963"/>
    <w:rsid w:val="00926381"/>
    <w:rsid w:val="009268B8"/>
    <w:rsid w:val="00926EE7"/>
    <w:rsid w:val="00926FE6"/>
    <w:rsid w:val="00927079"/>
    <w:rsid w:val="009278F7"/>
    <w:rsid w:val="00932749"/>
    <w:rsid w:val="00950DCE"/>
    <w:rsid w:val="00951A82"/>
    <w:rsid w:val="00954D40"/>
    <w:rsid w:val="009552F8"/>
    <w:rsid w:val="00955C15"/>
    <w:rsid w:val="00956E08"/>
    <w:rsid w:val="00962E49"/>
    <w:rsid w:val="0096435A"/>
    <w:rsid w:val="0096766D"/>
    <w:rsid w:val="00972079"/>
    <w:rsid w:val="00974DB8"/>
    <w:rsid w:val="00975D8C"/>
    <w:rsid w:val="00976EC2"/>
    <w:rsid w:val="0098004E"/>
    <w:rsid w:val="00980434"/>
    <w:rsid w:val="00980D9B"/>
    <w:rsid w:val="00980EC2"/>
    <w:rsid w:val="00981599"/>
    <w:rsid w:val="00981F9C"/>
    <w:rsid w:val="00984FB4"/>
    <w:rsid w:val="00986C73"/>
    <w:rsid w:val="00995827"/>
    <w:rsid w:val="009A18A8"/>
    <w:rsid w:val="009A2226"/>
    <w:rsid w:val="009A33A5"/>
    <w:rsid w:val="009A4A86"/>
    <w:rsid w:val="009A65FB"/>
    <w:rsid w:val="009A6CF2"/>
    <w:rsid w:val="009B10F7"/>
    <w:rsid w:val="009B2C70"/>
    <w:rsid w:val="009B3467"/>
    <w:rsid w:val="009C0C43"/>
    <w:rsid w:val="009C1FF4"/>
    <w:rsid w:val="009C2095"/>
    <w:rsid w:val="009C535B"/>
    <w:rsid w:val="009C6EE6"/>
    <w:rsid w:val="009C741E"/>
    <w:rsid w:val="009D50B5"/>
    <w:rsid w:val="009D57EF"/>
    <w:rsid w:val="009D596E"/>
    <w:rsid w:val="009E7C46"/>
    <w:rsid w:val="009F0852"/>
    <w:rsid w:val="009F2BD0"/>
    <w:rsid w:val="009F421C"/>
    <w:rsid w:val="009F73E0"/>
    <w:rsid w:val="00A00558"/>
    <w:rsid w:val="00A00641"/>
    <w:rsid w:val="00A05E74"/>
    <w:rsid w:val="00A0713A"/>
    <w:rsid w:val="00A11204"/>
    <w:rsid w:val="00A11ACB"/>
    <w:rsid w:val="00A11F08"/>
    <w:rsid w:val="00A1203A"/>
    <w:rsid w:val="00A13E13"/>
    <w:rsid w:val="00A159C5"/>
    <w:rsid w:val="00A160D6"/>
    <w:rsid w:val="00A16801"/>
    <w:rsid w:val="00A21331"/>
    <w:rsid w:val="00A22053"/>
    <w:rsid w:val="00A25968"/>
    <w:rsid w:val="00A25DCD"/>
    <w:rsid w:val="00A32E97"/>
    <w:rsid w:val="00A34D86"/>
    <w:rsid w:val="00A3527D"/>
    <w:rsid w:val="00A35D6F"/>
    <w:rsid w:val="00A36FAA"/>
    <w:rsid w:val="00A412D2"/>
    <w:rsid w:val="00A42BE5"/>
    <w:rsid w:val="00A43528"/>
    <w:rsid w:val="00A46A32"/>
    <w:rsid w:val="00A46B01"/>
    <w:rsid w:val="00A46E52"/>
    <w:rsid w:val="00A47F92"/>
    <w:rsid w:val="00A523E2"/>
    <w:rsid w:val="00A57C64"/>
    <w:rsid w:val="00A632D1"/>
    <w:rsid w:val="00A70F21"/>
    <w:rsid w:val="00A74D96"/>
    <w:rsid w:val="00A7709D"/>
    <w:rsid w:val="00A81D45"/>
    <w:rsid w:val="00A82895"/>
    <w:rsid w:val="00A91604"/>
    <w:rsid w:val="00A9182E"/>
    <w:rsid w:val="00AA06C9"/>
    <w:rsid w:val="00AA4B26"/>
    <w:rsid w:val="00AA4E23"/>
    <w:rsid w:val="00AA67F8"/>
    <w:rsid w:val="00AA7E1B"/>
    <w:rsid w:val="00AB315B"/>
    <w:rsid w:val="00AB31AC"/>
    <w:rsid w:val="00AB4157"/>
    <w:rsid w:val="00AC212C"/>
    <w:rsid w:val="00AC3E63"/>
    <w:rsid w:val="00AC6202"/>
    <w:rsid w:val="00AC6DCD"/>
    <w:rsid w:val="00AC7118"/>
    <w:rsid w:val="00AD10CE"/>
    <w:rsid w:val="00AD2927"/>
    <w:rsid w:val="00AD7F24"/>
    <w:rsid w:val="00AE2888"/>
    <w:rsid w:val="00AE32CC"/>
    <w:rsid w:val="00AE4E13"/>
    <w:rsid w:val="00AE6D95"/>
    <w:rsid w:val="00AF1FAF"/>
    <w:rsid w:val="00AF2CE0"/>
    <w:rsid w:val="00AF42D8"/>
    <w:rsid w:val="00AF737F"/>
    <w:rsid w:val="00B01B68"/>
    <w:rsid w:val="00B02769"/>
    <w:rsid w:val="00B02A5E"/>
    <w:rsid w:val="00B02DA5"/>
    <w:rsid w:val="00B030D2"/>
    <w:rsid w:val="00B04E41"/>
    <w:rsid w:val="00B058F4"/>
    <w:rsid w:val="00B10002"/>
    <w:rsid w:val="00B10FAE"/>
    <w:rsid w:val="00B128C7"/>
    <w:rsid w:val="00B14564"/>
    <w:rsid w:val="00B1774D"/>
    <w:rsid w:val="00B179B5"/>
    <w:rsid w:val="00B209C2"/>
    <w:rsid w:val="00B22C82"/>
    <w:rsid w:val="00B24503"/>
    <w:rsid w:val="00B26F7D"/>
    <w:rsid w:val="00B306A5"/>
    <w:rsid w:val="00B310F5"/>
    <w:rsid w:val="00B3167D"/>
    <w:rsid w:val="00B31C25"/>
    <w:rsid w:val="00B33A49"/>
    <w:rsid w:val="00B34186"/>
    <w:rsid w:val="00B342C4"/>
    <w:rsid w:val="00B369BE"/>
    <w:rsid w:val="00B37B19"/>
    <w:rsid w:val="00B401A7"/>
    <w:rsid w:val="00B41F5D"/>
    <w:rsid w:val="00B44B09"/>
    <w:rsid w:val="00B45FBD"/>
    <w:rsid w:val="00B54491"/>
    <w:rsid w:val="00B56F2B"/>
    <w:rsid w:val="00B576C1"/>
    <w:rsid w:val="00B60375"/>
    <w:rsid w:val="00B60D45"/>
    <w:rsid w:val="00B62009"/>
    <w:rsid w:val="00B62C40"/>
    <w:rsid w:val="00B63004"/>
    <w:rsid w:val="00B63DD6"/>
    <w:rsid w:val="00B64E06"/>
    <w:rsid w:val="00B70DA2"/>
    <w:rsid w:val="00B71A3F"/>
    <w:rsid w:val="00B7411B"/>
    <w:rsid w:val="00B75E72"/>
    <w:rsid w:val="00B76645"/>
    <w:rsid w:val="00B80642"/>
    <w:rsid w:val="00B82BD3"/>
    <w:rsid w:val="00B846E1"/>
    <w:rsid w:val="00B85044"/>
    <w:rsid w:val="00B85F2E"/>
    <w:rsid w:val="00B912BA"/>
    <w:rsid w:val="00B93C5E"/>
    <w:rsid w:val="00B94B7E"/>
    <w:rsid w:val="00B94CE5"/>
    <w:rsid w:val="00B950EA"/>
    <w:rsid w:val="00B9546F"/>
    <w:rsid w:val="00B9721A"/>
    <w:rsid w:val="00BA6C6F"/>
    <w:rsid w:val="00BA6CA1"/>
    <w:rsid w:val="00BA75EA"/>
    <w:rsid w:val="00BB071D"/>
    <w:rsid w:val="00BB2B83"/>
    <w:rsid w:val="00BB2D22"/>
    <w:rsid w:val="00BB48BD"/>
    <w:rsid w:val="00BB48F0"/>
    <w:rsid w:val="00BB6A25"/>
    <w:rsid w:val="00BC147F"/>
    <w:rsid w:val="00BC1F98"/>
    <w:rsid w:val="00BC2A89"/>
    <w:rsid w:val="00BD0CE6"/>
    <w:rsid w:val="00BD2539"/>
    <w:rsid w:val="00BD33E3"/>
    <w:rsid w:val="00BD3AC9"/>
    <w:rsid w:val="00BD624D"/>
    <w:rsid w:val="00BD6507"/>
    <w:rsid w:val="00BD7296"/>
    <w:rsid w:val="00BE6272"/>
    <w:rsid w:val="00BE65CB"/>
    <w:rsid w:val="00BF06D5"/>
    <w:rsid w:val="00BF1FCF"/>
    <w:rsid w:val="00BF55C7"/>
    <w:rsid w:val="00BF64C4"/>
    <w:rsid w:val="00C00F0B"/>
    <w:rsid w:val="00C026A5"/>
    <w:rsid w:val="00C038E1"/>
    <w:rsid w:val="00C05B30"/>
    <w:rsid w:val="00C14253"/>
    <w:rsid w:val="00C14325"/>
    <w:rsid w:val="00C1511B"/>
    <w:rsid w:val="00C20929"/>
    <w:rsid w:val="00C24E82"/>
    <w:rsid w:val="00C261F4"/>
    <w:rsid w:val="00C31085"/>
    <w:rsid w:val="00C34BFB"/>
    <w:rsid w:val="00C35776"/>
    <w:rsid w:val="00C3587F"/>
    <w:rsid w:val="00C421A4"/>
    <w:rsid w:val="00C43A2C"/>
    <w:rsid w:val="00C47C1E"/>
    <w:rsid w:val="00C50158"/>
    <w:rsid w:val="00C51E2D"/>
    <w:rsid w:val="00C51F40"/>
    <w:rsid w:val="00C5202D"/>
    <w:rsid w:val="00C522AA"/>
    <w:rsid w:val="00C5230B"/>
    <w:rsid w:val="00C61787"/>
    <w:rsid w:val="00C61D87"/>
    <w:rsid w:val="00C70ECF"/>
    <w:rsid w:val="00C7560C"/>
    <w:rsid w:val="00C82FF8"/>
    <w:rsid w:val="00C833E3"/>
    <w:rsid w:val="00C83EFB"/>
    <w:rsid w:val="00C842EF"/>
    <w:rsid w:val="00C84CBC"/>
    <w:rsid w:val="00C870C5"/>
    <w:rsid w:val="00C873F2"/>
    <w:rsid w:val="00C93314"/>
    <w:rsid w:val="00C9576F"/>
    <w:rsid w:val="00C95927"/>
    <w:rsid w:val="00C96A5F"/>
    <w:rsid w:val="00C97878"/>
    <w:rsid w:val="00C97FD6"/>
    <w:rsid w:val="00CA3E7B"/>
    <w:rsid w:val="00CA4190"/>
    <w:rsid w:val="00CA4369"/>
    <w:rsid w:val="00CA64AD"/>
    <w:rsid w:val="00CA72EC"/>
    <w:rsid w:val="00CB1D22"/>
    <w:rsid w:val="00CB33BF"/>
    <w:rsid w:val="00CB64DA"/>
    <w:rsid w:val="00CB6C1D"/>
    <w:rsid w:val="00CB7551"/>
    <w:rsid w:val="00CB7655"/>
    <w:rsid w:val="00CB7C22"/>
    <w:rsid w:val="00CC168E"/>
    <w:rsid w:val="00CC331F"/>
    <w:rsid w:val="00CC6D53"/>
    <w:rsid w:val="00CC7AFE"/>
    <w:rsid w:val="00CC7B9A"/>
    <w:rsid w:val="00CD0478"/>
    <w:rsid w:val="00CD330D"/>
    <w:rsid w:val="00CD510C"/>
    <w:rsid w:val="00CE1642"/>
    <w:rsid w:val="00CE1906"/>
    <w:rsid w:val="00CE2643"/>
    <w:rsid w:val="00CE45D8"/>
    <w:rsid w:val="00CE60EA"/>
    <w:rsid w:val="00CF1715"/>
    <w:rsid w:val="00CF1943"/>
    <w:rsid w:val="00CF19CE"/>
    <w:rsid w:val="00CF67A1"/>
    <w:rsid w:val="00D01F27"/>
    <w:rsid w:val="00D0274A"/>
    <w:rsid w:val="00D033E8"/>
    <w:rsid w:val="00D05CD4"/>
    <w:rsid w:val="00D05FBC"/>
    <w:rsid w:val="00D07C36"/>
    <w:rsid w:val="00D07C92"/>
    <w:rsid w:val="00D117D1"/>
    <w:rsid w:val="00D124D9"/>
    <w:rsid w:val="00D143B0"/>
    <w:rsid w:val="00D15019"/>
    <w:rsid w:val="00D16154"/>
    <w:rsid w:val="00D22BA8"/>
    <w:rsid w:val="00D23732"/>
    <w:rsid w:val="00D247EC"/>
    <w:rsid w:val="00D24B48"/>
    <w:rsid w:val="00D26786"/>
    <w:rsid w:val="00D27614"/>
    <w:rsid w:val="00D27C0F"/>
    <w:rsid w:val="00D27FE5"/>
    <w:rsid w:val="00D3185C"/>
    <w:rsid w:val="00D32A5C"/>
    <w:rsid w:val="00D33193"/>
    <w:rsid w:val="00D334B3"/>
    <w:rsid w:val="00D34D74"/>
    <w:rsid w:val="00D35085"/>
    <w:rsid w:val="00D3608C"/>
    <w:rsid w:val="00D372E1"/>
    <w:rsid w:val="00D378C6"/>
    <w:rsid w:val="00D41E60"/>
    <w:rsid w:val="00D4328D"/>
    <w:rsid w:val="00D45C82"/>
    <w:rsid w:val="00D47687"/>
    <w:rsid w:val="00D539C9"/>
    <w:rsid w:val="00D54867"/>
    <w:rsid w:val="00D54DFC"/>
    <w:rsid w:val="00D552F8"/>
    <w:rsid w:val="00D575CD"/>
    <w:rsid w:val="00D57A73"/>
    <w:rsid w:val="00D60B31"/>
    <w:rsid w:val="00D60C0A"/>
    <w:rsid w:val="00D61DCD"/>
    <w:rsid w:val="00D638C1"/>
    <w:rsid w:val="00D66B21"/>
    <w:rsid w:val="00D67D40"/>
    <w:rsid w:val="00D7231D"/>
    <w:rsid w:val="00D729E5"/>
    <w:rsid w:val="00D72CA9"/>
    <w:rsid w:val="00D730E6"/>
    <w:rsid w:val="00D75A38"/>
    <w:rsid w:val="00D80CAE"/>
    <w:rsid w:val="00D81632"/>
    <w:rsid w:val="00D8404D"/>
    <w:rsid w:val="00D91482"/>
    <w:rsid w:val="00D93B69"/>
    <w:rsid w:val="00D9401D"/>
    <w:rsid w:val="00DA10F1"/>
    <w:rsid w:val="00DA43B0"/>
    <w:rsid w:val="00DA6D41"/>
    <w:rsid w:val="00DA711B"/>
    <w:rsid w:val="00DA7766"/>
    <w:rsid w:val="00DA799C"/>
    <w:rsid w:val="00DA7D5C"/>
    <w:rsid w:val="00DB031F"/>
    <w:rsid w:val="00DB1E8A"/>
    <w:rsid w:val="00DB2D29"/>
    <w:rsid w:val="00DB5CE1"/>
    <w:rsid w:val="00DB7129"/>
    <w:rsid w:val="00DB7EA7"/>
    <w:rsid w:val="00DC0E1B"/>
    <w:rsid w:val="00DC262C"/>
    <w:rsid w:val="00DC36DA"/>
    <w:rsid w:val="00DD1B62"/>
    <w:rsid w:val="00DD1BCC"/>
    <w:rsid w:val="00DD1E6F"/>
    <w:rsid w:val="00DD5460"/>
    <w:rsid w:val="00DE0C7C"/>
    <w:rsid w:val="00DE0E35"/>
    <w:rsid w:val="00DE3E4F"/>
    <w:rsid w:val="00DE5581"/>
    <w:rsid w:val="00DF224B"/>
    <w:rsid w:val="00DF35ED"/>
    <w:rsid w:val="00DF3CA4"/>
    <w:rsid w:val="00DF45AB"/>
    <w:rsid w:val="00E0137D"/>
    <w:rsid w:val="00E01698"/>
    <w:rsid w:val="00E02395"/>
    <w:rsid w:val="00E032D4"/>
    <w:rsid w:val="00E03DC6"/>
    <w:rsid w:val="00E05421"/>
    <w:rsid w:val="00E07284"/>
    <w:rsid w:val="00E0766F"/>
    <w:rsid w:val="00E11C37"/>
    <w:rsid w:val="00E11E18"/>
    <w:rsid w:val="00E13417"/>
    <w:rsid w:val="00E17795"/>
    <w:rsid w:val="00E20FDC"/>
    <w:rsid w:val="00E210C0"/>
    <w:rsid w:val="00E21923"/>
    <w:rsid w:val="00E23066"/>
    <w:rsid w:val="00E231C2"/>
    <w:rsid w:val="00E24AE1"/>
    <w:rsid w:val="00E24D57"/>
    <w:rsid w:val="00E26C94"/>
    <w:rsid w:val="00E310B7"/>
    <w:rsid w:val="00E42A80"/>
    <w:rsid w:val="00E44B93"/>
    <w:rsid w:val="00E455F0"/>
    <w:rsid w:val="00E464B4"/>
    <w:rsid w:val="00E508BE"/>
    <w:rsid w:val="00E515A9"/>
    <w:rsid w:val="00E567E3"/>
    <w:rsid w:val="00E61EC7"/>
    <w:rsid w:val="00E62727"/>
    <w:rsid w:val="00E64202"/>
    <w:rsid w:val="00E64795"/>
    <w:rsid w:val="00E671B9"/>
    <w:rsid w:val="00E67CE0"/>
    <w:rsid w:val="00E70519"/>
    <w:rsid w:val="00E70C8D"/>
    <w:rsid w:val="00E7133E"/>
    <w:rsid w:val="00E71A8D"/>
    <w:rsid w:val="00E72B3B"/>
    <w:rsid w:val="00E730ED"/>
    <w:rsid w:val="00E754CD"/>
    <w:rsid w:val="00E760AF"/>
    <w:rsid w:val="00E7657F"/>
    <w:rsid w:val="00E815DD"/>
    <w:rsid w:val="00E8322D"/>
    <w:rsid w:val="00E8517C"/>
    <w:rsid w:val="00E86835"/>
    <w:rsid w:val="00E87485"/>
    <w:rsid w:val="00E905A7"/>
    <w:rsid w:val="00E93E05"/>
    <w:rsid w:val="00E95CD0"/>
    <w:rsid w:val="00E96500"/>
    <w:rsid w:val="00E9651E"/>
    <w:rsid w:val="00EA0689"/>
    <w:rsid w:val="00EA19C5"/>
    <w:rsid w:val="00EA3C2C"/>
    <w:rsid w:val="00EA50F5"/>
    <w:rsid w:val="00EB062C"/>
    <w:rsid w:val="00EB541F"/>
    <w:rsid w:val="00EC0709"/>
    <w:rsid w:val="00EC073F"/>
    <w:rsid w:val="00EC5F1D"/>
    <w:rsid w:val="00EC6CDB"/>
    <w:rsid w:val="00EC7216"/>
    <w:rsid w:val="00EC72E6"/>
    <w:rsid w:val="00ED148D"/>
    <w:rsid w:val="00ED1638"/>
    <w:rsid w:val="00ED1699"/>
    <w:rsid w:val="00ED2AD6"/>
    <w:rsid w:val="00ED5E5C"/>
    <w:rsid w:val="00EE01BA"/>
    <w:rsid w:val="00EE05F1"/>
    <w:rsid w:val="00EE25D7"/>
    <w:rsid w:val="00EE4AAF"/>
    <w:rsid w:val="00EE5FCE"/>
    <w:rsid w:val="00EF026E"/>
    <w:rsid w:val="00EF09C6"/>
    <w:rsid w:val="00EF4022"/>
    <w:rsid w:val="00EF5343"/>
    <w:rsid w:val="00EF7DD7"/>
    <w:rsid w:val="00F01063"/>
    <w:rsid w:val="00F01185"/>
    <w:rsid w:val="00F0146C"/>
    <w:rsid w:val="00F02DA1"/>
    <w:rsid w:val="00F02F96"/>
    <w:rsid w:val="00F03C72"/>
    <w:rsid w:val="00F06D01"/>
    <w:rsid w:val="00F1201A"/>
    <w:rsid w:val="00F12CD7"/>
    <w:rsid w:val="00F20B2E"/>
    <w:rsid w:val="00F25575"/>
    <w:rsid w:val="00F26630"/>
    <w:rsid w:val="00F2665E"/>
    <w:rsid w:val="00F31351"/>
    <w:rsid w:val="00F321F8"/>
    <w:rsid w:val="00F33328"/>
    <w:rsid w:val="00F34031"/>
    <w:rsid w:val="00F34503"/>
    <w:rsid w:val="00F4036B"/>
    <w:rsid w:val="00F4074B"/>
    <w:rsid w:val="00F43E4D"/>
    <w:rsid w:val="00F4744D"/>
    <w:rsid w:val="00F47FF2"/>
    <w:rsid w:val="00F5520F"/>
    <w:rsid w:val="00F67409"/>
    <w:rsid w:val="00F72590"/>
    <w:rsid w:val="00F738D9"/>
    <w:rsid w:val="00F743D0"/>
    <w:rsid w:val="00F75CC3"/>
    <w:rsid w:val="00F7699F"/>
    <w:rsid w:val="00F76ED6"/>
    <w:rsid w:val="00F7723A"/>
    <w:rsid w:val="00F804BC"/>
    <w:rsid w:val="00F82E26"/>
    <w:rsid w:val="00F834EA"/>
    <w:rsid w:val="00F8474B"/>
    <w:rsid w:val="00F85267"/>
    <w:rsid w:val="00F8555A"/>
    <w:rsid w:val="00F87018"/>
    <w:rsid w:val="00F87EE9"/>
    <w:rsid w:val="00F9157F"/>
    <w:rsid w:val="00F9240A"/>
    <w:rsid w:val="00F92793"/>
    <w:rsid w:val="00F92FA1"/>
    <w:rsid w:val="00F93021"/>
    <w:rsid w:val="00F93D30"/>
    <w:rsid w:val="00F93FD6"/>
    <w:rsid w:val="00F95A3A"/>
    <w:rsid w:val="00F96D37"/>
    <w:rsid w:val="00FA30F3"/>
    <w:rsid w:val="00FA3A44"/>
    <w:rsid w:val="00FA4DF8"/>
    <w:rsid w:val="00FA6DD5"/>
    <w:rsid w:val="00FA6E04"/>
    <w:rsid w:val="00FA78C6"/>
    <w:rsid w:val="00FB5B92"/>
    <w:rsid w:val="00FC0C0A"/>
    <w:rsid w:val="00FC2A1B"/>
    <w:rsid w:val="00FC2D63"/>
    <w:rsid w:val="00FC545C"/>
    <w:rsid w:val="00FC624E"/>
    <w:rsid w:val="00FC742D"/>
    <w:rsid w:val="00FD0B3C"/>
    <w:rsid w:val="00FD51FD"/>
    <w:rsid w:val="00FD61AB"/>
    <w:rsid w:val="00FD696B"/>
    <w:rsid w:val="00FD743E"/>
    <w:rsid w:val="00FD7A60"/>
    <w:rsid w:val="00FD7C3C"/>
    <w:rsid w:val="00FE0812"/>
    <w:rsid w:val="00FF0318"/>
    <w:rsid w:val="00FF5465"/>
    <w:rsid w:val="00FF7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shapelayout v:ext="edit">
      <o:idmap v:ext="edit" data="1"/>
    </o:shapelayout>
  </w:shapeDefaults>
  <w:decimalSymbol w:val=","/>
  <w:listSeparator w:val=";"/>
  <w14:docId w14:val="3861FA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rsid w:val="00773A64"/>
    <w:pPr>
      <w:keepNext/>
      <w:numPr>
        <w:numId w:val="14"/>
      </w:numPr>
      <w:spacing w:before="360" w:after="180"/>
      <w:jc w:val="both"/>
      <w:outlineLvl w:val="0"/>
    </w:pPr>
    <w:rPr>
      <w:b/>
      <w:kern w:val="28"/>
    </w:rPr>
  </w:style>
  <w:style w:type="paragraph" w:styleId="Titre2">
    <w:name w:val="heading 2"/>
    <w:basedOn w:val="Normal"/>
    <w:next w:val="Normal"/>
    <w:qFormat/>
    <w:pPr>
      <w:keepNext/>
      <w:numPr>
        <w:ilvl w:val="1"/>
        <w:numId w:val="14"/>
      </w:numPr>
      <w:spacing w:before="240" w:after="60"/>
      <w:outlineLvl w:val="1"/>
    </w:pPr>
    <w:rPr>
      <w:b/>
      <w:i/>
    </w:rPr>
  </w:style>
  <w:style w:type="paragraph" w:styleId="Titre3">
    <w:name w:val="heading 3"/>
    <w:basedOn w:val="Normal"/>
    <w:next w:val="Normal"/>
    <w:qFormat/>
    <w:pPr>
      <w:keepNext/>
      <w:numPr>
        <w:ilvl w:val="2"/>
        <w:numId w:val="14"/>
      </w:numPr>
      <w:spacing w:before="240" w:after="60"/>
      <w:outlineLvl w:val="2"/>
    </w:pPr>
  </w:style>
  <w:style w:type="paragraph" w:styleId="Titre4">
    <w:name w:val="heading 4"/>
    <w:basedOn w:val="Normal"/>
    <w:next w:val="Normal"/>
    <w:qFormat/>
    <w:pPr>
      <w:keepNext/>
      <w:numPr>
        <w:ilvl w:val="3"/>
        <w:numId w:val="14"/>
      </w:numPr>
      <w:spacing w:before="240" w:after="60"/>
      <w:outlineLvl w:val="3"/>
    </w:pPr>
    <w:rPr>
      <w:b/>
    </w:rPr>
  </w:style>
  <w:style w:type="paragraph" w:styleId="Titre5">
    <w:name w:val="heading 5"/>
    <w:basedOn w:val="Normal"/>
    <w:next w:val="Normal"/>
    <w:qFormat/>
    <w:pPr>
      <w:numPr>
        <w:ilvl w:val="4"/>
        <w:numId w:val="14"/>
      </w:numPr>
      <w:spacing w:before="240" w:after="60"/>
      <w:outlineLvl w:val="4"/>
    </w:pPr>
    <w:rPr>
      <w:sz w:val="22"/>
    </w:rPr>
  </w:style>
  <w:style w:type="paragraph" w:styleId="Titre6">
    <w:name w:val="heading 6"/>
    <w:basedOn w:val="Normal"/>
    <w:next w:val="Normal"/>
    <w:qFormat/>
    <w:pPr>
      <w:numPr>
        <w:ilvl w:val="5"/>
        <w:numId w:val="14"/>
      </w:numPr>
      <w:spacing w:before="240" w:after="60"/>
      <w:outlineLvl w:val="5"/>
    </w:pPr>
    <w:rPr>
      <w:i/>
      <w:sz w:val="22"/>
    </w:rPr>
  </w:style>
  <w:style w:type="paragraph" w:styleId="Titre7">
    <w:name w:val="heading 7"/>
    <w:basedOn w:val="Normal"/>
    <w:next w:val="Normal"/>
    <w:qFormat/>
    <w:pPr>
      <w:numPr>
        <w:ilvl w:val="6"/>
        <w:numId w:val="14"/>
      </w:numPr>
      <w:spacing w:before="240" w:after="60"/>
      <w:outlineLvl w:val="6"/>
    </w:pPr>
    <w:rPr>
      <w:sz w:val="20"/>
    </w:rPr>
  </w:style>
  <w:style w:type="paragraph" w:styleId="Titre8">
    <w:name w:val="heading 8"/>
    <w:basedOn w:val="Normal"/>
    <w:next w:val="Normal"/>
    <w:qFormat/>
    <w:pPr>
      <w:numPr>
        <w:ilvl w:val="7"/>
        <w:numId w:val="14"/>
      </w:numPr>
      <w:spacing w:before="240" w:after="60"/>
      <w:outlineLvl w:val="7"/>
    </w:pPr>
    <w:rPr>
      <w:i/>
      <w:sz w:val="20"/>
    </w:rPr>
  </w:style>
  <w:style w:type="paragraph" w:styleId="Titre9">
    <w:name w:val="heading 9"/>
    <w:basedOn w:val="Normal"/>
    <w:next w:val="Normal"/>
    <w:qFormat/>
    <w:pPr>
      <w:numPr>
        <w:ilvl w:val="8"/>
        <w:numId w:val="14"/>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numPr>
        <w:numId w:val="3"/>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uiPriority w:val="99"/>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3"/>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B02DA5"/>
    <w:pPr>
      <w:tabs>
        <w:tab w:val="center" w:pos="4320"/>
        <w:tab w:val="right" w:pos="8640"/>
      </w:tabs>
    </w:pPr>
  </w:style>
  <w:style w:type="character" w:customStyle="1" w:styleId="En-tteCar">
    <w:name w:val="En-tête Car"/>
    <w:basedOn w:val="Policepardfaut"/>
    <w:link w:val="En-tte"/>
    <w:uiPriority w:val="99"/>
    <w:rsid w:val="00B02DA5"/>
    <w:rPr>
      <w:rFonts w:ascii="Arial" w:hAnsi="Arial"/>
      <w:sz w:val="24"/>
      <w:lang w:eastAsia="fr-FR"/>
    </w:rPr>
  </w:style>
  <w:style w:type="paragraph" w:styleId="Pieddepage">
    <w:name w:val="footer"/>
    <w:basedOn w:val="Normal"/>
    <w:link w:val="PieddepageCar"/>
    <w:unhideWhenUsed/>
    <w:rsid w:val="00B02DA5"/>
    <w:pPr>
      <w:tabs>
        <w:tab w:val="center" w:pos="4320"/>
        <w:tab w:val="right" w:pos="8640"/>
      </w:tabs>
    </w:pPr>
  </w:style>
  <w:style w:type="character" w:customStyle="1" w:styleId="PieddepageCar">
    <w:name w:val="Pied de page Car"/>
    <w:basedOn w:val="Policepardfaut"/>
    <w:link w:val="Pieddepage"/>
    <w:rsid w:val="00B02DA5"/>
    <w:rPr>
      <w:rFonts w:ascii="Arial" w:hAnsi="Arial"/>
      <w:sz w:val="24"/>
      <w:lang w:eastAsia="fr-FR"/>
    </w:rPr>
  </w:style>
  <w:style w:type="character" w:styleId="Appelnotedebasdep">
    <w:name w:val="footnote reference"/>
    <w:basedOn w:val="Policepardfaut"/>
    <w:uiPriority w:val="99"/>
    <w:semiHidden/>
    <w:unhideWhenUsed/>
    <w:rsid w:val="007A71D0"/>
  </w:style>
  <w:style w:type="character" w:customStyle="1" w:styleId="NotedebasdepageCar">
    <w:name w:val="Note de bas de page Car"/>
    <w:basedOn w:val="Policepardfaut"/>
    <w:link w:val="Notedebasdepage"/>
    <w:uiPriority w:val="99"/>
    <w:rsid w:val="007A71D0"/>
    <w:rPr>
      <w:rFonts w:ascii="Arial" w:hAnsi="Arial"/>
      <w:lang w:eastAsia="fr-FR"/>
    </w:rPr>
  </w:style>
  <w:style w:type="paragraph" w:styleId="Paragraphedeliste">
    <w:name w:val="List Paragraph"/>
    <w:basedOn w:val="Normal"/>
    <w:uiPriority w:val="34"/>
    <w:qFormat/>
    <w:rsid w:val="001D1E0D"/>
    <w:pPr>
      <w:ind w:left="720"/>
      <w:contextualSpacing/>
    </w:pPr>
  </w:style>
  <w:style w:type="paragraph" w:customStyle="1" w:styleId="paragraphe0">
    <w:name w:val="paragraphe"/>
    <w:basedOn w:val="Normal"/>
    <w:rsid w:val="001D1E0D"/>
    <w:pPr>
      <w:spacing w:before="100" w:beforeAutospacing="1" w:after="100" w:afterAutospacing="1"/>
    </w:pPr>
    <w:rPr>
      <w:rFonts w:ascii="Arial Unicode MS" w:eastAsia="Arial Unicode MS" w:hAnsi="Arial Unicode MS" w:cs="Arial Unicode MS"/>
      <w:szCs w:val="24"/>
    </w:rPr>
  </w:style>
  <w:style w:type="character" w:customStyle="1" w:styleId="term2lmrplexumsolrtransition">
    <w:name w:val="term2 lmrp lexumsolrtransition"/>
    <w:basedOn w:val="Policepardfaut"/>
    <w:rsid w:val="001D1E0D"/>
  </w:style>
  <w:style w:type="character" w:customStyle="1" w:styleId="term0lmrp">
    <w:name w:val="term0 lmrp"/>
    <w:basedOn w:val="Policepardfaut"/>
    <w:rsid w:val="001D1E0D"/>
  </w:style>
  <w:style w:type="paragraph" w:customStyle="1" w:styleId="dblspaced">
    <w:name w:val="dblspaced"/>
    <w:basedOn w:val="Normal"/>
    <w:rsid w:val="001D1E0D"/>
    <w:pPr>
      <w:spacing w:before="100" w:beforeAutospacing="1" w:after="100" w:afterAutospacing="1"/>
    </w:pPr>
    <w:rPr>
      <w:rFonts w:ascii="Times New Roman" w:hAnsi="Times New Roman"/>
      <w:szCs w:val="24"/>
      <w:lang w:eastAsia="fr-CA"/>
    </w:rPr>
  </w:style>
  <w:style w:type="character" w:styleId="Lienhypertexte">
    <w:name w:val="Hyperlink"/>
    <w:basedOn w:val="Policepardfaut"/>
    <w:uiPriority w:val="99"/>
    <w:unhideWhenUsed/>
    <w:rsid w:val="001D1E0D"/>
    <w:rPr>
      <w:color w:val="0000FF"/>
      <w:u w:val="single"/>
    </w:rPr>
  </w:style>
  <w:style w:type="character" w:customStyle="1" w:styleId="solexhl">
    <w:name w:val="solexhl"/>
    <w:basedOn w:val="Policepardfaut"/>
    <w:rsid w:val="001D1E0D"/>
  </w:style>
  <w:style w:type="character" w:customStyle="1" w:styleId="reflex3-block">
    <w:name w:val="reflex3-block"/>
    <w:basedOn w:val="Policepardfaut"/>
    <w:rsid w:val="001D1E0D"/>
  </w:style>
  <w:style w:type="paragraph" w:customStyle="1" w:styleId="mainparagraph">
    <w:name w:val="mainparagraph"/>
    <w:basedOn w:val="Normal"/>
    <w:rsid w:val="001D1E0D"/>
    <w:pPr>
      <w:spacing w:before="100" w:beforeAutospacing="1" w:after="100" w:afterAutospacing="1"/>
    </w:pPr>
    <w:rPr>
      <w:rFonts w:ascii="Times New Roman" w:hAnsi="Times New Roman"/>
      <w:szCs w:val="24"/>
      <w:lang w:eastAsia="fr-CA"/>
    </w:rPr>
  </w:style>
  <w:style w:type="paragraph" w:customStyle="1" w:styleId="paragraphenormal">
    <w:name w:val="paragraphenormal"/>
    <w:basedOn w:val="Normal"/>
    <w:rsid w:val="001D1E0D"/>
    <w:pPr>
      <w:spacing w:before="100" w:beforeAutospacing="1" w:after="100" w:afterAutospacing="1"/>
    </w:pPr>
    <w:rPr>
      <w:rFonts w:ascii="Times New Roman" w:hAnsi="Times New Roman"/>
      <w:szCs w:val="24"/>
      <w:lang w:eastAsia="fr-CA"/>
    </w:rPr>
  </w:style>
  <w:style w:type="paragraph" w:customStyle="1" w:styleId="citationenretrait0">
    <w:name w:val="citationenretrait"/>
    <w:basedOn w:val="Normal"/>
    <w:rsid w:val="001D1E0D"/>
    <w:pPr>
      <w:spacing w:before="100" w:beforeAutospacing="1" w:after="100" w:afterAutospacing="1"/>
    </w:pPr>
    <w:rPr>
      <w:rFonts w:ascii="Times New Roman" w:hAnsi="Times New Roman"/>
      <w:szCs w:val="24"/>
      <w:lang w:eastAsia="fr-CA"/>
    </w:rPr>
  </w:style>
  <w:style w:type="character" w:customStyle="1" w:styleId="reflex">
    <w:name w:val="reflex"/>
    <w:basedOn w:val="Policepardfaut"/>
    <w:rsid w:val="001D1E0D"/>
  </w:style>
  <w:style w:type="paragraph" w:customStyle="1" w:styleId="1stquote">
    <w:name w:val="1stquote"/>
    <w:basedOn w:val="Normal"/>
    <w:rsid w:val="001D1E0D"/>
    <w:pPr>
      <w:spacing w:before="100" w:beforeAutospacing="1" w:after="100" w:afterAutospacing="1"/>
    </w:pPr>
    <w:rPr>
      <w:rFonts w:ascii="Times New Roman" w:hAnsi="Times New Roman"/>
      <w:szCs w:val="24"/>
      <w:lang w:eastAsia="fr-CA"/>
    </w:rPr>
  </w:style>
  <w:style w:type="paragraph" w:customStyle="1" w:styleId="subsection">
    <w:name w:val="subsection"/>
    <w:basedOn w:val="Normal"/>
    <w:rsid w:val="001D1E0D"/>
    <w:pPr>
      <w:spacing w:before="100" w:beforeAutospacing="1" w:after="100" w:afterAutospacing="1"/>
    </w:pPr>
    <w:rPr>
      <w:rFonts w:ascii="Times New Roman" w:hAnsi="Times New Roman"/>
      <w:szCs w:val="24"/>
      <w:lang w:eastAsia="fr-CA"/>
    </w:rPr>
  </w:style>
  <w:style w:type="paragraph" w:customStyle="1" w:styleId="paragraph">
    <w:name w:val="paragraph"/>
    <w:basedOn w:val="Normal"/>
    <w:rsid w:val="001D1E0D"/>
    <w:pPr>
      <w:spacing w:before="100" w:beforeAutospacing="1" w:after="100" w:afterAutospacing="1"/>
    </w:pPr>
    <w:rPr>
      <w:rFonts w:ascii="Times New Roman" w:hAnsi="Times New Roman"/>
      <w:szCs w:val="24"/>
      <w:lang w:eastAsia="fr-CA"/>
    </w:rPr>
  </w:style>
  <w:style w:type="character" w:customStyle="1" w:styleId="lawlabel">
    <w:name w:val="lawlabel"/>
    <w:basedOn w:val="Policepardfaut"/>
    <w:rsid w:val="001D1E0D"/>
  </w:style>
  <w:style w:type="paragraph" w:customStyle="1" w:styleId="noparagrjugement">
    <w:name w:val="noparagrjugement"/>
    <w:basedOn w:val="Normal"/>
    <w:rsid w:val="001D1E0D"/>
    <w:pPr>
      <w:spacing w:before="100" w:beforeAutospacing="1" w:after="100" w:afterAutospacing="1"/>
    </w:pPr>
    <w:rPr>
      <w:rFonts w:ascii="Times New Roman" w:hAnsi="Times New Roman"/>
      <w:szCs w:val="24"/>
      <w:lang w:eastAsia="fr-CA"/>
    </w:rPr>
  </w:style>
  <w:style w:type="paragraph" w:styleId="Textedebulles">
    <w:name w:val="Balloon Text"/>
    <w:basedOn w:val="Normal"/>
    <w:link w:val="TextedebullesCar"/>
    <w:uiPriority w:val="99"/>
    <w:semiHidden/>
    <w:unhideWhenUsed/>
    <w:rsid w:val="001D1E0D"/>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1E0D"/>
    <w:rPr>
      <w:rFonts w:ascii="Segoe UI" w:hAnsi="Segoe UI" w:cs="Segoe UI"/>
      <w:sz w:val="18"/>
      <w:szCs w:val="18"/>
      <w:lang w:eastAsia="fr-FR"/>
    </w:rPr>
  </w:style>
  <w:style w:type="character" w:styleId="Numrodepage">
    <w:name w:val="page number"/>
    <w:basedOn w:val="Policepardfaut"/>
    <w:rsid w:val="003C11AB"/>
  </w:style>
  <w:style w:type="character" w:customStyle="1" w:styleId="UnresolvedMention">
    <w:name w:val="Unresolved Mention"/>
    <w:basedOn w:val="Policepardfaut"/>
    <w:uiPriority w:val="99"/>
    <w:semiHidden/>
    <w:unhideWhenUsed/>
    <w:rsid w:val="0019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263241">
      <w:bodyDiv w:val="1"/>
      <w:marLeft w:val="0"/>
      <w:marRight w:val="0"/>
      <w:marTop w:val="0"/>
      <w:marBottom w:val="0"/>
      <w:divBdr>
        <w:top w:val="none" w:sz="0" w:space="0" w:color="auto"/>
        <w:left w:val="none" w:sz="0" w:space="0" w:color="auto"/>
        <w:bottom w:val="none" w:sz="0" w:space="0" w:color="auto"/>
        <w:right w:val="none" w:sz="0" w:space="0" w:color="auto"/>
      </w:divBdr>
      <w:divsChild>
        <w:div w:id="2092461462">
          <w:marLeft w:val="0"/>
          <w:marRight w:val="0"/>
          <w:marTop w:val="0"/>
          <w:marBottom w:val="0"/>
          <w:divBdr>
            <w:top w:val="none" w:sz="0" w:space="0" w:color="auto"/>
            <w:left w:val="none" w:sz="0" w:space="0" w:color="auto"/>
            <w:bottom w:val="none" w:sz="0" w:space="0" w:color="auto"/>
            <w:right w:val="none" w:sz="0" w:space="0" w:color="auto"/>
          </w:divBdr>
        </w:div>
      </w:divsChild>
    </w:div>
    <w:div w:id="1157107834">
      <w:bodyDiv w:val="1"/>
      <w:marLeft w:val="0"/>
      <w:marRight w:val="0"/>
      <w:marTop w:val="0"/>
      <w:marBottom w:val="0"/>
      <w:divBdr>
        <w:top w:val="none" w:sz="0" w:space="0" w:color="auto"/>
        <w:left w:val="none" w:sz="0" w:space="0" w:color="auto"/>
        <w:bottom w:val="none" w:sz="0" w:space="0" w:color="auto"/>
        <w:right w:val="none" w:sz="0" w:space="0" w:color="auto"/>
      </w:divBdr>
      <w:divsChild>
        <w:div w:id="1254171411">
          <w:marLeft w:val="0"/>
          <w:marRight w:val="0"/>
          <w:marTop w:val="0"/>
          <w:marBottom w:val="0"/>
          <w:divBdr>
            <w:top w:val="none" w:sz="0" w:space="0" w:color="auto"/>
            <w:left w:val="none" w:sz="0" w:space="0" w:color="auto"/>
            <w:bottom w:val="none" w:sz="0" w:space="0" w:color="auto"/>
            <w:right w:val="none" w:sz="0" w:space="0" w:color="auto"/>
          </w:divBdr>
        </w:div>
      </w:divsChild>
    </w:div>
    <w:div w:id="1442411821">
      <w:bodyDiv w:val="1"/>
      <w:marLeft w:val="0"/>
      <w:marRight w:val="0"/>
      <w:marTop w:val="0"/>
      <w:marBottom w:val="0"/>
      <w:divBdr>
        <w:top w:val="none" w:sz="0" w:space="0" w:color="auto"/>
        <w:left w:val="none" w:sz="0" w:space="0" w:color="auto"/>
        <w:bottom w:val="none" w:sz="0" w:space="0" w:color="auto"/>
        <w:right w:val="none" w:sz="0" w:space="0" w:color="auto"/>
      </w:divBdr>
      <w:divsChild>
        <w:div w:id="114258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fr/ca/legis/lois/lrc-1985-c-c-46/derniere/lrc-1985-c-c-46.html" TargetMode="External"/><Relationship Id="rId13" Type="http://schemas.openxmlformats.org/officeDocument/2006/relationships/hyperlink" Target="https://www.canlii.org/fr/ca/legis/lois/lrc-1985-c-c-46/derniere/lrc-1985-c-c-4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lii.org/fr/ca/legis/lois/lrc-1985-c-c-46/derniere/lrc-1985-c-c-4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lii.org/fr/ca/legis/lois/lrc-1985-c-c-46/derniere/lrc-1985-c-c-4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anlii.org/fr/ca/legis/lois/lrc-1985-c-c-46/derniere/lrc-1985-c-c-46.html" TargetMode="External"/><Relationship Id="rId4" Type="http://schemas.openxmlformats.org/officeDocument/2006/relationships/settings" Target="settings.xml"/><Relationship Id="rId9" Type="http://schemas.openxmlformats.org/officeDocument/2006/relationships/hyperlink" Target="https://www.canlii.org/fr/ca/csc/doc/2015/2015csc64/2015csc64.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anlii.org/en/on/onca/doc/2008/2008onca91/2008onca91.html" TargetMode="External"/><Relationship Id="rId3" Type="http://schemas.openxmlformats.org/officeDocument/2006/relationships/hyperlink" Target="https://www.canlii.org/fr/ca/csc/doc/2015/2015csc64/2015csc64.html" TargetMode="External"/><Relationship Id="rId7" Type="http://schemas.openxmlformats.org/officeDocument/2006/relationships/hyperlink" Target="https://www.canlii.org/fr/qc/qccq/doc/2002/2002canlii31056/2002canlii31056.html" TargetMode="External"/><Relationship Id="rId12" Type="http://schemas.openxmlformats.org/officeDocument/2006/relationships/hyperlink" Target="https://www.canlii.org/en/on/onsc/doc/2018/2018onsc5536/2018onsc5536.html" TargetMode="External"/><Relationship Id="rId2" Type="http://schemas.openxmlformats.org/officeDocument/2006/relationships/hyperlink" Target="https://www.canlii.org/fr/qc/qcca/doc/2017/2017qcca57/2017qcca57.html" TargetMode="External"/><Relationship Id="rId1" Type="http://schemas.openxmlformats.org/officeDocument/2006/relationships/hyperlink" Target="https://www.canlii.org/fr/ca/csc/doc/1996/1996canlii230/1996canlii230.html" TargetMode="External"/><Relationship Id="rId6" Type="http://schemas.openxmlformats.org/officeDocument/2006/relationships/hyperlink" Target="https://www.canlii.org/fr/ca/csc/doc/2022/2022csc10/2022csc10.pdf" TargetMode="External"/><Relationship Id="rId11" Type="http://schemas.openxmlformats.org/officeDocument/2006/relationships/hyperlink" Target="https://www.canlii.org/en/on/onca/doc/2015/2015onca361/2015onca361.html" TargetMode="External"/><Relationship Id="rId5" Type="http://schemas.openxmlformats.org/officeDocument/2006/relationships/hyperlink" Target="https://www.canlii.org/fr/qc/qcca/doc/2020/2020qcca372/2020qcca372.pdf" TargetMode="External"/><Relationship Id="rId10" Type="http://schemas.openxmlformats.org/officeDocument/2006/relationships/hyperlink" Target="https://www.canlii.org/en/on/onca/doc/2015/2015onca361/2015onca361.html" TargetMode="External"/><Relationship Id="rId4" Type="http://schemas.openxmlformats.org/officeDocument/2006/relationships/hyperlink" Target="https://www.canlii.org/fr/qc/qcca/doc/2019/2019qcca1011/2019qcca1011.pdf" TargetMode="External"/><Relationship Id="rId9" Type="http://schemas.openxmlformats.org/officeDocument/2006/relationships/hyperlink" Target="https://www.canlii.org/en/on/onca/doc/2008/2008onca91/2008onca9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71BE-C799-4E75-8FC3-EFB78DD4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8997</Words>
  <Characters>49485</Characters>
  <Application>Microsoft Office Word</Application>
  <DocSecurity>0</DocSecurity>
  <Lines>412</Lines>
  <Paragraphs>116</Paragraphs>
  <ScaleCrop>false</ScaleCrop>
  <Manager/>
  <Company/>
  <LinksUpToDate>false</LinksUpToDate>
  <CharactersWithSpaces>58366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2022-12-06T19:22:00Z</dcterms:created>
  <dcterms:modified xsi:type="dcterms:W3CDTF">2022-12-06T19:22:00Z</dcterms:modified>
</cp:coreProperties>
</file>