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05" w:type="dxa"/>
        <w:tblLayout w:type="fixed"/>
        <w:tblCellMar>
          <w:left w:w="70" w:type="dxa"/>
          <w:right w:w="70" w:type="dxa"/>
        </w:tblCellMar>
        <w:tblLook w:val="0000" w:firstRow="0" w:lastRow="0" w:firstColumn="0" w:lastColumn="0" w:noHBand="0" w:noVBand="0"/>
      </w:tblPr>
      <w:tblGrid>
        <w:gridCol w:w="1036"/>
        <w:gridCol w:w="69"/>
        <w:gridCol w:w="520"/>
        <w:gridCol w:w="1575"/>
        <w:gridCol w:w="1826"/>
        <w:gridCol w:w="2059"/>
        <w:gridCol w:w="2420"/>
      </w:tblGrid>
      <w:tr w:rsidR="001B1CC8">
        <w:trPr>
          <w:trHeight w:val="360"/>
        </w:trPr>
        <w:tc>
          <w:tcPr>
            <w:tcW w:w="7085" w:type="dxa"/>
            <w:gridSpan w:val="6"/>
          </w:tcPr>
          <w:p w:rsidR="00542AC5" w:rsidRPr="0034242E" w:rsidRDefault="0034242E" w:rsidP="0034242E">
            <w:pPr>
              <w:pStyle w:val="zSoquijdatRepertorie"/>
              <w:rPr>
                <w:rFonts w:cs="Arial"/>
              </w:rPr>
            </w:pPr>
            <w:bookmarkStart w:id="0" w:name="_GoBack"/>
            <w:bookmarkEnd w:id="0"/>
            <w:r>
              <w:rPr>
                <w:rFonts w:cs="Arial"/>
              </w:rPr>
              <w:t>R. c. Dubois Beauregard</w:t>
            </w:r>
          </w:p>
        </w:tc>
        <w:tc>
          <w:tcPr>
            <w:tcW w:w="2420" w:type="dxa"/>
          </w:tcPr>
          <w:p w:rsidR="004F7699" w:rsidRPr="00EC1498" w:rsidRDefault="00EC1498" w:rsidP="00EC1498">
            <w:pPr>
              <w:pStyle w:val="zSoquijdatRefNeutre"/>
              <w:jc w:val="right"/>
              <w:rPr>
                <w:rFonts w:cs="Arial"/>
              </w:rPr>
            </w:pPr>
            <w:r w:rsidRPr="00EC1498">
              <w:rPr>
                <w:rFonts w:cs="Arial"/>
              </w:rPr>
              <w:t>2022 QCCQ 11465</w:t>
            </w:r>
          </w:p>
        </w:tc>
      </w:tr>
      <w:tr w:rsidR="001B1CC8">
        <w:trPr>
          <w:trHeight w:val="900"/>
        </w:trPr>
        <w:tc>
          <w:tcPr>
            <w:tcW w:w="9505" w:type="dxa"/>
            <w:gridSpan w:val="7"/>
            <w:vAlign w:val="bottom"/>
          </w:tcPr>
          <w:p w:rsidR="004F7699" w:rsidRDefault="00DD71E8">
            <w:pPr>
              <w:pStyle w:val="zSoquijlblCour"/>
            </w:pPr>
            <w:r>
              <w:t>COUR DU QUÉBEC</w:t>
            </w:r>
          </w:p>
          <w:p w:rsidR="004E1A03" w:rsidRDefault="004E1A03">
            <w:pPr>
              <w:pStyle w:val="zSoquijlblCour"/>
            </w:pPr>
          </w:p>
        </w:tc>
      </w:tr>
      <w:tr w:rsidR="001B1CC8">
        <w:trPr>
          <w:trHeight w:val="540"/>
        </w:trPr>
        <w:tc>
          <w:tcPr>
            <w:tcW w:w="9505" w:type="dxa"/>
            <w:gridSpan w:val="7"/>
          </w:tcPr>
          <w:p w:rsidR="004F7699" w:rsidRDefault="004F7699">
            <w:pPr>
              <w:pStyle w:val="zSoquijdatDivision"/>
            </w:pPr>
          </w:p>
        </w:tc>
      </w:tr>
      <w:tr w:rsidR="001B1CC8">
        <w:tc>
          <w:tcPr>
            <w:tcW w:w="9505" w:type="dxa"/>
            <w:gridSpan w:val="7"/>
          </w:tcPr>
          <w:p w:rsidR="004F7699" w:rsidRDefault="00DD71E8">
            <w:pPr>
              <w:pStyle w:val="zSoquijlblPays"/>
            </w:pPr>
            <w:r>
              <w:t>CANADA</w:t>
            </w:r>
          </w:p>
        </w:tc>
      </w:tr>
      <w:tr w:rsidR="001B1CC8">
        <w:tc>
          <w:tcPr>
            <w:tcW w:w="9505" w:type="dxa"/>
            <w:gridSpan w:val="7"/>
          </w:tcPr>
          <w:p w:rsidR="004F7699" w:rsidRDefault="00DD71E8">
            <w:pPr>
              <w:pStyle w:val="zSoquijlblProvince"/>
            </w:pPr>
            <w:r>
              <w:t>PROVINCE DE QUÉBEC</w:t>
            </w:r>
          </w:p>
        </w:tc>
      </w:tr>
      <w:tr w:rsidR="001B1CC8" w:rsidTr="00BB6E42">
        <w:tblPrEx>
          <w:tblCellMar>
            <w:left w:w="0" w:type="dxa"/>
            <w:right w:w="0" w:type="dxa"/>
          </w:tblCellMar>
        </w:tblPrEx>
        <w:trPr>
          <w:cantSplit/>
        </w:trPr>
        <w:tc>
          <w:tcPr>
            <w:tcW w:w="1625" w:type="dxa"/>
            <w:gridSpan w:val="3"/>
          </w:tcPr>
          <w:p w:rsidR="004F7699" w:rsidRDefault="00DD71E8">
            <w:pPr>
              <w:pStyle w:val="zSoquijlblGreffe"/>
            </w:pPr>
            <w:r>
              <w:t>DISTRICT DE</w:t>
            </w:r>
          </w:p>
        </w:tc>
        <w:tc>
          <w:tcPr>
            <w:tcW w:w="7880" w:type="dxa"/>
            <w:gridSpan w:val="4"/>
          </w:tcPr>
          <w:p w:rsidR="004F7699" w:rsidRDefault="00DD71E8">
            <w:pPr>
              <w:pStyle w:val="zSoquijdatGreffe"/>
            </w:pPr>
            <w:r>
              <w:t>MONTRÉAL</w:t>
            </w:r>
          </w:p>
        </w:tc>
      </w:tr>
      <w:tr w:rsidR="001B1CC8">
        <w:trPr>
          <w:trHeight w:val="540"/>
        </w:trPr>
        <w:tc>
          <w:tcPr>
            <w:tcW w:w="9505" w:type="dxa"/>
            <w:gridSpan w:val="7"/>
          </w:tcPr>
          <w:p w:rsidR="004F7699" w:rsidRDefault="00DD71E8" w:rsidP="0024654A">
            <w:pPr>
              <w:pStyle w:val="zSoquijlblNomChambre"/>
            </w:pPr>
            <w:r>
              <w:rPr>
                <w:lang w:val="fr-FR"/>
              </w:rPr>
              <w:t>« Chambre</w:t>
            </w:r>
            <w:r w:rsidR="0024654A">
              <w:rPr>
                <w:lang w:val="fr-FR"/>
              </w:rPr>
              <w:t xml:space="preserve"> criminelle et pénale</w:t>
            </w:r>
            <w:r w:rsidR="00EF5343">
              <w:rPr>
                <w:lang w:val="fr-FR"/>
              </w:rPr>
              <w:t> »</w:t>
            </w:r>
          </w:p>
        </w:tc>
      </w:tr>
      <w:tr w:rsidR="001B1CC8">
        <w:tc>
          <w:tcPr>
            <w:tcW w:w="1105" w:type="dxa"/>
            <w:gridSpan w:val="2"/>
          </w:tcPr>
          <w:p w:rsidR="004F7699" w:rsidRDefault="00DD71E8">
            <w:pPr>
              <w:pStyle w:val="zSoquijlblNoDossier"/>
            </w:pPr>
            <w:r>
              <w:t>N° :</w:t>
            </w:r>
          </w:p>
        </w:tc>
        <w:tc>
          <w:tcPr>
            <w:tcW w:w="8400" w:type="dxa"/>
            <w:gridSpan w:val="5"/>
          </w:tcPr>
          <w:p w:rsidR="004F7699" w:rsidRDefault="00DD71E8" w:rsidP="002171C5">
            <w:pPr>
              <w:pStyle w:val="zSoquijdatNoDossier"/>
            </w:pPr>
            <w:r>
              <w:t>500-01-</w:t>
            </w:r>
            <w:r w:rsidR="00DE7C60">
              <w:t>195794-190</w:t>
            </w:r>
          </w:p>
        </w:tc>
      </w:tr>
      <w:tr w:rsidR="001B1CC8">
        <w:tblPrEx>
          <w:tblCellMar>
            <w:left w:w="0" w:type="dxa"/>
            <w:right w:w="0" w:type="dxa"/>
          </w:tblCellMar>
        </w:tblPrEx>
        <w:trPr>
          <w:cantSplit/>
        </w:trPr>
        <w:tc>
          <w:tcPr>
            <w:tcW w:w="1105" w:type="dxa"/>
            <w:gridSpan w:val="2"/>
          </w:tcPr>
          <w:p w:rsidR="004F7699" w:rsidRDefault="004F7699">
            <w:pPr>
              <w:pStyle w:val="zSoquijlblGreffe"/>
            </w:pPr>
          </w:p>
        </w:tc>
        <w:tc>
          <w:tcPr>
            <w:tcW w:w="8400" w:type="dxa"/>
            <w:gridSpan w:val="5"/>
          </w:tcPr>
          <w:p w:rsidR="004F7699" w:rsidRDefault="004F7699">
            <w:pPr>
              <w:pStyle w:val="zSoquijdatNoDossierAnt"/>
            </w:pPr>
          </w:p>
        </w:tc>
      </w:tr>
      <w:tr w:rsidR="001B1CC8">
        <w:trPr>
          <w:cantSplit/>
          <w:trHeight w:val="235"/>
        </w:trPr>
        <w:tc>
          <w:tcPr>
            <w:tcW w:w="9505" w:type="dxa"/>
            <w:gridSpan w:val="7"/>
          </w:tcPr>
          <w:p w:rsidR="004F7699" w:rsidRDefault="004F7699"/>
        </w:tc>
      </w:tr>
      <w:tr w:rsidR="001B1CC8">
        <w:tc>
          <w:tcPr>
            <w:tcW w:w="1036" w:type="dxa"/>
          </w:tcPr>
          <w:p w:rsidR="004F7699" w:rsidRDefault="00DD71E8">
            <w:pPr>
              <w:pStyle w:val="zSoquijlblDateJugement"/>
            </w:pPr>
            <w:r>
              <w:t>DATE :</w:t>
            </w:r>
          </w:p>
        </w:tc>
        <w:tc>
          <w:tcPr>
            <w:tcW w:w="8469" w:type="dxa"/>
            <w:gridSpan w:val="6"/>
          </w:tcPr>
          <w:p w:rsidR="004F7699" w:rsidRDefault="00DD71E8" w:rsidP="00D73D6E">
            <w:pPr>
              <w:pStyle w:val="zSoquijdatDateJugement"/>
            </w:pPr>
            <w:r>
              <w:t>2</w:t>
            </w:r>
            <w:r w:rsidR="00605C52">
              <w:t>5</w:t>
            </w:r>
            <w:r w:rsidR="008E50A6">
              <w:t xml:space="preserve"> novembre</w:t>
            </w:r>
            <w:r w:rsidR="002171C5">
              <w:t xml:space="preserve"> 2022</w:t>
            </w:r>
          </w:p>
        </w:tc>
      </w:tr>
      <w:tr w:rsidR="001B1CC8">
        <w:tc>
          <w:tcPr>
            <w:tcW w:w="9505" w:type="dxa"/>
            <w:gridSpan w:val="7"/>
          </w:tcPr>
          <w:p w:rsidR="004F7699" w:rsidRDefault="00DD71E8">
            <w:pPr>
              <w:ind w:left="14" w:right="-67"/>
            </w:pPr>
            <w:r>
              <w:t>______________________________________________________________________</w:t>
            </w:r>
          </w:p>
        </w:tc>
      </w:tr>
      <w:tr w:rsidR="001B1CC8">
        <w:tc>
          <w:tcPr>
            <w:tcW w:w="9505" w:type="dxa"/>
            <w:gridSpan w:val="7"/>
          </w:tcPr>
          <w:p w:rsidR="004F7699" w:rsidRDefault="004F7699"/>
        </w:tc>
      </w:tr>
      <w:tr w:rsidR="001B1CC8">
        <w:tblPrEx>
          <w:tblCellMar>
            <w:left w:w="0" w:type="dxa"/>
            <w:right w:w="0" w:type="dxa"/>
          </w:tblCellMar>
        </w:tblPrEx>
        <w:tc>
          <w:tcPr>
            <w:tcW w:w="3200" w:type="dxa"/>
            <w:gridSpan w:val="4"/>
          </w:tcPr>
          <w:p w:rsidR="004F7699" w:rsidRDefault="00DD71E8">
            <w:pPr>
              <w:pStyle w:val="zSoquijlblJuge"/>
            </w:pPr>
            <w:r>
              <w:t>SOUS LA PRÉSIDENCE DE</w:t>
            </w:r>
          </w:p>
        </w:tc>
        <w:tc>
          <w:tcPr>
            <w:tcW w:w="1826" w:type="dxa"/>
          </w:tcPr>
          <w:p w:rsidR="004F7699" w:rsidRDefault="00DD71E8">
            <w:pPr>
              <w:pStyle w:val="zSoquijdatQteJuge"/>
            </w:pPr>
            <w:r>
              <w:t>L’HONORABLE</w:t>
            </w:r>
          </w:p>
        </w:tc>
        <w:tc>
          <w:tcPr>
            <w:tcW w:w="4479" w:type="dxa"/>
            <w:gridSpan w:val="2"/>
          </w:tcPr>
          <w:p w:rsidR="004F7699" w:rsidRDefault="00DD71E8">
            <w:pPr>
              <w:pStyle w:val="zSoquijdatJuge"/>
            </w:pPr>
            <w:r>
              <w:t>GUYLAINE RIVEST, J.C.Q.</w:t>
            </w:r>
          </w:p>
        </w:tc>
      </w:tr>
      <w:tr w:rsidR="001B1CC8">
        <w:tc>
          <w:tcPr>
            <w:tcW w:w="9505" w:type="dxa"/>
            <w:gridSpan w:val="7"/>
          </w:tcPr>
          <w:p w:rsidR="004F7699" w:rsidRDefault="00DD71E8">
            <w:pPr>
              <w:ind w:left="14" w:right="-67"/>
            </w:pPr>
            <w:r>
              <w:t>______________________________________________________________________</w:t>
            </w:r>
          </w:p>
        </w:tc>
      </w:tr>
      <w:tr w:rsidR="001B1CC8">
        <w:tc>
          <w:tcPr>
            <w:tcW w:w="9505" w:type="dxa"/>
            <w:gridSpan w:val="7"/>
          </w:tcPr>
          <w:p w:rsidR="004F7699" w:rsidRDefault="004F7699">
            <w:pPr>
              <w:pStyle w:val="zSoquijlblTitrePartie"/>
            </w:pPr>
          </w:p>
        </w:tc>
      </w:tr>
      <w:tr w:rsidR="001B1CC8">
        <w:tc>
          <w:tcPr>
            <w:tcW w:w="9505" w:type="dxa"/>
            <w:gridSpan w:val="7"/>
          </w:tcPr>
          <w:p w:rsidR="004F7699" w:rsidRDefault="004F7699"/>
        </w:tc>
      </w:tr>
      <w:tr w:rsidR="001B1CC8">
        <w:tc>
          <w:tcPr>
            <w:tcW w:w="9505" w:type="dxa"/>
            <w:gridSpan w:val="7"/>
          </w:tcPr>
          <w:p w:rsidR="004F7699" w:rsidRDefault="00DD71E8" w:rsidP="002171C5">
            <w:pPr>
              <w:pStyle w:val="zSoquijdatNomPartieDem"/>
            </w:pPr>
            <w:r>
              <w:t>SA MAJESTÉ LE ROI</w:t>
            </w:r>
          </w:p>
        </w:tc>
      </w:tr>
      <w:tr w:rsidR="001B1CC8">
        <w:tc>
          <w:tcPr>
            <w:tcW w:w="9505" w:type="dxa"/>
            <w:gridSpan w:val="7"/>
          </w:tcPr>
          <w:p w:rsidR="004F7699" w:rsidRDefault="00DD71E8">
            <w:pPr>
              <w:pStyle w:val="zSoquijdatQtePartieDem"/>
            </w:pPr>
            <w:r>
              <w:t>Poursuivant</w:t>
            </w:r>
          </w:p>
        </w:tc>
      </w:tr>
      <w:tr w:rsidR="001B1CC8">
        <w:tc>
          <w:tcPr>
            <w:tcW w:w="9505" w:type="dxa"/>
            <w:gridSpan w:val="7"/>
          </w:tcPr>
          <w:p w:rsidR="004F7699" w:rsidRDefault="00DD71E8">
            <w:pPr>
              <w:pStyle w:val="zSoquijlblLienParties"/>
            </w:pPr>
            <w:r>
              <w:t>c.</w:t>
            </w:r>
          </w:p>
        </w:tc>
      </w:tr>
      <w:tr w:rsidR="001B1CC8">
        <w:tc>
          <w:tcPr>
            <w:tcW w:w="9505" w:type="dxa"/>
            <w:gridSpan w:val="7"/>
          </w:tcPr>
          <w:p w:rsidR="004F7699" w:rsidRDefault="00DD71E8" w:rsidP="002171C5">
            <w:pPr>
              <w:pStyle w:val="zSoquijdatNomPartieDef"/>
            </w:pPr>
            <w:r>
              <w:t>MAXIME DUBOIS BEAUREGARD</w:t>
            </w:r>
          </w:p>
        </w:tc>
      </w:tr>
      <w:tr w:rsidR="001B1CC8">
        <w:tc>
          <w:tcPr>
            <w:tcW w:w="9505" w:type="dxa"/>
            <w:gridSpan w:val="7"/>
          </w:tcPr>
          <w:p w:rsidR="004F7699" w:rsidRDefault="00DD71E8">
            <w:pPr>
              <w:pStyle w:val="zSoquijdatQtePartieDef"/>
            </w:pPr>
            <w:r>
              <w:t>Accusé</w:t>
            </w:r>
          </w:p>
        </w:tc>
      </w:tr>
      <w:tr w:rsidR="001B1CC8">
        <w:tc>
          <w:tcPr>
            <w:tcW w:w="9505" w:type="dxa"/>
            <w:gridSpan w:val="7"/>
          </w:tcPr>
          <w:p w:rsidR="004F7699" w:rsidRDefault="004F7699">
            <w:pPr>
              <w:ind w:left="14" w:right="-95"/>
            </w:pPr>
          </w:p>
        </w:tc>
      </w:tr>
      <w:tr w:rsidR="001B1CC8">
        <w:tc>
          <w:tcPr>
            <w:tcW w:w="9505" w:type="dxa"/>
            <w:gridSpan w:val="7"/>
          </w:tcPr>
          <w:p w:rsidR="004F7699" w:rsidRDefault="00DD71E8">
            <w:pPr>
              <w:ind w:left="14" w:right="-95"/>
            </w:pPr>
            <w:r>
              <w:t>______________________________________________________________________</w:t>
            </w:r>
          </w:p>
        </w:tc>
      </w:tr>
      <w:tr w:rsidR="001B1CC8">
        <w:tc>
          <w:tcPr>
            <w:tcW w:w="9505" w:type="dxa"/>
            <w:gridSpan w:val="7"/>
          </w:tcPr>
          <w:p w:rsidR="004F7699" w:rsidRDefault="004F7699">
            <w:pPr>
              <w:jc w:val="center"/>
            </w:pPr>
          </w:p>
        </w:tc>
      </w:tr>
      <w:tr w:rsidR="001B1CC8">
        <w:tc>
          <w:tcPr>
            <w:tcW w:w="9505" w:type="dxa"/>
            <w:gridSpan w:val="7"/>
          </w:tcPr>
          <w:p w:rsidR="004F7699" w:rsidRPr="00A739C3" w:rsidRDefault="00DD71E8">
            <w:pPr>
              <w:pStyle w:val="zSoquijlblTypeDocument"/>
              <w:rPr>
                <w:b/>
                <w:bCs/>
              </w:rPr>
            </w:pPr>
            <w:r w:rsidRPr="00A739C3">
              <w:rPr>
                <w:b/>
                <w:bCs/>
              </w:rPr>
              <w:t>JUGEMENT</w:t>
            </w:r>
            <w:r w:rsidR="00D8609A" w:rsidRPr="00A739C3">
              <w:rPr>
                <w:b/>
                <w:bCs/>
              </w:rPr>
              <w:t xml:space="preserve"> SUR LA PEINE</w:t>
            </w:r>
            <w:r>
              <w:rPr>
                <w:rStyle w:val="Appelnotedebasdep"/>
                <w:b/>
                <w:bCs/>
              </w:rPr>
              <w:footnoteReference w:id="1"/>
            </w:r>
          </w:p>
        </w:tc>
      </w:tr>
      <w:tr w:rsidR="001B1CC8">
        <w:tc>
          <w:tcPr>
            <w:tcW w:w="9505" w:type="dxa"/>
            <w:gridSpan w:val="7"/>
          </w:tcPr>
          <w:p w:rsidR="004F7699" w:rsidRDefault="00DD71E8">
            <w:pPr>
              <w:ind w:left="14" w:right="-70"/>
            </w:pPr>
            <w:r>
              <w:t>______________________________________________________________________</w:t>
            </w:r>
          </w:p>
        </w:tc>
      </w:tr>
      <w:tr w:rsidR="001B1CC8">
        <w:tc>
          <w:tcPr>
            <w:tcW w:w="9505" w:type="dxa"/>
            <w:gridSpan w:val="7"/>
          </w:tcPr>
          <w:p w:rsidR="004F7699" w:rsidRDefault="004F7699"/>
        </w:tc>
      </w:tr>
    </w:tbl>
    <w:p w:rsidR="00DB7EA8" w:rsidRPr="00DB7EA8" w:rsidRDefault="00DD71E8" w:rsidP="00DB7EA8">
      <w:pPr>
        <w:pStyle w:val="Paragraphe"/>
        <w:numPr>
          <w:ilvl w:val="0"/>
          <w:numId w:val="0"/>
        </w:numPr>
        <w:spacing w:line="240" w:lineRule="auto"/>
        <w:rPr>
          <w:b/>
        </w:rPr>
      </w:pPr>
      <w:r>
        <w:rPr>
          <w:b/>
        </w:rPr>
        <w:t>L’</w:t>
      </w:r>
      <w:r w:rsidRPr="00DB7EA8">
        <w:rPr>
          <w:b/>
        </w:rPr>
        <w:t>APERÇU</w:t>
      </w:r>
    </w:p>
    <w:p w:rsidR="00866075" w:rsidRDefault="00DE7C60" w:rsidP="00F34171">
      <w:pPr>
        <w:pStyle w:val="Paragraphe"/>
        <w:tabs>
          <w:tab w:val="clear" w:pos="360"/>
        </w:tabs>
        <w:spacing w:line="240" w:lineRule="auto"/>
      </w:pPr>
      <w:r>
        <w:t>Le 18</w:t>
      </w:r>
      <w:r w:rsidR="00367270">
        <w:t> </w:t>
      </w:r>
      <w:r>
        <w:t>novembre 2021, l’accusé plaide coupable à diverses infractions liées à la possession et au trafic de substances inscrites à l’annexe I</w:t>
      </w:r>
      <w:r w:rsidR="00B14FB0">
        <w:t xml:space="preserve"> de la </w:t>
      </w:r>
      <w:r w:rsidR="00B14FB0" w:rsidRPr="00B14FB0">
        <w:rPr>
          <w:i/>
          <w:iCs/>
        </w:rPr>
        <w:t>Loi règlementa</w:t>
      </w:r>
      <w:r w:rsidR="00B14FB0">
        <w:rPr>
          <w:i/>
          <w:iCs/>
        </w:rPr>
        <w:t>n</w:t>
      </w:r>
      <w:r w:rsidR="00B14FB0" w:rsidRPr="00B14FB0">
        <w:rPr>
          <w:i/>
          <w:iCs/>
        </w:rPr>
        <w:t>t certaines drogues et autres substances</w:t>
      </w:r>
      <w:r>
        <w:t xml:space="preserve">, ainsi qu’à diverses infractions relatives à la </w:t>
      </w:r>
      <w:r w:rsidRPr="00DE7C60">
        <w:rPr>
          <w:i/>
          <w:iCs/>
        </w:rPr>
        <w:t>Loi sur le cannabis</w:t>
      </w:r>
      <w:r w:rsidR="00DD71E8">
        <w:rPr>
          <w:rStyle w:val="Appelnotedebasdep"/>
          <w:i/>
          <w:iCs/>
        </w:rPr>
        <w:footnoteReference w:id="2"/>
      </w:r>
      <w:r>
        <w:t>.</w:t>
      </w:r>
    </w:p>
    <w:p w:rsidR="0099041E" w:rsidRDefault="00DD71E8" w:rsidP="00034A4A">
      <w:pPr>
        <w:pStyle w:val="Paragraphe"/>
        <w:tabs>
          <w:tab w:val="clear" w:pos="360"/>
        </w:tabs>
        <w:spacing w:line="240" w:lineRule="auto"/>
      </w:pPr>
      <w:r>
        <w:t>L</w:t>
      </w:r>
      <w:r w:rsidR="003A472C">
        <w:t xml:space="preserve">e </w:t>
      </w:r>
      <w:r w:rsidRPr="003022A9">
        <w:t>Tribunal doit maintenant déterminer la peine juste</w:t>
      </w:r>
      <w:r w:rsidR="00F34171">
        <w:t xml:space="preserve">, </w:t>
      </w:r>
      <w:r w:rsidRPr="003022A9">
        <w:t xml:space="preserve">appropriée </w:t>
      </w:r>
      <w:r w:rsidR="00F34171">
        <w:t xml:space="preserve">et proportionnée </w:t>
      </w:r>
      <w:r w:rsidRPr="003022A9">
        <w:t>à lui imposer.</w:t>
      </w:r>
    </w:p>
    <w:p w:rsidR="00DE7C60" w:rsidRDefault="00DD71E8" w:rsidP="003313C8">
      <w:pPr>
        <w:pStyle w:val="Paragraphe"/>
        <w:numPr>
          <w:ilvl w:val="0"/>
          <w:numId w:val="0"/>
        </w:numPr>
        <w:spacing w:line="240" w:lineRule="auto"/>
        <w:rPr>
          <w:b/>
        </w:rPr>
      </w:pPr>
      <w:r>
        <w:rPr>
          <w:b/>
        </w:rPr>
        <w:t>LES FAITS</w:t>
      </w:r>
    </w:p>
    <w:p w:rsidR="00B14FB0" w:rsidRDefault="00DD71E8" w:rsidP="00DE7C60">
      <w:pPr>
        <w:pStyle w:val="Paragraphe"/>
        <w:tabs>
          <w:tab w:val="clear" w:pos="360"/>
        </w:tabs>
        <w:spacing w:line="240" w:lineRule="auto"/>
        <w:rPr>
          <w:bCs/>
        </w:rPr>
      </w:pPr>
      <w:r w:rsidRPr="00B14FB0">
        <w:rPr>
          <w:bCs/>
        </w:rPr>
        <w:t xml:space="preserve">Les policiers </w:t>
      </w:r>
      <w:r>
        <w:rPr>
          <w:bCs/>
        </w:rPr>
        <w:t xml:space="preserve">se rendent dans une résidence dans laquelle se trouve une personne décédée, laquelle n’a aucun lien avec l’accusé. Or, divers documents de comptabilité y sont trouvés, lesquels amènent les policiers à </w:t>
      </w:r>
      <w:r w:rsidR="00F80003">
        <w:rPr>
          <w:bCs/>
        </w:rPr>
        <w:t>commencer</w:t>
      </w:r>
      <w:r>
        <w:rPr>
          <w:bCs/>
        </w:rPr>
        <w:t xml:space="preserve"> une enquête. Munis de diverses autorisations judiciaires, ils procèdent subséquemment à des perquisitions et effectuent des achats contrôlés de stupéfiants avec des agents d’infiltration.</w:t>
      </w:r>
    </w:p>
    <w:p w:rsidR="00A53C64" w:rsidRPr="00B14FB0" w:rsidRDefault="00DD71E8" w:rsidP="00471FB0">
      <w:pPr>
        <w:pStyle w:val="Paragraphe"/>
        <w:tabs>
          <w:tab w:val="clear" w:pos="360"/>
        </w:tabs>
        <w:spacing w:line="240" w:lineRule="auto"/>
        <w:rPr>
          <w:b/>
        </w:rPr>
      </w:pPr>
      <w:r>
        <w:rPr>
          <w:bCs/>
        </w:rPr>
        <w:t>Plus précisément e</w:t>
      </w:r>
      <w:r w:rsidR="00B14FB0" w:rsidRPr="00B14FB0">
        <w:rPr>
          <w:bCs/>
        </w:rPr>
        <w:t xml:space="preserve">n ce qui concerne l’implication de l’accusé Dubois Beauregard dans ces activités illicites, notons qu’il est responsable de la </w:t>
      </w:r>
      <w:r w:rsidRPr="00B14FB0">
        <w:rPr>
          <w:bCs/>
        </w:rPr>
        <w:t xml:space="preserve">livraison de </w:t>
      </w:r>
      <w:r w:rsidR="00B14FB0">
        <w:rPr>
          <w:bCs/>
        </w:rPr>
        <w:t>plusieurs substances</w:t>
      </w:r>
      <w:r w:rsidRPr="00B14FB0">
        <w:rPr>
          <w:bCs/>
        </w:rPr>
        <w:t>.</w:t>
      </w:r>
    </w:p>
    <w:p w:rsidR="00E42207" w:rsidRPr="00E42207" w:rsidRDefault="00DD71E8" w:rsidP="00DE7C60">
      <w:pPr>
        <w:pStyle w:val="Paragraphe"/>
        <w:tabs>
          <w:tab w:val="clear" w:pos="360"/>
        </w:tabs>
        <w:spacing w:line="240" w:lineRule="auto"/>
        <w:rPr>
          <w:b/>
        </w:rPr>
      </w:pPr>
      <w:r>
        <w:rPr>
          <w:bCs/>
        </w:rPr>
        <w:t>Il a plaidé coupable aux chefs suivants :</w:t>
      </w:r>
    </w:p>
    <w:p w:rsidR="00E42207" w:rsidRDefault="00DD71E8" w:rsidP="00811BC6">
      <w:pPr>
        <w:pStyle w:val="Paragraphe"/>
        <w:numPr>
          <w:ilvl w:val="0"/>
          <w:numId w:val="3"/>
        </w:numPr>
        <w:spacing w:line="240" w:lineRule="auto"/>
        <w:ind w:left="1094"/>
        <w:rPr>
          <w:bCs/>
        </w:rPr>
      </w:pPr>
      <w:r>
        <w:rPr>
          <w:b/>
        </w:rPr>
        <w:t>c</w:t>
      </w:r>
      <w:r w:rsidRPr="00064547">
        <w:rPr>
          <w:b/>
        </w:rPr>
        <w:t>hef</w:t>
      </w:r>
      <w:r>
        <w:rPr>
          <w:b/>
        </w:rPr>
        <w:t> </w:t>
      </w:r>
      <w:r w:rsidRPr="00064547">
        <w:rPr>
          <w:b/>
        </w:rPr>
        <w:t>3</w:t>
      </w:r>
      <w:r>
        <w:rPr>
          <w:bCs/>
        </w:rPr>
        <w:t xml:space="preserve"> : avoir fait le trafic d’une substance inscrite à l’annexe </w:t>
      </w:r>
      <w:r w:rsidR="00170937">
        <w:rPr>
          <w:bCs/>
        </w:rPr>
        <w:t xml:space="preserve">I de la </w:t>
      </w:r>
      <w:r w:rsidR="00170937" w:rsidRPr="00170937">
        <w:rPr>
          <w:bCs/>
          <w:i/>
          <w:iCs/>
        </w:rPr>
        <w:t>Loi règlementant certaines drogues et autres substances</w:t>
      </w:r>
      <w:r>
        <w:rPr>
          <w:rStyle w:val="Appelnotedebasdep"/>
          <w:bCs/>
          <w:i/>
          <w:iCs/>
        </w:rPr>
        <w:footnoteReference w:id="3"/>
      </w:r>
      <w:r>
        <w:rPr>
          <w:bCs/>
        </w:rPr>
        <w:t xml:space="preserve">, soit </w:t>
      </w:r>
      <w:r w:rsidR="00170937">
        <w:rPr>
          <w:bCs/>
        </w:rPr>
        <w:t xml:space="preserve">en vendant à un agent d’infiltration, à </w:t>
      </w:r>
      <w:r w:rsidR="00064547">
        <w:rPr>
          <w:bCs/>
        </w:rPr>
        <w:t xml:space="preserve">trois dates différentes </w:t>
      </w:r>
      <w:r>
        <w:rPr>
          <w:bCs/>
        </w:rPr>
        <w:t>:</w:t>
      </w:r>
    </w:p>
    <w:p w:rsidR="00E42207" w:rsidRDefault="00DD71E8" w:rsidP="00811BC6">
      <w:pPr>
        <w:pStyle w:val="Paragraphe"/>
        <w:numPr>
          <w:ilvl w:val="0"/>
          <w:numId w:val="4"/>
        </w:numPr>
        <w:spacing w:line="240" w:lineRule="auto"/>
        <w:ind w:left="2256"/>
        <w:rPr>
          <w:bCs/>
        </w:rPr>
      </w:pPr>
      <w:r>
        <w:rPr>
          <w:bCs/>
        </w:rPr>
        <w:t>2 x 0,25</w:t>
      </w:r>
      <w:r w:rsidR="002A4039">
        <w:rPr>
          <w:bCs/>
        </w:rPr>
        <w:t> </w:t>
      </w:r>
      <w:r>
        <w:rPr>
          <w:bCs/>
        </w:rPr>
        <w:t>g de cocaïne;</w:t>
      </w:r>
    </w:p>
    <w:p w:rsidR="00E42207" w:rsidRDefault="00DD71E8" w:rsidP="00811BC6">
      <w:pPr>
        <w:pStyle w:val="Paragraphe"/>
        <w:numPr>
          <w:ilvl w:val="0"/>
          <w:numId w:val="4"/>
        </w:numPr>
        <w:spacing w:line="240" w:lineRule="auto"/>
        <w:ind w:left="2256"/>
        <w:rPr>
          <w:bCs/>
        </w:rPr>
      </w:pPr>
      <w:r>
        <w:rPr>
          <w:bCs/>
        </w:rPr>
        <w:t>1,5</w:t>
      </w:r>
      <w:r w:rsidR="002A4039">
        <w:rPr>
          <w:bCs/>
        </w:rPr>
        <w:t> </w:t>
      </w:r>
      <w:r>
        <w:rPr>
          <w:bCs/>
        </w:rPr>
        <w:t>g de cocaïne non coupé</w:t>
      </w:r>
      <w:r w:rsidR="00064547">
        <w:rPr>
          <w:bCs/>
        </w:rPr>
        <w:t>e;</w:t>
      </w:r>
      <w:r>
        <w:rPr>
          <w:bCs/>
        </w:rPr>
        <w:t xml:space="preserve"> </w:t>
      </w:r>
    </w:p>
    <w:p w:rsidR="00E42207" w:rsidRDefault="00DD71E8" w:rsidP="00811BC6">
      <w:pPr>
        <w:pStyle w:val="Paragraphe"/>
        <w:numPr>
          <w:ilvl w:val="0"/>
          <w:numId w:val="4"/>
        </w:numPr>
        <w:spacing w:line="240" w:lineRule="auto"/>
        <w:ind w:left="2256"/>
        <w:rPr>
          <w:bCs/>
        </w:rPr>
      </w:pPr>
      <w:r>
        <w:rPr>
          <w:bCs/>
        </w:rPr>
        <w:t>0,25</w:t>
      </w:r>
      <w:r w:rsidR="002A4039">
        <w:rPr>
          <w:bCs/>
        </w:rPr>
        <w:t> </w:t>
      </w:r>
      <w:r>
        <w:rPr>
          <w:bCs/>
        </w:rPr>
        <w:t>g, 1,5</w:t>
      </w:r>
      <w:r w:rsidR="002A4039">
        <w:rPr>
          <w:bCs/>
        </w:rPr>
        <w:t> </w:t>
      </w:r>
      <w:r>
        <w:rPr>
          <w:bCs/>
        </w:rPr>
        <w:t>g et 0,5</w:t>
      </w:r>
      <w:r w:rsidR="002A4039">
        <w:rPr>
          <w:bCs/>
        </w:rPr>
        <w:t> </w:t>
      </w:r>
      <w:r>
        <w:rPr>
          <w:bCs/>
        </w:rPr>
        <w:t>g de cocaïne coupée</w:t>
      </w:r>
      <w:r w:rsidR="00064547">
        <w:rPr>
          <w:bCs/>
        </w:rPr>
        <w:t>.</w:t>
      </w:r>
      <w:r>
        <w:rPr>
          <w:bCs/>
        </w:rPr>
        <w:t xml:space="preserve"> </w:t>
      </w:r>
    </w:p>
    <w:p w:rsidR="00E42207" w:rsidRDefault="00DD71E8" w:rsidP="00811BC6">
      <w:pPr>
        <w:pStyle w:val="Paragraphe"/>
        <w:numPr>
          <w:ilvl w:val="0"/>
          <w:numId w:val="3"/>
        </w:numPr>
        <w:spacing w:line="240" w:lineRule="auto"/>
        <w:ind w:left="1094"/>
        <w:rPr>
          <w:bCs/>
        </w:rPr>
      </w:pPr>
      <w:r>
        <w:rPr>
          <w:b/>
        </w:rPr>
        <w:t>c</w:t>
      </w:r>
      <w:r w:rsidRPr="00064547">
        <w:rPr>
          <w:b/>
        </w:rPr>
        <w:t>hef</w:t>
      </w:r>
      <w:r>
        <w:rPr>
          <w:b/>
        </w:rPr>
        <w:t> </w:t>
      </w:r>
      <w:r w:rsidRPr="00064547">
        <w:rPr>
          <w:b/>
        </w:rPr>
        <w:t>4</w:t>
      </w:r>
      <w:r>
        <w:rPr>
          <w:bCs/>
        </w:rPr>
        <w:t> : avoir eu en sa possession (à s</w:t>
      </w:r>
      <w:r w:rsidR="00064547">
        <w:rPr>
          <w:bCs/>
        </w:rPr>
        <w:t>on domicile)</w:t>
      </w:r>
      <w:r>
        <w:rPr>
          <w:bCs/>
        </w:rPr>
        <w:t>, en vue d’en faire le trafic, une substance prévue à l’a</w:t>
      </w:r>
      <w:r w:rsidR="006E0E22">
        <w:rPr>
          <w:bCs/>
        </w:rPr>
        <w:t>nnexe I de la</w:t>
      </w:r>
      <w:r>
        <w:rPr>
          <w:bCs/>
        </w:rPr>
        <w:t xml:space="preserve"> LRCDAS</w:t>
      </w:r>
      <w:r>
        <w:rPr>
          <w:rStyle w:val="Appelnotedebasdep"/>
          <w:bCs/>
        </w:rPr>
        <w:footnoteReference w:id="4"/>
      </w:r>
      <w:r>
        <w:rPr>
          <w:bCs/>
        </w:rPr>
        <w:t>, soit :</w:t>
      </w:r>
    </w:p>
    <w:p w:rsidR="00E42207" w:rsidRDefault="00DD71E8" w:rsidP="00811BC6">
      <w:pPr>
        <w:pStyle w:val="Paragraphe"/>
        <w:numPr>
          <w:ilvl w:val="0"/>
          <w:numId w:val="5"/>
        </w:numPr>
        <w:spacing w:line="240" w:lineRule="auto"/>
        <w:ind w:left="2256"/>
        <w:rPr>
          <w:bCs/>
        </w:rPr>
      </w:pPr>
      <w:r>
        <w:rPr>
          <w:bCs/>
        </w:rPr>
        <w:t>26,65</w:t>
      </w:r>
      <w:r w:rsidR="002A4039">
        <w:rPr>
          <w:bCs/>
        </w:rPr>
        <w:t> </w:t>
      </w:r>
      <w:r>
        <w:rPr>
          <w:bCs/>
        </w:rPr>
        <w:t>g de cocaïne;</w:t>
      </w:r>
    </w:p>
    <w:p w:rsidR="00E42207" w:rsidRPr="00997E40" w:rsidRDefault="00DD71E8" w:rsidP="00811BC6">
      <w:pPr>
        <w:pStyle w:val="Paragraphe"/>
        <w:numPr>
          <w:ilvl w:val="0"/>
          <w:numId w:val="5"/>
        </w:numPr>
        <w:spacing w:line="240" w:lineRule="auto"/>
        <w:ind w:left="2256"/>
        <w:rPr>
          <w:bCs/>
        </w:rPr>
      </w:pPr>
      <w:r>
        <w:rPr>
          <w:bCs/>
        </w:rPr>
        <w:t>416</w:t>
      </w:r>
      <w:r w:rsidR="002A4039">
        <w:rPr>
          <w:bCs/>
        </w:rPr>
        <w:t> </w:t>
      </w:r>
      <w:r>
        <w:rPr>
          <w:bCs/>
        </w:rPr>
        <w:t>pilules de m</w:t>
      </w:r>
      <w:r w:rsidR="00064547">
        <w:rPr>
          <w:bCs/>
        </w:rPr>
        <w:t>é</w:t>
      </w:r>
      <w:r>
        <w:rPr>
          <w:bCs/>
        </w:rPr>
        <w:t>thamphétamine;</w:t>
      </w:r>
    </w:p>
    <w:p w:rsidR="00170937" w:rsidRPr="00064547" w:rsidRDefault="00DD71E8" w:rsidP="00811BC6">
      <w:pPr>
        <w:pStyle w:val="Paragraphe"/>
        <w:numPr>
          <w:ilvl w:val="0"/>
          <w:numId w:val="3"/>
        </w:numPr>
        <w:spacing w:line="240" w:lineRule="auto"/>
        <w:ind w:left="1094"/>
        <w:rPr>
          <w:bCs/>
        </w:rPr>
      </w:pPr>
      <w:r>
        <w:rPr>
          <w:b/>
        </w:rPr>
        <w:t>c</w:t>
      </w:r>
      <w:r w:rsidR="006E0E22" w:rsidRPr="00064547">
        <w:rPr>
          <w:b/>
        </w:rPr>
        <w:t>hef</w:t>
      </w:r>
      <w:r>
        <w:rPr>
          <w:b/>
        </w:rPr>
        <w:t> </w:t>
      </w:r>
      <w:r w:rsidR="006E0E22" w:rsidRPr="00064547">
        <w:rPr>
          <w:b/>
        </w:rPr>
        <w:t>5</w:t>
      </w:r>
      <w:r w:rsidR="006E0E22">
        <w:rPr>
          <w:bCs/>
        </w:rPr>
        <w:t> : avoir eu en sa possession</w:t>
      </w:r>
      <w:r w:rsidR="00064547">
        <w:rPr>
          <w:bCs/>
        </w:rPr>
        <w:t xml:space="preserve"> (à son domicile)</w:t>
      </w:r>
      <w:r w:rsidR="006E0E22">
        <w:rPr>
          <w:bCs/>
        </w:rPr>
        <w:t>, en vue d’en faire le trafic, une substance inscrite à l’annexe III de la LRCDAS</w:t>
      </w:r>
      <w:r>
        <w:rPr>
          <w:rStyle w:val="Appelnotedebasdep"/>
          <w:bCs/>
        </w:rPr>
        <w:footnoteReference w:id="5"/>
      </w:r>
      <w:r w:rsidR="006E0E22">
        <w:rPr>
          <w:bCs/>
        </w:rPr>
        <w:t>, soit </w:t>
      </w:r>
      <w:r>
        <w:t>190</w:t>
      </w:r>
      <w:r w:rsidR="002A4039">
        <w:t> </w:t>
      </w:r>
      <w:r>
        <w:t xml:space="preserve">ml de </w:t>
      </w:r>
      <w:r w:rsidRPr="00064547">
        <w:rPr>
          <w:bCs/>
        </w:rPr>
        <w:t>GHB</w:t>
      </w:r>
      <w:r w:rsidR="00064547">
        <w:t>;</w:t>
      </w:r>
    </w:p>
    <w:p w:rsidR="00170937" w:rsidRPr="00064547" w:rsidRDefault="00DD71E8" w:rsidP="00811BC6">
      <w:pPr>
        <w:pStyle w:val="Paragraphe"/>
        <w:numPr>
          <w:ilvl w:val="0"/>
          <w:numId w:val="3"/>
        </w:numPr>
        <w:spacing w:line="240" w:lineRule="auto"/>
        <w:ind w:left="1094"/>
        <w:rPr>
          <w:bCs/>
        </w:rPr>
      </w:pPr>
      <w:r w:rsidRPr="00064547">
        <w:rPr>
          <w:b/>
        </w:rPr>
        <w:t>chef</w:t>
      </w:r>
      <w:r w:rsidR="00811BC6">
        <w:rPr>
          <w:b/>
        </w:rPr>
        <w:t> </w:t>
      </w:r>
      <w:r w:rsidRPr="00064547">
        <w:rPr>
          <w:b/>
        </w:rPr>
        <w:t>6</w:t>
      </w:r>
      <w:r>
        <w:rPr>
          <w:bCs/>
        </w:rPr>
        <w:t xml:space="preserve"> : avoir vendu </w:t>
      </w:r>
      <w:r w:rsidR="00064547">
        <w:rPr>
          <w:bCs/>
        </w:rPr>
        <w:t>2</w:t>
      </w:r>
      <w:r w:rsidR="002A4039">
        <w:rPr>
          <w:bCs/>
        </w:rPr>
        <w:t> </w:t>
      </w:r>
      <w:r w:rsidR="00064547">
        <w:rPr>
          <w:bCs/>
        </w:rPr>
        <w:t xml:space="preserve">g de marijuana </w:t>
      </w:r>
      <w:r>
        <w:rPr>
          <w:bCs/>
        </w:rPr>
        <w:t xml:space="preserve">à un individu </w:t>
      </w:r>
      <w:r w:rsidR="00064547">
        <w:rPr>
          <w:bCs/>
        </w:rPr>
        <w:t xml:space="preserve">(agent d’infiltration) </w:t>
      </w:r>
      <w:r>
        <w:rPr>
          <w:bCs/>
        </w:rPr>
        <w:t>âgé de 18</w:t>
      </w:r>
      <w:r w:rsidR="00811BC6">
        <w:rPr>
          <w:bCs/>
        </w:rPr>
        <w:t> </w:t>
      </w:r>
      <w:r>
        <w:rPr>
          <w:bCs/>
        </w:rPr>
        <w:t>ans ou plus</w:t>
      </w:r>
      <w:r>
        <w:rPr>
          <w:rStyle w:val="Appelnotedebasdep"/>
          <w:bCs/>
        </w:rPr>
        <w:footnoteReference w:id="6"/>
      </w:r>
      <w:r w:rsidRPr="00064547">
        <w:rPr>
          <w:bCs/>
        </w:rPr>
        <w:t>;</w:t>
      </w:r>
    </w:p>
    <w:p w:rsidR="00170937" w:rsidRPr="00170937" w:rsidRDefault="00DD71E8" w:rsidP="00811BC6">
      <w:pPr>
        <w:pStyle w:val="Paragraphe"/>
        <w:numPr>
          <w:ilvl w:val="0"/>
          <w:numId w:val="3"/>
        </w:numPr>
        <w:spacing w:line="240" w:lineRule="auto"/>
        <w:ind w:left="1094"/>
        <w:rPr>
          <w:bCs/>
        </w:rPr>
      </w:pPr>
      <w:r w:rsidRPr="00064547">
        <w:rPr>
          <w:b/>
        </w:rPr>
        <w:t>chef</w:t>
      </w:r>
      <w:r w:rsidR="00811BC6">
        <w:rPr>
          <w:b/>
        </w:rPr>
        <w:t> </w:t>
      </w:r>
      <w:r w:rsidRPr="00064547">
        <w:rPr>
          <w:b/>
        </w:rPr>
        <w:t>11</w:t>
      </w:r>
      <w:r>
        <w:rPr>
          <w:bCs/>
        </w:rPr>
        <w:t xml:space="preserve"> : avoir eu en sa possession (à son domicile), en vue de le vendre en contravention au par. 10(1)a) </w:t>
      </w:r>
      <w:r w:rsidR="0080011F" w:rsidRPr="00722591">
        <w:rPr>
          <w:bCs/>
          <w:i/>
          <w:iCs/>
        </w:rPr>
        <w:t>Loi sur le cannabis</w:t>
      </w:r>
      <w:r>
        <w:rPr>
          <w:rStyle w:val="Appelnotedebasdep"/>
          <w:bCs/>
        </w:rPr>
        <w:footnoteReference w:id="7"/>
      </w:r>
      <w:r>
        <w:rPr>
          <w:bCs/>
        </w:rPr>
        <w:t>, 323,5</w:t>
      </w:r>
      <w:r w:rsidR="002A4039">
        <w:rPr>
          <w:bCs/>
        </w:rPr>
        <w:t> </w:t>
      </w:r>
      <w:r>
        <w:rPr>
          <w:bCs/>
        </w:rPr>
        <w:t>g de cannabis.</w:t>
      </w:r>
    </w:p>
    <w:p w:rsidR="00A53C64" w:rsidRDefault="00DD71E8" w:rsidP="00DE7C60">
      <w:pPr>
        <w:pStyle w:val="Paragraphe"/>
        <w:tabs>
          <w:tab w:val="clear" w:pos="360"/>
        </w:tabs>
        <w:spacing w:line="240" w:lineRule="auto"/>
        <w:rPr>
          <w:bCs/>
        </w:rPr>
      </w:pPr>
      <w:r>
        <w:rPr>
          <w:bCs/>
        </w:rPr>
        <w:t>À noter que tous les chefs d’accusation ciblent la période du 21</w:t>
      </w:r>
      <w:r w:rsidR="00811BC6">
        <w:rPr>
          <w:bCs/>
        </w:rPr>
        <w:t> </w:t>
      </w:r>
      <w:r>
        <w:rPr>
          <w:bCs/>
        </w:rPr>
        <w:t>mars 2019 au 24</w:t>
      </w:r>
      <w:r w:rsidR="00811BC6">
        <w:rPr>
          <w:bCs/>
        </w:rPr>
        <w:t> </w:t>
      </w:r>
      <w:r>
        <w:rPr>
          <w:bCs/>
        </w:rPr>
        <w:t>septembre 2019.</w:t>
      </w:r>
    </w:p>
    <w:p w:rsidR="003313C8" w:rsidRPr="00DB7EA8" w:rsidRDefault="00DD71E8" w:rsidP="003313C8">
      <w:pPr>
        <w:pStyle w:val="Paragraphe"/>
        <w:numPr>
          <w:ilvl w:val="0"/>
          <w:numId w:val="0"/>
        </w:numPr>
        <w:spacing w:line="240" w:lineRule="auto"/>
        <w:rPr>
          <w:b/>
        </w:rPr>
      </w:pPr>
      <w:r>
        <w:rPr>
          <w:b/>
        </w:rPr>
        <w:t xml:space="preserve">LA </w:t>
      </w:r>
      <w:r w:rsidRPr="00DB7EA8">
        <w:rPr>
          <w:b/>
        </w:rPr>
        <w:t>P</w:t>
      </w:r>
      <w:r w:rsidR="0019723D">
        <w:rPr>
          <w:b/>
        </w:rPr>
        <w:t>OSITION DES PARTIES</w:t>
      </w:r>
      <w:r w:rsidRPr="00DB7EA8">
        <w:rPr>
          <w:b/>
        </w:rPr>
        <w:t xml:space="preserve"> </w:t>
      </w:r>
    </w:p>
    <w:p w:rsidR="003313C8" w:rsidRPr="004F57FC" w:rsidRDefault="00DD71E8" w:rsidP="004F57FC">
      <w:pPr>
        <w:pStyle w:val="Paragraphe"/>
        <w:numPr>
          <w:ilvl w:val="0"/>
          <w:numId w:val="0"/>
        </w:numPr>
        <w:spacing w:line="240" w:lineRule="auto"/>
      </w:pPr>
      <w:r>
        <w:rPr>
          <w:b/>
        </w:rPr>
        <w:t>En</w:t>
      </w:r>
      <w:r w:rsidR="00F34171" w:rsidRPr="004F57FC">
        <w:rPr>
          <w:b/>
        </w:rPr>
        <w:t xml:space="preserve"> </w:t>
      </w:r>
      <w:r w:rsidRPr="004F57FC">
        <w:rPr>
          <w:b/>
        </w:rPr>
        <w:t xml:space="preserve">défense </w:t>
      </w:r>
    </w:p>
    <w:p w:rsidR="007A0421" w:rsidRDefault="00DD71E8" w:rsidP="00AC35A8">
      <w:pPr>
        <w:pStyle w:val="Paragraphe"/>
        <w:tabs>
          <w:tab w:val="clear" w:pos="360"/>
        </w:tabs>
        <w:spacing w:line="240" w:lineRule="auto"/>
      </w:pPr>
      <w:r>
        <w:t xml:space="preserve">Sans nier ni minimiser la gravité des accusations pour lesquelles l’accusé a plaidé coupable, la </w:t>
      </w:r>
      <w:r w:rsidR="0003353F">
        <w:t xml:space="preserve">défense plaide que les circonstances atténuantes en l’occurrence sont beaucoup plus importantes que celles </w:t>
      </w:r>
      <w:r w:rsidR="00F80003">
        <w:t xml:space="preserve">qui sont </w:t>
      </w:r>
      <w:r w:rsidR="0003353F">
        <w:t>aggravantes.</w:t>
      </w:r>
    </w:p>
    <w:p w:rsidR="0003353F" w:rsidRDefault="00DD71E8" w:rsidP="00AC35A8">
      <w:pPr>
        <w:pStyle w:val="Paragraphe"/>
        <w:tabs>
          <w:tab w:val="clear" w:pos="360"/>
        </w:tabs>
        <w:spacing w:line="240" w:lineRule="auto"/>
      </w:pPr>
      <w:r>
        <w:t>En effet, l</w:t>
      </w:r>
      <w:r w:rsidR="00997E40">
        <w:t>e profil très positif d</w:t>
      </w:r>
      <w:r w:rsidR="00532D40">
        <w:t xml:space="preserve">u cheminement </w:t>
      </w:r>
      <w:r w:rsidR="00997E40">
        <w:t>de l’accusé, sa reconnaissance des faits</w:t>
      </w:r>
      <w:r>
        <w:t xml:space="preserve"> et</w:t>
      </w:r>
      <w:r w:rsidR="00997E40">
        <w:t xml:space="preserve"> les changements </w:t>
      </w:r>
      <w:r w:rsidR="00532D40">
        <w:t xml:space="preserve">sérieux </w:t>
      </w:r>
      <w:r w:rsidR="00997E40">
        <w:t xml:space="preserve">apportés dans sa vie doivent militer pour </w:t>
      </w:r>
      <w:r>
        <w:t>l’imposition d’</w:t>
      </w:r>
      <w:r w:rsidR="00997E40">
        <w:t>une peine</w:t>
      </w:r>
      <w:r w:rsidR="00532D40">
        <w:t xml:space="preserve"> sur mesure afin de refléter les efforts constants qu’il déploie au niveau de sa réhabilitation.</w:t>
      </w:r>
    </w:p>
    <w:p w:rsidR="00532D40" w:rsidRDefault="00DD71E8" w:rsidP="005F18CC">
      <w:pPr>
        <w:pStyle w:val="Paragraphe"/>
        <w:tabs>
          <w:tab w:val="clear" w:pos="360"/>
        </w:tabs>
        <w:spacing w:line="240" w:lineRule="auto"/>
      </w:pPr>
      <w:r>
        <w:t>Voilà pourquoi</w:t>
      </w:r>
      <w:r w:rsidR="00EB007B">
        <w:t>, en date du 25</w:t>
      </w:r>
      <w:r w:rsidR="00794DBC">
        <w:t> </w:t>
      </w:r>
      <w:r w:rsidR="00EB007B">
        <w:t>avril 2022,</w:t>
      </w:r>
      <w:r>
        <w:t xml:space="preserve"> la défense propose une peine qu’elle qualifie elle-même de « créative ».</w:t>
      </w:r>
      <w:r w:rsidR="00EB007B">
        <w:t xml:space="preserve"> </w:t>
      </w:r>
      <w:r>
        <w:t>Cette peine tient compte non seulement des principes de dénonciation et de dissuasion, mais également du cheminement positif de l’accusé depuis le début des procédures.</w:t>
      </w:r>
    </w:p>
    <w:p w:rsidR="006D2B8B" w:rsidRPr="00DB2266" w:rsidRDefault="00DD71E8" w:rsidP="002A413C">
      <w:pPr>
        <w:pStyle w:val="Paragraphe"/>
        <w:tabs>
          <w:tab w:val="clear" w:pos="360"/>
        </w:tabs>
        <w:spacing w:line="240" w:lineRule="auto"/>
      </w:pPr>
      <w:r>
        <w:t>Elle propose donc</w:t>
      </w:r>
      <w:r w:rsidR="00EB007B">
        <w:t xml:space="preserve">, à ce </w:t>
      </w:r>
      <w:r w:rsidR="00EB007B" w:rsidRPr="00DB2266">
        <w:t>moment,</w:t>
      </w:r>
      <w:r w:rsidRPr="00DB2266">
        <w:t xml:space="preserve"> </w:t>
      </w:r>
      <w:r w:rsidRPr="00212028">
        <w:t>la combinaison d’une peine d’emprisonnement dans la collectivité et d’une peine d’emprisonnement discontinu principalement pour que l’accusé maintienne</w:t>
      </w:r>
      <w:r w:rsidRPr="00DB2266">
        <w:t xml:space="preserve"> son emploi</w:t>
      </w:r>
      <w:r w:rsidR="00722591" w:rsidRPr="00DB2266">
        <w:t xml:space="preserve"> et ses acquis</w:t>
      </w:r>
      <w:r w:rsidRPr="00DB2266">
        <w:t>.</w:t>
      </w:r>
      <w:r w:rsidR="00EB007B" w:rsidRPr="00DB2266">
        <w:t xml:space="preserve"> </w:t>
      </w:r>
      <w:r w:rsidRPr="00DB2266">
        <w:t>De façon plus détaillée, c’est sur le chef</w:t>
      </w:r>
      <w:r w:rsidR="00794DBC">
        <w:t> </w:t>
      </w:r>
      <w:r w:rsidRPr="00DB2266">
        <w:t xml:space="preserve">11 que la défense propose l’imposition d’une peine </w:t>
      </w:r>
      <w:r w:rsidR="004B79F8" w:rsidRPr="00DB2266">
        <w:t xml:space="preserve">de </w:t>
      </w:r>
      <w:r w:rsidR="004B79F8" w:rsidRPr="00212028">
        <w:rPr>
          <w:b/>
          <w:bCs/>
        </w:rPr>
        <w:t xml:space="preserve">deux ans moins un jour </w:t>
      </w:r>
      <w:r w:rsidRPr="00212028">
        <w:rPr>
          <w:b/>
          <w:bCs/>
        </w:rPr>
        <w:t>d’emprisonnement dans la collectivité</w:t>
      </w:r>
      <w:r w:rsidRPr="00DB2266">
        <w:t xml:space="preserve"> et sur tous les autres chefs, une peine de </w:t>
      </w:r>
      <w:r w:rsidRPr="00212028">
        <w:rPr>
          <w:b/>
          <w:bCs/>
        </w:rPr>
        <w:t>90</w:t>
      </w:r>
      <w:r w:rsidR="00794DBC" w:rsidRPr="00212028">
        <w:rPr>
          <w:b/>
          <w:bCs/>
        </w:rPr>
        <w:t> </w:t>
      </w:r>
      <w:r w:rsidRPr="00212028">
        <w:rPr>
          <w:b/>
          <w:bCs/>
        </w:rPr>
        <w:t>jours d’emprisonnement à être purgée de façon discontinue</w:t>
      </w:r>
      <w:r w:rsidRPr="00DB2266">
        <w:t>.</w:t>
      </w:r>
    </w:p>
    <w:p w:rsidR="006D2B8B" w:rsidRPr="00DB2266" w:rsidRDefault="00DD71E8" w:rsidP="00AC35A8">
      <w:pPr>
        <w:pStyle w:val="Paragraphe"/>
        <w:tabs>
          <w:tab w:val="clear" w:pos="360"/>
        </w:tabs>
        <w:spacing w:line="240" w:lineRule="auto"/>
      </w:pPr>
      <w:r>
        <w:t>La défense explique qu’en imposant une peine plus importante sur le chef de gravité objective moindre (chef</w:t>
      </w:r>
      <w:r w:rsidR="00794DBC">
        <w:t> </w:t>
      </w:r>
      <w:r>
        <w:t>11) en comparaison avec les autres chefs, la peine n’est pas dénaturée</w:t>
      </w:r>
      <w:r w:rsidR="00E25D81">
        <w:t xml:space="preserve"> et l’intention du législateur n’est pas détournée</w:t>
      </w:r>
      <w:r>
        <w:t xml:space="preserve">. En effet, </w:t>
      </w:r>
      <w:r w:rsidR="00CF3EB8">
        <w:t xml:space="preserve">elle soutient que </w:t>
      </w:r>
      <w:r>
        <w:t xml:space="preserve">comme l’expose la Cour suprême dans l’arrêt </w:t>
      </w:r>
      <w:r w:rsidRPr="006D2B8B">
        <w:rPr>
          <w:i/>
          <w:iCs/>
        </w:rPr>
        <w:t>Middleton</w:t>
      </w:r>
      <w:r>
        <w:rPr>
          <w:rStyle w:val="Appelnotedebasdep"/>
          <w:i/>
          <w:iCs/>
        </w:rPr>
        <w:footnoteReference w:id="8"/>
      </w:r>
      <w:r>
        <w:t xml:space="preserve">, c’est la peine globale imposée pour l’ensemble des chefs qui doit être considérée. </w:t>
      </w:r>
    </w:p>
    <w:p w:rsidR="00532D40" w:rsidRPr="00DB2266" w:rsidRDefault="00DD71E8" w:rsidP="00AC35A8">
      <w:pPr>
        <w:pStyle w:val="Paragraphe"/>
        <w:tabs>
          <w:tab w:val="clear" w:pos="360"/>
        </w:tabs>
        <w:spacing w:line="240" w:lineRule="auto"/>
      </w:pPr>
      <w:r w:rsidRPr="00DB2266">
        <w:t xml:space="preserve">Elle propose également que l’accusé soit </w:t>
      </w:r>
      <w:r w:rsidR="00E371D5" w:rsidRPr="00DB2266">
        <w:t>encadré par des conditions dans le cadre d’une ordonnance de probation avec suivi probatoire pour une durée de 2</w:t>
      </w:r>
      <w:r w:rsidR="00794DBC">
        <w:t> </w:t>
      </w:r>
      <w:r w:rsidR="00E371D5" w:rsidRPr="00DB2266">
        <w:t>ans.</w:t>
      </w:r>
    </w:p>
    <w:p w:rsidR="00EB007B" w:rsidRDefault="00DD71E8" w:rsidP="00AC35A8">
      <w:pPr>
        <w:pStyle w:val="Paragraphe"/>
        <w:tabs>
          <w:tab w:val="clear" w:pos="360"/>
        </w:tabs>
        <w:spacing w:line="240" w:lineRule="auto"/>
      </w:pPr>
      <w:r w:rsidRPr="00DB2266">
        <w:t>Cela étant dit, en raison des modifications apportées au</w:t>
      </w:r>
      <w:r>
        <w:t xml:space="preserve"> </w:t>
      </w:r>
      <w:r w:rsidRPr="00FB109B">
        <w:rPr>
          <w:i/>
          <w:iCs/>
        </w:rPr>
        <w:t>Code criminel</w:t>
      </w:r>
      <w:r>
        <w:t xml:space="preserve"> et à la LRCDAS</w:t>
      </w:r>
      <w:r w:rsidR="00760AF0">
        <w:t xml:space="preserve">, </w:t>
      </w:r>
      <w:r>
        <w:t xml:space="preserve">les parties ont été convoquées afin de clarifier </w:t>
      </w:r>
      <w:r w:rsidR="004B2537">
        <w:t xml:space="preserve">si leur position respective quant à la peine à imposer demeurait la même à la lumière de l’adoption du </w:t>
      </w:r>
      <w:r>
        <w:t>projet de loi C-5.</w:t>
      </w:r>
    </w:p>
    <w:p w:rsidR="00FB109B" w:rsidRDefault="00DD71E8" w:rsidP="007531FE">
      <w:pPr>
        <w:pStyle w:val="Paragraphe"/>
        <w:tabs>
          <w:tab w:val="clear" w:pos="360"/>
        </w:tabs>
        <w:spacing w:line="240" w:lineRule="auto"/>
      </w:pPr>
      <w:r>
        <w:t>Or, l</w:t>
      </w:r>
      <w:r w:rsidR="00722591">
        <w:t xml:space="preserve">a défense expose que sa position </w:t>
      </w:r>
      <w:r w:rsidR="008D2835">
        <w:t xml:space="preserve">demeure la même sur l’ensemble des chefs, mais </w:t>
      </w:r>
      <w:r w:rsidR="00722591">
        <w:t>est renforcée par le changement de position sans équivoque du gouvernement</w:t>
      </w:r>
      <w:r w:rsidR="008D2835">
        <w:t>. L’adoption du projet de loi C-5</w:t>
      </w:r>
      <w:r w:rsidR="00722591">
        <w:t xml:space="preserve"> transmet </w:t>
      </w:r>
      <w:r w:rsidR="008D2835">
        <w:t xml:space="preserve">en effet </w:t>
      </w:r>
      <w:r w:rsidR="00722591">
        <w:t>un message clair voulant que le recours à l’emprisonnement avec sursis doi</w:t>
      </w:r>
      <w:r w:rsidR="00F80003">
        <w:t>ve</w:t>
      </w:r>
      <w:r w:rsidR="00722591">
        <w:t xml:space="preserve"> être accru.</w:t>
      </w:r>
      <w:r w:rsidR="008D2835">
        <w:t xml:space="preserve"> </w:t>
      </w:r>
      <w:r w:rsidR="007531FE">
        <w:t xml:space="preserve">Car </w:t>
      </w:r>
      <w:r w:rsidR="008D2835">
        <w:t>les criminels non endurcis</w:t>
      </w:r>
      <w:r>
        <w:rPr>
          <w:rStyle w:val="Appelnotedebasdep"/>
        </w:rPr>
        <w:footnoteReference w:id="9"/>
      </w:r>
      <w:r w:rsidR="008D2835">
        <w:t xml:space="preserve"> méritent une deuxième chance</w:t>
      </w:r>
      <w:r>
        <w:rPr>
          <w:rStyle w:val="Appelnotedebasdep"/>
        </w:rPr>
        <w:footnoteReference w:id="10"/>
      </w:r>
      <w:r w:rsidR="008D2835">
        <w:t>.</w:t>
      </w:r>
    </w:p>
    <w:p w:rsidR="00EB007B" w:rsidRPr="00DB7EA8" w:rsidRDefault="00DD71E8" w:rsidP="00EB007B">
      <w:pPr>
        <w:pStyle w:val="Paragraphe"/>
        <w:numPr>
          <w:ilvl w:val="0"/>
          <w:numId w:val="0"/>
        </w:numPr>
        <w:spacing w:line="240" w:lineRule="auto"/>
        <w:rPr>
          <w:b/>
        </w:rPr>
      </w:pPr>
      <w:r>
        <w:rPr>
          <w:b/>
        </w:rPr>
        <w:t>En poursuite</w:t>
      </w:r>
      <w:r w:rsidRPr="00DB7EA8">
        <w:rPr>
          <w:b/>
        </w:rPr>
        <w:t xml:space="preserve"> </w:t>
      </w:r>
    </w:p>
    <w:p w:rsidR="00EB007B" w:rsidRDefault="00DD71E8" w:rsidP="00EB007B">
      <w:pPr>
        <w:pStyle w:val="Paragraphe"/>
        <w:tabs>
          <w:tab w:val="clear" w:pos="360"/>
        </w:tabs>
        <w:spacing w:line="240" w:lineRule="auto"/>
      </w:pPr>
      <w:r>
        <w:t xml:space="preserve">Lors de la présentation des observations sur la peine, en avril </w:t>
      </w:r>
      <w:r w:rsidR="00B74D5B">
        <w:t>dernier</w:t>
      </w:r>
      <w:r>
        <w:t xml:space="preserve">, le poursuivant soutient </w:t>
      </w:r>
      <w:r w:rsidR="00B74D5B">
        <w:t xml:space="preserve">alors </w:t>
      </w:r>
      <w:r>
        <w:t xml:space="preserve">que bien que la proposition initiale de combinaison de peines suggérées par la défense soit possible et « alléchante », celle-ci n’est pas appropriée en l’espèce. </w:t>
      </w:r>
    </w:p>
    <w:p w:rsidR="00692D3C" w:rsidRDefault="00DD71E8" w:rsidP="00EB007B">
      <w:pPr>
        <w:pStyle w:val="Paragraphe"/>
        <w:tabs>
          <w:tab w:val="clear" w:pos="360"/>
        </w:tabs>
        <w:spacing w:line="240" w:lineRule="auto"/>
      </w:pPr>
      <w:r>
        <w:t xml:space="preserve">Ainsi, malgré le fait que l’accusé a </w:t>
      </w:r>
      <w:r w:rsidR="00B74D5B">
        <w:t>« </w:t>
      </w:r>
      <w:r>
        <w:t>fait beaucoup d’acquis</w:t>
      </w:r>
      <w:r w:rsidR="00B74D5B">
        <w:t> »</w:t>
      </w:r>
      <w:r>
        <w:t>, il a commis des crimes très graves, non seulement en vendant et en livrant des stupéfiants pendant une période d’environ 6</w:t>
      </w:r>
      <w:r w:rsidR="00F424A9">
        <w:t> </w:t>
      </w:r>
      <w:r>
        <w:t>mois</w:t>
      </w:r>
      <w:r>
        <w:rPr>
          <w:rStyle w:val="Appelnotedebasdep"/>
        </w:rPr>
        <w:footnoteReference w:id="11"/>
      </w:r>
      <w:r>
        <w:t xml:space="preserve">, mais également en rapportant </w:t>
      </w:r>
      <w:r w:rsidR="009364F8">
        <w:t>d</w:t>
      </w:r>
      <w:r>
        <w:t>e</w:t>
      </w:r>
      <w:r w:rsidR="009364F8">
        <w:t>s</w:t>
      </w:r>
      <w:r>
        <w:t xml:space="preserve"> substances </w:t>
      </w:r>
      <w:r w:rsidR="009364F8">
        <w:t xml:space="preserve">illicites </w:t>
      </w:r>
      <w:r>
        <w:t>à son domicile. La préparation soignée des crimes au sein d’une organisation structurée</w:t>
      </w:r>
      <w:r>
        <w:rPr>
          <w:rStyle w:val="Appelnotedebasdep"/>
        </w:rPr>
        <w:footnoteReference w:id="12"/>
      </w:r>
      <w:r>
        <w:t xml:space="preserve"> est également un enjeu important</w:t>
      </w:r>
      <w:r w:rsidR="004B2537">
        <w:t xml:space="preserve"> à considérer.</w:t>
      </w:r>
      <w:r w:rsidR="00653886">
        <w:t xml:space="preserve"> </w:t>
      </w:r>
    </w:p>
    <w:p w:rsidR="00FB109B" w:rsidRDefault="00DD71E8" w:rsidP="00EB007B">
      <w:pPr>
        <w:pStyle w:val="Paragraphe"/>
        <w:tabs>
          <w:tab w:val="clear" w:pos="360"/>
        </w:tabs>
        <w:spacing w:line="240" w:lineRule="auto"/>
      </w:pPr>
      <w:r>
        <w:t xml:space="preserve">La peine doit donc refléter l’ensemble des circonstances </w:t>
      </w:r>
      <w:r w:rsidR="00B74D5B">
        <w:t>en cause</w:t>
      </w:r>
      <w:r w:rsidR="00F80003">
        <w:t xml:space="preserve"> tout en s'harmonisant avec les </w:t>
      </w:r>
      <w:r>
        <w:t>peines imposées aux autres co-accusés.</w:t>
      </w:r>
    </w:p>
    <w:p w:rsidR="004B2537" w:rsidRDefault="00DD71E8" w:rsidP="004B2537">
      <w:pPr>
        <w:pStyle w:val="Paragraphe"/>
        <w:tabs>
          <w:tab w:val="clear" w:pos="360"/>
        </w:tabs>
        <w:spacing w:line="240" w:lineRule="auto"/>
      </w:pPr>
      <w:r>
        <w:t>Notons que l’adoption du projet de loi C-5 ne modifie pas la position du poursuivant.</w:t>
      </w:r>
    </w:p>
    <w:p w:rsidR="004B79F8" w:rsidRDefault="00DD71E8" w:rsidP="001500A4">
      <w:pPr>
        <w:pStyle w:val="Paragraphe"/>
        <w:tabs>
          <w:tab w:val="clear" w:pos="360"/>
        </w:tabs>
        <w:spacing w:line="240" w:lineRule="auto"/>
      </w:pPr>
      <w:r>
        <w:t>C’est dans ce contexte qu</w:t>
      </w:r>
      <w:r w:rsidR="004B2537">
        <w:t xml:space="preserve">’il soutient </w:t>
      </w:r>
      <w:r>
        <w:t xml:space="preserve">qu’une </w:t>
      </w:r>
      <w:r w:rsidRPr="004B79F8">
        <w:rPr>
          <w:b/>
          <w:bCs/>
        </w:rPr>
        <w:t>peine d’emprisonnement ferme de 12</w:t>
      </w:r>
      <w:r w:rsidR="001E6B48">
        <w:rPr>
          <w:b/>
          <w:bCs/>
        </w:rPr>
        <w:t> </w:t>
      </w:r>
      <w:r w:rsidRPr="004B79F8">
        <w:rPr>
          <w:b/>
          <w:bCs/>
        </w:rPr>
        <w:t>mois sur l’ensemble des chefs</w:t>
      </w:r>
      <w:r>
        <w:t xml:space="preserve"> constitue une peine juste et appropriée</w:t>
      </w:r>
      <w:r>
        <w:rPr>
          <w:rStyle w:val="Appelnotedebasdep"/>
        </w:rPr>
        <w:footnoteReference w:id="13"/>
      </w:r>
      <w:r>
        <w:t xml:space="preserve">. Pour justifier son point de vue, le poursuivant invite le Tribunal à transposer, au dossier à l’étude, les principes énoncés dans le jugement </w:t>
      </w:r>
      <w:r w:rsidRPr="004B79F8">
        <w:rPr>
          <w:i/>
          <w:iCs/>
        </w:rPr>
        <w:t>Laforgia</w:t>
      </w:r>
      <w:r>
        <w:rPr>
          <w:rStyle w:val="Appelnotedebasdep"/>
        </w:rPr>
        <w:footnoteReference w:id="14"/>
      </w:r>
      <w:r>
        <w:t>. Nous y reviendrons.</w:t>
      </w:r>
    </w:p>
    <w:p w:rsidR="004B79F8" w:rsidRDefault="00DD71E8" w:rsidP="00EB007B">
      <w:pPr>
        <w:pStyle w:val="Paragraphe"/>
        <w:tabs>
          <w:tab w:val="clear" w:pos="360"/>
        </w:tabs>
        <w:spacing w:line="240" w:lineRule="auto"/>
      </w:pPr>
      <w:r>
        <w:t xml:space="preserve">Par ailleurs, </w:t>
      </w:r>
      <w:r w:rsidR="00F80003">
        <w:t>les parties sont d'</w:t>
      </w:r>
      <w:r>
        <w:t xml:space="preserve">accord </w:t>
      </w:r>
      <w:r w:rsidR="00F80003">
        <w:t xml:space="preserve">pour qu'une </w:t>
      </w:r>
      <w:r w:rsidR="00F80003" w:rsidRPr="00D76030">
        <w:rPr>
          <w:b/>
          <w:bCs/>
        </w:rPr>
        <w:t xml:space="preserve">ordonnance de </w:t>
      </w:r>
      <w:r w:rsidRPr="00D76030">
        <w:rPr>
          <w:b/>
          <w:bCs/>
        </w:rPr>
        <w:t>probation</w:t>
      </w:r>
      <w:r w:rsidRPr="004B79F8">
        <w:rPr>
          <w:b/>
          <w:bCs/>
        </w:rPr>
        <w:t xml:space="preserve"> avec suivi </w:t>
      </w:r>
      <w:r w:rsidR="00F80003">
        <w:t xml:space="preserve">soit </w:t>
      </w:r>
      <w:r>
        <w:t>imposée à l’accusé</w:t>
      </w:r>
      <w:r w:rsidR="00D76030">
        <w:t xml:space="preserve">, surtout dans le contexte où </w:t>
      </w:r>
      <w:r>
        <w:t xml:space="preserve">celui-ci admet que cette mesure </w:t>
      </w:r>
      <w:r w:rsidR="007A5F2B">
        <w:t xml:space="preserve">lui serait </w:t>
      </w:r>
      <w:r>
        <w:t>bénéfique.</w:t>
      </w:r>
    </w:p>
    <w:p w:rsidR="00BB7DDA" w:rsidRPr="00BB7DDA" w:rsidRDefault="00DD71E8" w:rsidP="00BB7DDA">
      <w:pPr>
        <w:pStyle w:val="Paragraphe"/>
        <w:numPr>
          <w:ilvl w:val="0"/>
          <w:numId w:val="0"/>
        </w:numPr>
        <w:spacing w:line="240" w:lineRule="auto"/>
        <w:rPr>
          <w:b/>
        </w:rPr>
      </w:pPr>
      <w:r>
        <w:rPr>
          <w:b/>
        </w:rPr>
        <w:t xml:space="preserve">LA </w:t>
      </w:r>
      <w:r w:rsidRPr="00BB7DDA">
        <w:rPr>
          <w:b/>
        </w:rPr>
        <w:t xml:space="preserve">QUESTION EN LITIGE </w:t>
      </w:r>
    </w:p>
    <w:p w:rsidR="00BB7DDA" w:rsidRPr="001F2D4D" w:rsidRDefault="00DD71E8" w:rsidP="00AC35A8">
      <w:pPr>
        <w:pStyle w:val="Paragraphe"/>
        <w:tabs>
          <w:tab w:val="clear" w:pos="360"/>
        </w:tabs>
        <w:spacing w:line="240" w:lineRule="auto"/>
      </w:pPr>
      <w:r>
        <w:rPr>
          <w:rFonts w:cs="Arial"/>
          <w:color w:val="000000"/>
        </w:rPr>
        <w:t>Quelle peine le Tribunal doit-il imposer à l’accusé considérant les principes applicables en matière de détermination de la peine, notamment celui de la proportionnalité entre la gravité des infractions commises et le degré de responsabilité de l’accusé?</w:t>
      </w:r>
    </w:p>
    <w:p w:rsidR="000869B2" w:rsidRDefault="00DD71E8" w:rsidP="000869B2">
      <w:pPr>
        <w:pStyle w:val="Paragraphe"/>
        <w:numPr>
          <w:ilvl w:val="0"/>
          <w:numId w:val="0"/>
        </w:numPr>
        <w:spacing w:line="240" w:lineRule="auto"/>
        <w:rPr>
          <w:b/>
        </w:rPr>
      </w:pPr>
      <w:r>
        <w:rPr>
          <w:b/>
        </w:rPr>
        <w:t>LE DROIT – Les p</w:t>
      </w:r>
      <w:r w:rsidRPr="000869B2">
        <w:rPr>
          <w:b/>
        </w:rPr>
        <w:t>rincipes applicables en matière de détermination de la peine</w:t>
      </w:r>
    </w:p>
    <w:p w:rsidR="000869B2" w:rsidRDefault="00DD71E8" w:rsidP="0071356C">
      <w:pPr>
        <w:pStyle w:val="Paragraphe"/>
        <w:tabs>
          <w:tab w:val="clear" w:pos="360"/>
        </w:tabs>
        <w:spacing w:line="240" w:lineRule="auto"/>
      </w:pPr>
      <w:r>
        <w:t>L’</w:t>
      </w:r>
      <w:r w:rsidRPr="00C7370F">
        <w:rPr>
          <w:szCs w:val="24"/>
          <w:lang w:eastAsia="fr-CA"/>
        </w:rPr>
        <w:t>article 718</w:t>
      </w:r>
      <w:r>
        <w:rPr>
          <w:szCs w:val="24"/>
          <w:lang w:eastAsia="fr-CA"/>
        </w:rPr>
        <w:t> </w:t>
      </w:r>
      <w:r w:rsidRPr="003C518D">
        <w:rPr>
          <w:szCs w:val="24"/>
          <w:lang w:eastAsia="fr-CA"/>
        </w:rPr>
        <w:t>C.cr.</w:t>
      </w:r>
      <w:r>
        <w:rPr>
          <w:szCs w:val="24"/>
          <w:lang w:eastAsia="fr-CA"/>
        </w:rPr>
        <w:t xml:space="preserve"> </w:t>
      </w:r>
      <w:r w:rsidRPr="00C7370F">
        <w:rPr>
          <w:szCs w:val="24"/>
          <w:lang w:eastAsia="fr-CA"/>
        </w:rPr>
        <w:t xml:space="preserve">énonce </w:t>
      </w:r>
      <w:r w:rsidRPr="002E4A84">
        <w:rPr>
          <w:szCs w:val="24"/>
          <w:lang w:eastAsia="fr-CA"/>
        </w:rPr>
        <w:t>l</w:t>
      </w:r>
      <w:r>
        <w:rPr>
          <w:szCs w:val="24"/>
          <w:lang w:eastAsia="fr-CA"/>
        </w:rPr>
        <w:t>es objectifs essentiels</w:t>
      </w:r>
      <w:r w:rsidRPr="00C7370F">
        <w:rPr>
          <w:szCs w:val="24"/>
          <w:lang w:eastAsia="fr-CA"/>
        </w:rPr>
        <w:t xml:space="preserve"> de la </w:t>
      </w:r>
      <w:r w:rsidRPr="00F3102C">
        <w:t>détermination</w:t>
      </w:r>
      <w:r w:rsidRPr="00C7370F">
        <w:rPr>
          <w:szCs w:val="24"/>
          <w:lang w:eastAsia="fr-CA"/>
        </w:rPr>
        <w:t xml:space="preserve"> de la peine</w:t>
      </w:r>
      <w:r>
        <w:rPr>
          <w:szCs w:val="24"/>
          <w:lang w:eastAsia="fr-CA"/>
        </w:rPr>
        <w:t xml:space="preserve">, soit de </w:t>
      </w:r>
      <w:r>
        <w:t xml:space="preserve">dénoncer le comportement illégal, de dissuader, d'une part, individuellement le délinquant et, d'autre part, dissuader collectivement quiconque serait tenté de commettre </w:t>
      </w:r>
      <w:r w:rsidR="00B769C2">
        <w:t>une telle infraction</w:t>
      </w:r>
      <w:r w:rsidRPr="003C518D">
        <w:t>, isoler</w:t>
      </w:r>
      <w:r>
        <w:t xml:space="preserve"> au besoin le délinquant, favoriser sa réinsertion sociale, assurer la réparation des torts causés et susciter chez le délinquant la conscience de ses responsabilités.</w:t>
      </w:r>
    </w:p>
    <w:p w:rsidR="000869B2" w:rsidRDefault="00DD71E8" w:rsidP="0071356C">
      <w:pPr>
        <w:pStyle w:val="Paragraphe"/>
        <w:tabs>
          <w:tab w:val="clear" w:pos="360"/>
        </w:tabs>
        <w:spacing w:line="240" w:lineRule="auto"/>
      </w:pPr>
      <w:r>
        <w:t xml:space="preserve">Il est important pour les tribunaux de chercher à </w:t>
      </w:r>
      <w:r w:rsidRPr="002E4A84">
        <w:t>harmoniser</w:t>
      </w:r>
      <w:r>
        <w:t xml:space="preserve"> la peine avec celles habituellement imposées pour </w:t>
      </w:r>
      <w:r w:rsidR="00105478">
        <w:t>une infraction semblable</w:t>
      </w:r>
      <w:r>
        <w:t xml:space="preserve"> commise dans des circonstances similaires.</w:t>
      </w:r>
    </w:p>
    <w:p w:rsidR="000869B2" w:rsidRDefault="00DD71E8" w:rsidP="0071356C">
      <w:pPr>
        <w:pStyle w:val="Paragraphe"/>
        <w:tabs>
          <w:tab w:val="clear" w:pos="360"/>
        </w:tabs>
        <w:spacing w:line="240" w:lineRule="auto"/>
      </w:pPr>
      <w:r>
        <w:t xml:space="preserve">Le Tribunal doit également rechercher la </w:t>
      </w:r>
      <w:r w:rsidRPr="002E4A84">
        <w:t>peine la moins contraignante possible</w:t>
      </w:r>
      <w:r>
        <w:rPr>
          <w:rStyle w:val="Appelnotedebasdep"/>
        </w:rPr>
        <w:footnoteReference w:id="15"/>
      </w:r>
      <w:r w:rsidRPr="002E4A84">
        <w:t xml:space="preserve">. Ainsi, si les circonstances le justifient, le </w:t>
      </w:r>
      <w:r>
        <w:t xml:space="preserve">Tribunal ne doit pas imposer une peine privative de liberté. Il doit examiner toutes les sanctions substitutives applicables dans le contexte. </w:t>
      </w:r>
    </w:p>
    <w:p w:rsidR="000869B2" w:rsidRPr="00D06565" w:rsidRDefault="00DD71E8" w:rsidP="000869B2">
      <w:pPr>
        <w:pStyle w:val="Paragraphe"/>
        <w:spacing w:line="240" w:lineRule="auto"/>
      </w:pPr>
      <w:r w:rsidRPr="00D04EBE">
        <w:rPr>
          <w:szCs w:val="24"/>
          <w:lang w:eastAsia="fr-CA"/>
        </w:rPr>
        <w:t xml:space="preserve">Pour arriver à une sanction juste, le Tribunal doit </w:t>
      </w:r>
      <w:r>
        <w:rPr>
          <w:szCs w:val="24"/>
          <w:lang w:eastAsia="fr-CA"/>
        </w:rPr>
        <w:t xml:space="preserve">aussi </w:t>
      </w:r>
      <w:r w:rsidRPr="00D04EBE">
        <w:rPr>
          <w:szCs w:val="24"/>
          <w:lang w:eastAsia="fr-CA"/>
        </w:rPr>
        <w:t>chercher à atteindre l'équilibre entre la gravité de l'infraction et le degré de responsabilité du délinquant</w:t>
      </w:r>
      <w:r>
        <w:rPr>
          <w:rStyle w:val="Appelnotedebasdep"/>
          <w:szCs w:val="24"/>
          <w:lang w:eastAsia="fr-CA"/>
        </w:rPr>
        <w:footnoteReference w:id="16"/>
      </w:r>
      <w:r w:rsidRPr="00D04EBE">
        <w:rPr>
          <w:szCs w:val="24"/>
          <w:lang w:eastAsia="fr-CA"/>
        </w:rPr>
        <w:t xml:space="preserve">. Il s’agit du principe de </w:t>
      </w:r>
      <w:r w:rsidRPr="00E211B3">
        <w:rPr>
          <w:szCs w:val="24"/>
          <w:lang w:eastAsia="fr-CA"/>
        </w:rPr>
        <w:t>proportionnalité</w:t>
      </w:r>
      <w:r w:rsidRPr="00D04EBE">
        <w:rPr>
          <w:szCs w:val="24"/>
          <w:lang w:eastAsia="fr-CA"/>
        </w:rPr>
        <w:t xml:space="preserve"> de la peine.</w:t>
      </w:r>
    </w:p>
    <w:p w:rsidR="000869B2" w:rsidRDefault="00DD71E8" w:rsidP="00DB4EB2">
      <w:pPr>
        <w:pStyle w:val="Paragraphe"/>
        <w:spacing w:line="240" w:lineRule="auto"/>
      </w:pPr>
      <w:r>
        <w:rPr>
          <w:szCs w:val="24"/>
          <w:lang w:eastAsia="fr-CA"/>
        </w:rPr>
        <w:t xml:space="preserve">Finalement, dans l’application des divers principes de détermination de la peine, le Tribunal doit analyser les circonstances atténuantes </w:t>
      </w:r>
      <w:r w:rsidR="00ED22CE">
        <w:rPr>
          <w:szCs w:val="24"/>
          <w:lang w:eastAsia="fr-CA"/>
        </w:rPr>
        <w:t xml:space="preserve">et </w:t>
      </w:r>
      <w:r>
        <w:rPr>
          <w:szCs w:val="24"/>
          <w:lang w:eastAsia="fr-CA"/>
        </w:rPr>
        <w:t>aggravantes liées non seulement à la perpétration de</w:t>
      </w:r>
      <w:r w:rsidR="00F578FC">
        <w:rPr>
          <w:szCs w:val="24"/>
          <w:lang w:eastAsia="fr-CA"/>
        </w:rPr>
        <w:t xml:space="preserve">s </w:t>
      </w:r>
      <w:r>
        <w:rPr>
          <w:szCs w:val="24"/>
          <w:lang w:eastAsia="fr-CA"/>
        </w:rPr>
        <w:t>infraction</w:t>
      </w:r>
      <w:r w:rsidR="00F578FC">
        <w:rPr>
          <w:szCs w:val="24"/>
          <w:lang w:eastAsia="fr-CA"/>
        </w:rPr>
        <w:t>s</w:t>
      </w:r>
      <w:r>
        <w:rPr>
          <w:szCs w:val="24"/>
          <w:lang w:eastAsia="fr-CA"/>
        </w:rPr>
        <w:t xml:space="preserve">, mais également à la situation de l’accusé. </w:t>
      </w:r>
      <w:r>
        <w:t>Il doit également soupeser tous les autres facteurs qui, sans nécessairement être qualifiés de circonstances atténuantes ou aggravantes, sont tout de même pertinents dans l’application du principe d’individualisation de la peine à imposer.</w:t>
      </w:r>
    </w:p>
    <w:p w:rsidR="00A739C3" w:rsidRPr="00A739C3" w:rsidRDefault="00DD71E8" w:rsidP="00327E86">
      <w:pPr>
        <w:pStyle w:val="Paragraphe"/>
        <w:numPr>
          <w:ilvl w:val="0"/>
          <w:numId w:val="0"/>
        </w:numPr>
        <w:spacing w:line="240" w:lineRule="auto"/>
        <w:rPr>
          <w:b/>
        </w:rPr>
      </w:pPr>
      <w:r>
        <w:rPr>
          <w:b/>
        </w:rPr>
        <w:t>La gravité objective</w:t>
      </w:r>
      <w:r w:rsidR="00377622">
        <w:rPr>
          <w:b/>
        </w:rPr>
        <w:t xml:space="preserve"> et subjective</w:t>
      </w:r>
      <w:r>
        <w:rPr>
          <w:b/>
        </w:rPr>
        <w:t xml:space="preserve"> des infractions et </w:t>
      </w:r>
      <w:r w:rsidR="00377622">
        <w:rPr>
          <w:b/>
        </w:rPr>
        <w:t xml:space="preserve">la </w:t>
      </w:r>
      <w:r>
        <w:rPr>
          <w:b/>
        </w:rPr>
        <w:t>fourchette des peines</w:t>
      </w:r>
    </w:p>
    <w:p w:rsidR="00060720" w:rsidRDefault="00DD71E8" w:rsidP="0071356C">
      <w:pPr>
        <w:pStyle w:val="Paragraphe"/>
        <w:spacing w:line="240" w:lineRule="auto"/>
      </w:pPr>
      <w:r>
        <w:t xml:space="preserve">Les infractions en cause </w:t>
      </w:r>
      <w:r w:rsidR="00963FBE">
        <w:t xml:space="preserve">en contravention de la </w:t>
      </w:r>
      <w:r w:rsidRPr="00B35D28">
        <w:rPr>
          <w:i/>
          <w:iCs/>
        </w:rPr>
        <w:t>LRCDAS</w:t>
      </w:r>
      <w:r>
        <w:t xml:space="preserve"> sont objectivement très graves, et ce, pour plusieurs raisons.</w:t>
      </w:r>
    </w:p>
    <w:p w:rsidR="00060720" w:rsidRDefault="00DD71E8" w:rsidP="0071356C">
      <w:pPr>
        <w:pStyle w:val="Paragraphe"/>
        <w:spacing w:line="240" w:lineRule="auto"/>
      </w:pPr>
      <w:r>
        <w:t xml:space="preserve">D’une part, </w:t>
      </w:r>
      <w:r w:rsidR="00963FBE">
        <w:t>l</w:t>
      </w:r>
      <w:r w:rsidR="00F80003">
        <w:t>'</w:t>
      </w:r>
      <w:r w:rsidR="00963FBE">
        <w:t xml:space="preserve">infraction d’avoir fait le trafic et </w:t>
      </w:r>
      <w:r w:rsidR="00F80003">
        <w:t xml:space="preserve">celle d'avoir </w:t>
      </w:r>
      <w:r w:rsidR="00963FBE">
        <w:t>eu en sa possession, en vue d’en faire le trafic, une substance de l’annexe I</w:t>
      </w:r>
      <w:r w:rsidR="00F80003">
        <w:t xml:space="preserve">, </w:t>
      </w:r>
      <w:r w:rsidR="00963FBE">
        <w:t>sont passibles de l’emprisonnement à perpétuité.</w:t>
      </w:r>
    </w:p>
    <w:p w:rsidR="00580DD3" w:rsidRDefault="00DD71E8" w:rsidP="0071356C">
      <w:pPr>
        <w:pStyle w:val="Paragraphe"/>
        <w:spacing w:line="240" w:lineRule="auto"/>
      </w:pPr>
      <w:r>
        <w:t>Quant au fait d'avoir eu en sa possession du GHB en vue d’en faire le trafic, cette infraction est passible d’une peine maximale d’emprisonnement de 10</w:t>
      </w:r>
      <w:r w:rsidR="00704BA2">
        <w:t> </w:t>
      </w:r>
      <w:r>
        <w:t>ans.</w:t>
      </w:r>
    </w:p>
    <w:p w:rsidR="00060720" w:rsidRPr="00923423" w:rsidRDefault="00DD71E8" w:rsidP="0071356C">
      <w:pPr>
        <w:pStyle w:val="Paragraphe"/>
        <w:spacing w:line="240" w:lineRule="auto"/>
      </w:pPr>
      <w:r>
        <w:t xml:space="preserve">D’autre part, </w:t>
      </w:r>
      <w:r w:rsidR="00963FBE">
        <w:t xml:space="preserve">il est question ici d’une variété de drogues </w:t>
      </w:r>
      <w:r>
        <w:t>dures</w:t>
      </w:r>
      <w:r w:rsidR="00963FBE">
        <w:t xml:space="preserve"> dont les quantités en jeu sont importantes, ce </w:t>
      </w:r>
      <w:r w:rsidR="00963FBE" w:rsidRPr="00923423">
        <w:t xml:space="preserve">qui ajoute à la gravité </w:t>
      </w:r>
      <w:r w:rsidR="00B35D28" w:rsidRPr="00923423">
        <w:t>subjective</w:t>
      </w:r>
      <w:r w:rsidR="00963FBE" w:rsidRPr="00923423">
        <w:t xml:space="preserve"> des infractions</w:t>
      </w:r>
      <w:r w:rsidR="00B35D28" w:rsidRPr="00923423">
        <w:t xml:space="preserve"> en</w:t>
      </w:r>
      <w:r w:rsidR="00B74D5B" w:rsidRPr="00923423">
        <w:t xml:space="preserve"> cause</w:t>
      </w:r>
      <w:r w:rsidR="00963FBE" w:rsidRPr="00923423">
        <w:t xml:space="preserve">. </w:t>
      </w:r>
    </w:p>
    <w:p w:rsidR="00963FBE" w:rsidRPr="00963FBE" w:rsidRDefault="00DD71E8" w:rsidP="00963FBE">
      <w:pPr>
        <w:pStyle w:val="Paragraphe"/>
        <w:spacing w:line="240" w:lineRule="auto"/>
      </w:pPr>
      <w:r w:rsidRPr="00923423">
        <w:rPr>
          <w:kern w:val="0"/>
          <w:lang w:val="fr-FR"/>
        </w:rPr>
        <w:t>La Cour d’appel du Québec</w:t>
      </w:r>
      <w:r>
        <w:rPr>
          <w:rStyle w:val="Appelnotedebasdep"/>
          <w:kern w:val="0"/>
          <w:lang w:val="fr-FR"/>
        </w:rPr>
        <w:footnoteReference w:id="17"/>
      </w:r>
      <w:r w:rsidR="004B64DE" w:rsidRPr="00923423">
        <w:rPr>
          <w:kern w:val="0"/>
          <w:lang w:val="fr-FR"/>
        </w:rPr>
        <w:t xml:space="preserve"> </w:t>
      </w:r>
      <w:r w:rsidRPr="00923423">
        <w:rPr>
          <w:kern w:val="0"/>
          <w:lang w:val="fr-FR"/>
        </w:rPr>
        <w:t>énonce qu’une revue de la jurisprudence concernant les peines attribuées à travers le Canada</w:t>
      </w:r>
      <w:r w:rsidRPr="00645A55">
        <w:rPr>
          <w:kern w:val="0"/>
          <w:lang w:val="fr-FR"/>
        </w:rPr>
        <w:t xml:space="preserve"> pour les infractions en matière de stupéfiants permet de constater que ces peines varient énormément en fonction de la nature de la drogue</w:t>
      </w:r>
      <w:r>
        <w:rPr>
          <w:rStyle w:val="Appelnotedebasdep"/>
          <w:kern w:val="0"/>
          <w:lang w:val="fr-FR"/>
        </w:rPr>
        <w:footnoteReference w:id="18"/>
      </w:r>
      <w:r w:rsidRPr="00645A55">
        <w:rPr>
          <w:kern w:val="0"/>
          <w:lang w:val="fr-FR"/>
        </w:rPr>
        <w:t xml:space="preserve">. </w:t>
      </w:r>
      <w:r w:rsidRPr="00645A55">
        <w:rPr>
          <w:rFonts w:cs="Arial"/>
          <w:szCs w:val="24"/>
          <w:lang w:val="fr-FR" w:eastAsia="fr-CA"/>
        </w:rPr>
        <w:t>Les peines relatives au trafic de la cocaïne révèlent une fourchette pouvant aller de quelques mois jusqu’à quatre ans d’emprisonnement, parfois même plus</w:t>
      </w:r>
      <w:r>
        <w:rPr>
          <w:rStyle w:val="Appelnotedebasdep"/>
          <w:rFonts w:cs="Arial"/>
          <w:szCs w:val="24"/>
          <w:lang w:val="fr-FR" w:eastAsia="fr-CA"/>
        </w:rPr>
        <w:footnoteReference w:id="19"/>
      </w:r>
      <w:r w:rsidRPr="00645A55">
        <w:rPr>
          <w:rFonts w:cs="Arial"/>
          <w:szCs w:val="24"/>
          <w:lang w:val="fr-FR" w:eastAsia="fr-CA"/>
        </w:rPr>
        <w:t xml:space="preserve">. </w:t>
      </w:r>
    </w:p>
    <w:p w:rsidR="00DB4DAE" w:rsidRPr="00760AF0" w:rsidRDefault="00DD71E8" w:rsidP="00760AF0">
      <w:pPr>
        <w:pStyle w:val="Paragraphe"/>
        <w:spacing w:line="240" w:lineRule="auto"/>
      </w:pPr>
      <w:r w:rsidRPr="00DE4D19">
        <w:rPr>
          <w:rFonts w:cs="Arial"/>
          <w:szCs w:val="24"/>
          <w:lang w:val="fr-FR" w:eastAsia="fr-CA"/>
        </w:rPr>
        <w:t>En matière de possession de cocaïne</w:t>
      </w:r>
      <w:r w:rsidR="00B35D28">
        <w:rPr>
          <w:rFonts w:cs="Arial"/>
          <w:szCs w:val="24"/>
          <w:lang w:val="fr-FR" w:eastAsia="fr-CA"/>
        </w:rPr>
        <w:t xml:space="preserve"> et </w:t>
      </w:r>
      <w:r w:rsidR="00B35D28" w:rsidRPr="00760AF0">
        <w:rPr>
          <w:rFonts w:cs="Arial"/>
          <w:szCs w:val="24"/>
          <w:lang w:val="fr-FR" w:eastAsia="fr-CA"/>
        </w:rPr>
        <w:t>de méthamphétamine</w:t>
      </w:r>
      <w:r w:rsidRPr="00DE4D19">
        <w:rPr>
          <w:rFonts w:cs="Arial"/>
          <w:szCs w:val="24"/>
          <w:lang w:val="fr-FR" w:eastAsia="fr-CA"/>
        </w:rPr>
        <w:t xml:space="preserve"> dans le but d’en faire le trafic, la jurisprudence </w:t>
      </w:r>
      <w:r w:rsidRPr="00963FBE">
        <w:t>privilégie</w:t>
      </w:r>
      <w:r w:rsidRPr="00DE4D19">
        <w:rPr>
          <w:rFonts w:cs="Arial"/>
          <w:szCs w:val="24"/>
          <w:lang w:val="fr-FR" w:eastAsia="fr-CA"/>
        </w:rPr>
        <w:t xml:space="preserve"> les objectifs d’exemplarité, de dénonciation et de dissuasion</w:t>
      </w:r>
      <w:r>
        <w:rPr>
          <w:rStyle w:val="Appelnotedebasdep"/>
          <w:rFonts w:cs="Arial"/>
          <w:szCs w:val="24"/>
          <w:lang w:val="fr-FR" w:eastAsia="fr-CA"/>
        </w:rPr>
        <w:footnoteReference w:id="20"/>
      </w:r>
      <w:r w:rsidRPr="00DE4D19">
        <w:rPr>
          <w:rFonts w:cs="Arial"/>
          <w:szCs w:val="24"/>
          <w:lang w:val="fr-FR" w:eastAsia="fr-CA"/>
        </w:rPr>
        <w:t>. L’orientation générale des tribunaux, en matière de drogues dures, est d’infliger des peines plus sévères</w:t>
      </w:r>
      <w:r>
        <w:rPr>
          <w:rStyle w:val="Appelnotedebasdep"/>
          <w:rFonts w:cs="Arial"/>
          <w:szCs w:val="24"/>
          <w:lang w:val="fr-FR" w:eastAsia="fr-CA"/>
        </w:rPr>
        <w:footnoteReference w:id="21"/>
      </w:r>
      <w:r w:rsidRPr="00DE4D19">
        <w:rPr>
          <w:rFonts w:cs="Arial"/>
          <w:szCs w:val="24"/>
          <w:lang w:val="fr-FR" w:eastAsia="fr-CA"/>
        </w:rPr>
        <w:t xml:space="preserve">. </w:t>
      </w:r>
    </w:p>
    <w:p w:rsidR="00DB4DAE" w:rsidRPr="003313C8" w:rsidRDefault="00DD71E8" w:rsidP="00DB4DAE">
      <w:pPr>
        <w:pStyle w:val="Paragraphe"/>
        <w:spacing w:line="240" w:lineRule="auto"/>
      </w:pPr>
      <w:r>
        <w:t>Le spectre des peines à imposer pour ce type d’infraction dépendra néanmoins des faits de chaque affaire et du profil unique de l’accusé concerné. Car rappelons que la fourchette des peines usuellement imposées n’est qu’un moyen de parvenir au résultat souhaité, soit celui d’infliger une « peine proportionnée »</w:t>
      </w:r>
      <w:r>
        <w:rPr>
          <w:rStyle w:val="Appelnotedebasdep"/>
        </w:rPr>
        <w:footnoteReference w:id="22"/>
      </w:r>
      <w:r>
        <w:t xml:space="preserve">. </w:t>
      </w:r>
    </w:p>
    <w:p w:rsidR="00B35D28" w:rsidRDefault="00DD71E8" w:rsidP="00580DD3">
      <w:pPr>
        <w:pStyle w:val="Paragraphe"/>
        <w:spacing w:line="240" w:lineRule="auto"/>
      </w:pPr>
      <w:r>
        <w:t xml:space="preserve">En ce qui concerne les infractions en cause en contravention de la </w:t>
      </w:r>
      <w:r w:rsidRPr="00B35D28">
        <w:rPr>
          <w:i/>
          <w:iCs/>
        </w:rPr>
        <w:t>Loi sur le cannabis</w:t>
      </w:r>
      <w:r>
        <w:t xml:space="preserve">, sans nullement les banaliser, </w:t>
      </w:r>
      <w:r w:rsidR="00DB4DAE">
        <w:t xml:space="preserve">leur </w:t>
      </w:r>
      <w:r>
        <w:t xml:space="preserve">gravité </w:t>
      </w:r>
      <w:r w:rsidR="00DB4DAE">
        <w:t xml:space="preserve">est </w:t>
      </w:r>
      <w:r>
        <w:t>moindre</w:t>
      </w:r>
      <w:r w:rsidR="00580DD3">
        <w:t xml:space="preserve"> pour deux raisons. D’une part, la quantité de marijuana concernée par le chef</w:t>
      </w:r>
      <w:r w:rsidR="006F2E07">
        <w:t> </w:t>
      </w:r>
      <w:r w:rsidR="00580DD3">
        <w:t>6 est relativement peu élevée, soit 2</w:t>
      </w:r>
      <w:r w:rsidR="006F2E07">
        <w:t> </w:t>
      </w:r>
      <w:r w:rsidR="00580DD3">
        <w:t>g. D’autre part, le chef</w:t>
      </w:r>
      <w:r w:rsidR="006F2E07">
        <w:t> </w:t>
      </w:r>
      <w:r w:rsidR="00580DD3">
        <w:t xml:space="preserve">11 a subi une modification et est maintenant pris par voie sommaire et non par voie de mise en accusation et est donc </w:t>
      </w:r>
      <w:r>
        <w:t>passible d’une amende maximale de 5</w:t>
      </w:r>
      <w:r w:rsidR="006F2E07">
        <w:t> </w:t>
      </w:r>
      <w:r>
        <w:t>000</w:t>
      </w:r>
      <w:r w:rsidR="006F2E07">
        <w:t> </w:t>
      </w:r>
      <w:r>
        <w:t>$ et d’une peine d’emprisonnement maximale de 6</w:t>
      </w:r>
      <w:r w:rsidR="006F2E07">
        <w:t> </w:t>
      </w:r>
      <w:r>
        <w:t>mois ou les deux.</w:t>
      </w:r>
    </w:p>
    <w:p w:rsidR="00963FBE" w:rsidRDefault="00DD71E8" w:rsidP="00963FBE">
      <w:pPr>
        <w:pStyle w:val="Paragraphe"/>
        <w:spacing w:line="240" w:lineRule="auto"/>
      </w:pPr>
      <w:r>
        <w:rPr>
          <w:szCs w:val="24"/>
        </w:rPr>
        <w:t xml:space="preserve">Cela étant dit, </w:t>
      </w:r>
      <w:r w:rsidRPr="00963FBE">
        <w:rPr>
          <w:szCs w:val="24"/>
        </w:rPr>
        <w:t>il s’avère indéniable que le fait de mettre l’accent sur les principes de dénonciation et de dissuasion ne saurait en aucun temps éclipser le principe d’individualisation de la peine, spécifiquement si le délinquant fait la démonstration, de façon prépondérante, d’une réhabilitation convaincante</w:t>
      </w:r>
      <w:r>
        <w:rPr>
          <w:rStyle w:val="Appelnotedebasdep"/>
          <w:rFonts w:cs="Arial"/>
          <w:szCs w:val="24"/>
          <w:lang w:val="fr-FR" w:eastAsia="fr-CA"/>
        </w:rPr>
        <w:footnoteReference w:id="23"/>
      </w:r>
      <w:r w:rsidRPr="00963FBE">
        <w:rPr>
          <w:szCs w:val="24"/>
        </w:rPr>
        <w:t xml:space="preserve">. </w:t>
      </w:r>
    </w:p>
    <w:p w:rsidR="0040554A" w:rsidRPr="00F95CE9" w:rsidRDefault="00DD71E8" w:rsidP="00B35D28">
      <w:pPr>
        <w:pStyle w:val="Paragraphe"/>
        <w:spacing w:line="240" w:lineRule="auto"/>
      </w:pPr>
      <w:r w:rsidRPr="00963FBE">
        <w:rPr>
          <w:szCs w:val="24"/>
          <w:lang w:eastAsia="fr-CA"/>
        </w:rPr>
        <w:t>Pour déterminer si l’accusé a fait une telle démonstration, l’analyse des circonstances aggravantes et atténuantes liées à</w:t>
      </w:r>
      <w:r w:rsidRPr="00963FBE">
        <w:rPr>
          <w:szCs w:val="24"/>
        </w:rPr>
        <w:t xml:space="preserve"> sa situation et à </w:t>
      </w:r>
      <w:r w:rsidRPr="00963FBE">
        <w:rPr>
          <w:szCs w:val="24"/>
          <w:lang w:eastAsia="fr-CA"/>
        </w:rPr>
        <w:t>la perpétration des infractions est donc de mise.</w:t>
      </w:r>
      <w:r>
        <w:t xml:space="preserve"> </w:t>
      </w:r>
    </w:p>
    <w:p w:rsidR="0048306D" w:rsidRDefault="00DD71E8" w:rsidP="00285C20">
      <w:pPr>
        <w:pStyle w:val="Paragraphe"/>
        <w:numPr>
          <w:ilvl w:val="0"/>
          <w:numId w:val="0"/>
        </w:numPr>
        <w:spacing w:line="240" w:lineRule="auto"/>
        <w:rPr>
          <w:b/>
        </w:rPr>
      </w:pPr>
      <w:r>
        <w:rPr>
          <w:b/>
        </w:rPr>
        <w:t>L’ANALYSE</w:t>
      </w:r>
    </w:p>
    <w:p w:rsidR="00285C20" w:rsidRPr="00436DB4" w:rsidRDefault="00DD71E8" w:rsidP="00285C20">
      <w:pPr>
        <w:pStyle w:val="Paragraphe"/>
        <w:numPr>
          <w:ilvl w:val="0"/>
          <w:numId w:val="0"/>
        </w:numPr>
        <w:spacing w:line="240" w:lineRule="auto"/>
      </w:pPr>
      <w:r>
        <w:rPr>
          <w:b/>
        </w:rPr>
        <w:t>Le p</w:t>
      </w:r>
      <w:r w:rsidR="00724D3D" w:rsidRPr="00436DB4">
        <w:rPr>
          <w:b/>
        </w:rPr>
        <w:t>rofil de l’accusé</w:t>
      </w:r>
      <w:r w:rsidRPr="00436DB4">
        <w:rPr>
          <w:b/>
        </w:rPr>
        <w:t xml:space="preserve"> </w:t>
      </w:r>
    </w:p>
    <w:p w:rsidR="00F37FB3" w:rsidRDefault="00DD71E8" w:rsidP="003D0BFC">
      <w:pPr>
        <w:pStyle w:val="Paragraphe"/>
        <w:tabs>
          <w:tab w:val="clear" w:pos="360"/>
        </w:tabs>
        <w:spacing w:line="240" w:lineRule="auto"/>
      </w:pPr>
      <w:r>
        <w:t xml:space="preserve">L’accusé a témoigné lors de l’audience sur la détermination de la peine. Un rapport présentenciel a également été rédigé pour </w:t>
      </w:r>
      <w:r w:rsidR="00580DD3">
        <w:t>brosser</w:t>
      </w:r>
      <w:r>
        <w:t xml:space="preserve"> un portrait détaillé à son sujet. </w:t>
      </w:r>
    </w:p>
    <w:p w:rsidR="00D27CF0" w:rsidRDefault="00DD71E8" w:rsidP="003D0BFC">
      <w:pPr>
        <w:pStyle w:val="Paragraphe"/>
        <w:tabs>
          <w:tab w:val="clear" w:pos="360"/>
        </w:tabs>
        <w:spacing w:line="240" w:lineRule="auto"/>
      </w:pPr>
      <w:r>
        <w:t xml:space="preserve">Voici les éléments </w:t>
      </w:r>
      <w:r w:rsidR="00F37FB3">
        <w:t xml:space="preserve">pertinents </w:t>
      </w:r>
      <w:r>
        <w:t xml:space="preserve">qui ressortent </w:t>
      </w:r>
      <w:r w:rsidR="00F37FB3">
        <w:t xml:space="preserve">non seulement </w:t>
      </w:r>
      <w:r>
        <w:t>d</w:t>
      </w:r>
      <w:r w:rsidR="00F37FB3">
        <w:t>u témoignage</w:t>
      </w:r>
      <w:r w:rsidR="00580DD3">
        <w:t xml:space="preserve"> </w:t>
      </w:r>
      <w:r w:rsidR="00F37FB3">
        <w:t>de l’accusé, mais également de l’ensemble de la preuve administrée dans la présente affaire</w:t>
      </w:r>
      <w:r>
        <w:t>.</w:t>
      </w:r>
    </w:p>
    <w:p w:rsidR="00D67A56" w:rsidRPr="00457E16" w:rsidRDefault="00DD71E8" w:rsidP="00457E16">
      <w:pPr>
        <w:pStyle w:val="Paragraphe"/>
        <w:numPr>
          <w:ilvl w:val="0"/>
          <w:numId w:val="0"/>
        </w:numPr>
        <w:spacing w:line="240" w:lineRule="auto"/>
        <w:rPr>
          <w:b/>
        </w:rPr>
      </w:pPr>
      <w:r>
        <w:rPr>
          <w:b/>
          <w:szCs w:val="24"/>
        </w:rPr>
        <w:t>Les c</w:t>
      </w:r>
      <w:r w:rsidRPr="00D03A8A">
        <w:rPr>
          <w:b/>
          <w:szCs w:val="24"/>
        </w:rPr>
        <w:t xml:space="preserve">irconstances </w:t>
      </w:r>
      <w:r w:rsidRPr="00580DD3">
        <w:rPr>
          <w:b/>
          <w:szCs w:val="24"/>
        </w:rPr>
        <w:t>atténuantes</w:t>
      </w:r>
    </w:p>
    <w:p w:rsidR="00D03A8A" w:rsidRPr="00D03A8A" w:rsidRDefault="00DD71E8" w:rsidP="00D03A8A">
      <w:pPr>
        <w:pStyle w:val="Paragraphe"/>
        <w:numPr>
          <w:ilvl w:val="0"/>
          <w:numId w:val="0"/>
        </w:numPr>
        <w:spacing w:line="240" w:lineRule="auto"/>
        <w:rPr>
          <w:b/>
        </w:rPr>
      </w:pPr>
      <w:r>
        <w:rPr>
          <w:b/>
        </w:rPr>
        <w:tab/>
      </w:r>
      <w:r w:rsidRPr="00D03A8A">
        <w:rPr>
          <w:b/>
        </w:rPr>
        <w:t>Le plaidoyer de culpabilité</w:t>
      </w:r>
      <w:r w:rsidR="006B2775">
        <w:rPr>
          <w:b/>
        </w:rPr>
        <w:t xml:space="preserve"> </w:t>
      </w:r>
    </w:p>
    <w:p w:rsidR="00CF3934" w:rsidRDefault="00DD71E8" w:rsidP="00E8587B">
      <w:pPr>
        <w:pStyle w:val="Paragraphe"/>
        <w:spacing w:line="240" w:lineRule="auto"/>
      </w:pPr>
      <w:r>
        <w:t xml:space="preserve">L’accusé </w:t>
      </w:r>
      <w:r w:rsidR="00D67A56" w:rsidRPr="00D03A8A">
        <w:t xml:space="preserve">a plaidé </w:t>
      </w:r>
      <w:r w:rsidR="00F81F6E" w:rsidRPr="00D03A8A">
        <w:t>coupable</w:t>
      </w:r>
      <w:r w:rsidR="00A02989" w:rsidRPr="00D03A8A">
        <w:t xml:space="preserve"> </w:t>
      </w:r>
      <w:r w:rsidR="0071356C">
        <w:t xml:space="preserve">à plusieurs des infractions qui lui étaient reprochées. Cette reconnaissance </w:t>
      </w:r>
      <w:r w:rsidR="006571BA">
        <w:t>des</w:t>
      </w:r>
      <w:r w:rsidR="0071356C">
        <w:t xml:space="preserve"> faits a ainsi</w:t>
      </w:r>
      <w:r w:rsidR="00AC67BC" w:rsidRPr="00D03A8A">
        <w:t xml:space="preserve"> évité </w:t>
      </w:r>
      <w:r w:rsidR="0071356C">
        <w:t>la tenue d’un procès</w:t>
      </w:r>
      <w:r>
        <w:t>.</w:t>
      </w:r>
      <w:r w:rsidR="00C011AB">
        <w:t xml:space="preserve"> </w:t>
      </w:r>
    </w:p>
    <w:p w:rsidR="00CF3934" w:rsidRDefault="00DD71E8" w:rsidP="00E8587B">
      <w:pPr>
        <w:pStyle w:val="Paragraphe"/>
        <w:spacing w:line="240" w:lineRule="auto"/>
      </w:pPr>
      <w:r>
        <w:t>Le poursuivant mitige cependant la valeur à accorder aux plaidoyers de culpabilité dans la mesure où la preuve accumulée contre l’accusé était accablante.</w:t>
      </w:r>
    </w:p>
    <w:p w:rsidR="00CF3934" w:rsidRDefault="00DD71E8" w:rsidP="00E8587B">
      <w:pPr>
        <w:pStyle w:val="Paragraphe"/>
        <w:spacing w:line="240" w:lineRule="auto"/>
      </w:pPr>
      <w:r>
        <w:t>Qu’en est-il?</w:t>
      </w:r>
    </w:p>
    <w:p w:rsidR="008E4FC0" w:rsidRDefault="00DD71E8" w:rsidP="00591C81">
      <w:pPr>
        <w:pStyle w:val="Paragraphe"/>
        <w:spacing w:line="240" w:lineRule="auto"/>
      </w:pPr>
      <w:r>
        <w:t>Le plaidoyer de culpabilité enregistré devant une preuve accablante, et ce, plus de deux ans après le dépôt des accusations</w:t>
      </w:r>
      <w:r>
        <w:rPr>
          <w:rStyle w:val="Appelnotedebasdep"/>
        </w:rPr>
        <w:footnoteReference w:id="24"/>
      </w:r>
      <w:r>
        <w:t>, ne peut être qualifié de plaidoyer précoce pouvant entraîner une réduction considérable de la peine</w:t>
      </w:r>
      <w:r>
        <w:rPr>
          <w:rStyle w:val="Appelnotedebasdep"/>
        </w:rPr>
        <w:footnoteReference w:id="25"/>
      </w:r>
      <w:r>
        <w:t xml:space="preserve">. Il a une portée plus limitée en raison de sa tardiveté et de la force de la preuve. Il </w:t>
      </w:r>
      <w:r w:rsidRPr="00D37975">
        <w:t>conserve</w:t>
      </w:r>
      <w:r>
        <w:t xml:space="preserve"> cependant </w:t>
      </w:r>
      <w:r w:rsidRPr="00D37975">
        <w:t xml:space="preserve">une valeur atténuante, même </w:t>
      </w:r>
      <w:r>
        <w:t>s’il n’a pas son plein effet</w:t>
      </w:r>
      <w:r>
        <w:rPr>
          <w:rStyle w:val="Appelnotedebasdep"/>
        </w:rPr>
        <w:footnoteReference w:id="26"/>
      </w:r>
      <w:r w:rsidRPr="00D37975">
        <w:t>.</w:t>
      </w:r>
      <w:r w:rsidR="00C011AB">
        <w:t xml:space="preserve"> </w:t>
      </w:r>
    </w:p>
    <w:p w:rsidR="00C21583" w:rsidRPr="008E4FC0" w:rsidRDefault="00DD71E8" w:rsidP="008E4FC0">
      <w:pPr>
        <w:rPr>
          <w:kern w:val="28"/>
        </w:rPr>
      </w:pPr>
      <w:r>
        <w:tab/>
      </w:r>
      <w:r w:rsidRPr="00C21583">
        <w:rPr>
          <w:b/>
          <w:bCs/>
        </w:rPr>
        <w:t xml:space="preserve">La responsabilisation de l’accusé ainsi que l’expression de remords </w:t>
      </w:r>
    </w:p>
    <w:p w:rsidR="00F37FB3" w:rsidRDefault="00DD71E8" w:rsidP="00F37FB3">
      <w:pPr>
        <w:pStyle w:val="Paragraphe"/>
        <w:spacing w:line="240" w:lineRule="auto"/>
      </w:pPr>
      <w:r>
        <w:t>L’accusé explique qu’en 2018, il subit un grave accident</w:t>
      </w:r>
      <w:r>
        <w:rPr>
          <w:rStyle w:val="Appelnotedebasdep"/>
        </w:rPr>
        <w:footnoteReference w:id="27"/>
      </w:r>
      <w:r>
        <w:t xml:space="preserve"> lui causant une triple fracture du bassin ainsi qu’une commotion cérébrale. Ayant des restrictions à l’emploi qu’il occupe alors, soit au magasin Canadian Tire, il ne peut soulever de lourdes charges, ce qui lui engendre par-dessus tout, des problèmes de dos. Comme il n’occupe cet emploi qu’à raison d’une journée par semaine, il éprouve des problèmes financiers qui le font basculer dans la criminalité.</w:t>
      </w:r>
    </w:p>
    <w:p w:rsidR="00DF1978" w:rsidRPr="00DF1978" w:rsidRDefault="00DD71E8" w:rsidP="00F37FB3">
      <w:pPr>
        <w:pStyle w:val="Paragraphe"/>
        <w:spacing w:line="240" w:lineRule="auto"/>
        <w:rPr>
          <w:sz w:val="30"/>
          <w:szCs w:val="30"/>
        </w:rPr>
      </w:pPr>
      <w:r>
        <w:t>L’accusé ne s’en cache pas: il voulait régler ses problèmes d’argent facilement</w:t>
      </w:r>
      <w:r>
        <w:rPr>
          <w:rStyle w:val="Appelnotedebasdep"/>
        </w:rPr>
        <w:footnoteReference w:id="28"/>
      </w:r>
      <w:r>
        <w:t>. Voilà pourquoi</w:t>
      </w:r>
      <w:r w:rsidR="00F16DAC">
        <w:t xml:space="preserve">, après avoir été approché par un oncle de sa conjointe, </w:t>
      </w:r>
      <w:r>
        <w:t xml:space="preserve">il accepte de </w:t>
      </w:r>
      <w:r w:rsidR="00F16DAC">
        <w:t xml:space="preserve">vendre et de livrer </w:t>
      </w:r>
      <w:r>
        <w:t xml:space="preserve">de </w:t>
      </w:r>
      <w:r w:rsidR="00F16DAC">
        <w:t xml:space="preserve">la </w:t>
      </w:r>
      <w:r>
        <w:t xml:space="preserve">drogue. </w:t>
      </w:r>
    </w:p>
    <w:p w:rsidR="00C21583" w:rsidRPr="00F16DAC" w:rsidRDefault="00DD71E8" w:rsidP="00D033A3">
      <w:pPr>
        <w:pStyle w:val="Paragraphe"/>
        <w:spacing w:line="240" w:lineRule="auto"/>
        <w:rPr>
          <w:sz w:val="30"/>
          <w:szCs w:val="30"/>
        </w:rPr>
      </w:pPr>
      <w:r>
        <w:t xml:space="preserve">L’accusé </w:t>
      </w:r>
      <w:r w:rsidR="00F16DAC">
        <w:t>admet sa participation aux événements reprochés</w:t>
      </w:r>
      <w:r>
        <w:rPr>
          <w:rStyle w:val="Appelnotedebasdep"/>
        </w:rPr>
        <w:footnoteReference w:id="29"/>
      </w:r>
      <w:r w:rsidR="00F16DAC">
        <w:t xml:space="preserve"> et </w:t>
      </w:r>
      <w:r w:rsidR="0049793C">
        <w:t xml:space="preserve">en </w:t>
      </w:r>
      <w:r w:rsidR="00CD5F7D">
        <w:t>admet sa responsabilité</w:t>
      </w:r>
      <w:r>
        <w:rPr>
          <w:rStyle w:val="Appelnotedebasdep"/>
        </w:rPr>
        <w:footnoteReference w:id="30"/>
      </w:r>
      <w:r w:rsidR="00CD5F7D">
        <w:t xml:space="preserve">. </w:t>
      </w:r>
      <w:r w:rsidR="008A3288">
        <w:t>Comme le plaide la défense, i</w:t>
      </w:r>
      <w:r w:rsidR="00532D40">
        <w:t>l fait ainsi preuve d’introspection</w:t>
      </w:r>
      <w:r w:rsidR="008A3288">
        <w:t xml:space="preserve">. Il exprime aussi </w:t>
      </w:r>
      <w:r>
        <w:t xml:space="preserve">une profonde déception </w:t>
      </w:r>
      <w:r w:rsidR="008A294E">
        <w:t>et de la honte</w:t>
      </w:r>
      <w:r>
        <w:rPr>
          <w:rStyle w:val="Appelnotedebasdep"/>
        </w:rPr>
        <w:footnoteReference w:id="31"/>
      </w:r>
      <w:r w:rsidR="008A294E">
        <w:t xml:space="preserve"> </w:t>
      </w:r>
      <w:r>
        <w:t xml:space="preserve">à l’égard des gestes délictuels qu’il a posés. </w:t>
      </w:r>
      <w:r w:rsidR="008A3288">
        <w:t xml:space="preserve">Mais ce n’est pas tout. </w:t>
      </w:r>
      <w:r>
        <w:t xml:space="preserve">Il reconnaît </w:t>
      </w:r>
      <w:r w:rsidR="00532D40">
        <w:t xml:space="preserve">aussi </w:t>
      </w:r>
      <w:r>
        <w:t>avoir fait beaucoup de torts à la société</w:t>
      </w:r>
      <w:r w:rsidR="009F5F4C">
        <w:t xml:space="preserve"> en contribuant activement à fournir en drogue</w:t>
      </w:r>
      <w:r w:rsidR="00F80003">
        <w:t>s</w:t>
      </w:r>
      <w:r w:rsidR="009F5F4C">
        <w:t xml:space="preserve"> les personnes aux prises avec une dépendance</w:t>
      </w:r>
      <w:r>
        <w:rPr>
          <w:rStyle w:val="Appelnotedebasdep"/>
        </w:rPr>
        <w:footnoteReference w:id="32"/>
      </w:r>
      <w:r>
        <w:t>.</w:t>
      </w:r>
    </w:p>
    <w:p w:rsidR="0040554A" w:rsidRPr="0040554A" w:rsidRDefault="00DD71E8" w:rsidP="00E8587B">
      <w:pPr>
        <w:pStyle w:val="Paragraphe"/>
        <w:spacing w:line="240" w:lineRule="auto"/>
        <w:rPr>
          <w:sz w:val="30"/>
          <w:szCs w:val="30"/>
        </w:rPr>
      </w:pPr>
      <w:r>
        <w:t>En conséquence, il offre au Tribunal</w:t>
      </w:r>
      <w:r w:rsidR="008A294E">
        <w:t xml:space="preserve"> </w:t>
      </w:r>
      <w:r>
        <w:t xml:space="preserve">ses excuses </w:t>
      </w:r>
      <w:r w:rsidR="008A294E">
        <w:t xml:space="preserve">et exprime des remords qui </w:t>
      </w:r>
      <w:r>
        <w:t>paraissent sincères</w:t>
      </w:r>
      <w:r>
        <w:rPr>
          <w:rStyle w:val="Appelnotedebasdep"/>
        </w:rPr>
        <w:footnoteReference w:id="33"/>
      </w:r>
      <w:r>
        <w:t>.</w:t>
      </w:r>
      <w:r w:rsidR="009F5F4C">
        <w:t xml:space="preserve"> Il soutient qu’il ne recommencera plus jamais</w:t>
      </w:r>
      <w:r w:rsidR="008A294E">
        <w:t xml:space="preserve"> </w:t>
      </w:r>
      <w:r w:rsidR="0049793C">
        <w:t xml:space="preserve">et </w:t>
      </w:r>
      <w:r w:rsidR="008A294E">
        <w:t xml:space="preserve">démontre </w:t>
      </w:r>
      <w:r w:rsidR="0049793C">
        <w:t xml:space="preserve">concrètement </w:t>
      </w:r>
      <w:r w:rsidR="008A294E">
        <w:t>de la motivation à vouloir s’en sortir</w:t>
      </w:r>
      <w:r>
        <w:rPr>
          <w:rStyle w:val="Appelnotedebasdep"/>
        </w:rPr>
        <w:footnoteReference w:id="34"/>
      </w:r>
      <w:r w:rsidR="008A294E">
        <w:t>.</w:t>
      </w:r>
    </w:p>
    <w:p w:rsidR="007054E4" w:rsidRPr="00D27CF0" w:rsidRDefault="00DD71E8" w:rsidP="00D27CF0">
      <w:pPr>
        <w:pStyle w:val="Paragraphe"/>
        <w:numPr>
          <w:ilvl w:val="0"/>
          <w:numId w:val="0"/>
        </w:numPr>
        <w:spacing w:line="240" w:lineRule="auto"/>
        <w:rPr>
          <w:b/>
          <w:bCs/>
        </w:rPr>
      </w:pPr>
      <w:r w:rsidRPr="00D27CF0">
        <w:rPr>
          <w:b/>
          <w:bCs/>
        </w:rPr>
        <w:tab/>
        <w:t>Le jeune âge de l’accusé</w:t>
      </w:r>
      <w:r w:rsidR="006B2775">
        <w:rPr>
          <w:b/>
          <w:bCs/>
        </w:rPr>
        <w:t xml:space="preserve"> </w:t>
      </w:r>
    </w:p>
    <w:p w:rsidR="008A3288" w:rsidRDefault="00DD71E8" w:rsidP="00C170A6">
      <w:pPr>
        <w:pStyle w:val="Paragraphe"/>
        <w:spacing w:line="240" w:lineRule="auto"/>
      </w:pPr>
      <w:r>
        <w:t>L’accusé avait 24</w:t>
      </w:r>
      <w:r w:rsidR="00344158">
        <w:t> </w:t>
      </w:r>
      <w:r>
        <w:t>ans au moment des événements</w:t>
      </w:r>
      <w:r>
        <w:rPr>
          <w:rStyle w:val="Appelnotedebasdep"/>
        </w:rPr>
        <w:footnoteReference w:id="35"/>
      </w:r>
      <w:r>
        <w:t xml:space="preserve">. </w:t>
      </w:r>
    </w:p>
    <w:p w:rsidR="008A3288" w:rsidRDefault="00DD71E8" w:rsidP="00C170A6">
      <w:pPr>
        <w:pStyle w:val="Paragraphe"/>
        <w:spacing w:line="240" w:lineRule="auto"/>
      </w:pPr>
      <w:r>
        <w:t xml:space="preserve">Le poursuivant plaide que l’âge de l’accusé ne peut être considéré comme une circonstance atténuante principalement parce </w:t>
      </w:r>
      <w:r w:rsidR="00587CFC">
        <w:t>que l’accusé n’est pas</w:t>
      </w:r>
      <w:r>
        <w:t xml:space="preserve"> un individu</w:t>
      </w:r>
      <w:r w:rsidR="000816E3">
        <w:t xml:space="preserve"> </w:t>
      </w:r>
      <w:r>
        <w:t>qui</w:t>
      </w:r>
      <w:r w:rsidR="000816E3">
        <w:t xml:space="preserve">, à l’époque, </w:t>
      </w:r>
      <w:r>
        <w:t>v</w:t>
      </w:r>
      <w:r w:rsidR="000816E3">
        <w:t>enait</w:t>
      </w:r>
      <w:r>
        <w:t xml:space="preserve"> </w:t>
      </w:r>
      <w:r w:rsidR="000816E3">
        <w:t>« </w:t>
      </w:r>
      <w:r>
        <w:t xml:space="preserve">tout juste d’avoir la majorité puis qui est un peu perdu dans la vie ». </w:t>
      </w:r>
      <w:r w:rsidR="00587CFC">
        <w:t>Le poursuivant précise que l</w:t>
      </w:r>
      <w:r>
        <w:t>’accusé était</w:t>
      </w:r>
      <w:r w:rsidR="00587CFC">
        <w:t>,</w:t>
      </w:r>
      <w:r>
        <w:t xml:space="preserve"> </w:t>
      </w:r>
      <w:r w:rsidR="00587CFC">
        <w:t xml:space="preserve">au contraire, </w:t>
      </w:r>
      <w:r w:rsidR="00882D93">
        <w:t>« </w:t>
      </w:r>
      <w:r>
        <w:t>établi</w:t>
      </w:r>
      <w:r w:rsidR="00344158">
        <w:t> </w:t>
      </w:r>
      <w:r w:rsidR="00882D93">
        <w:t>» et avait franchi la majorité depuis quelques années</w:t>
      </w:r>
      <w:r w:rsidR="00587CFC">
        <w:t xml:space="preserve"> déjà</w:t>
      </w:r>
      <w:r>
        <w:t>.</w:t>
      </w:r>
    </w:p>
    <w:p w:rsidR="00036C93" w:rsidRDefault="00DD71E8" w:rsidP="00D23032">
      <w:pPr>
        <w:pStyle w:val="Paragraphe"/>
        <w:spacing w:line="240" w:lineRule="auto"/>
      </w:pPr>
      <w:r>
        <w:t xml:space="preserve">Or, le Tribunal n’est pas du même avis et conclut que le </w:t>
      </w:r>
      <w:r w:rsidR="00C170A6">
        <w:t xml:space="preserve">jeune âge </w:t>
      </w:r>
      <w:r>
        <w:t xml:space="preserve">de l’accusé </w:t>
      </w:r>
      <w:r w:rsidR="00F37FB3">
        <w:t xml:space="preserve">constitue une circonstance </w:t>
      </w:r>
      <w:r>
        <w:t xml:space="preserve">atténuante non négligeable </w:t>
      </w:r>
      <w:r w:rsidR="00F37FB3">
        <w:t xml:space="preserve">puisque </w:t>
      </w:r>
      <w:r>
        <w:t xml:space="preserve">celui-ci </w:t>
      </w:r>
      <w:r w:rsidR="00C170A6">
        <w:t>n’avait</w:t>
      </w:r>
      <w:r>
        <w:t xml:space="preserve">, au moment des événements, </w:t>
      </w:r>
      <w:r w:rsidR="00C170A6">
        <w:t xml:space="preserve">ni l’expérience ni la maturité d’une personne </w:t>
      </w:r>
      <w:r w:rsidR="00F37FB3">
        <w:t>d’âge mûr</w:t>
      </w:r>
      <w:r>
        <w:rPr>
          <w:rStyle w:val="Appelnotedebasdep"/>
        </w:rPr>
        <w:footnoteReference w:id="36"/>
      </w:r>
      <w:r w:rsidR="00C170A6">
        <w:t xml:space="preserve">. </w:t>
      </w:r>
    </w:p>
    <w:p w:rsidR="00587CFC" w:rsidRDefault="00DD71E8" w:rsidP="00587CFC">
      <w:pPr>
        <w:pStyle w:val="Paragraphe"/>
        <w:spacing w:line="240" w:lineRule="auto"/>
      </w:pPr>
      <w:r>
        <w:t>L’accusé reconnaît d’ailleurs que les comportements qu’il a adoptés ne cadraient pas avec les valeurs auxquelles il accordait une priorité à ce moment</w:t>
      </w:r>
      <w:r>
        <w:rPr>
          <w:rStyle w:val="Appelnotedebasdep"/>
        </w:rPr>
        <w:footnoteReference w:id="37"/>
      </w:r>
      <w:r>
        <w:t xml:space="preserve">. </w:t>
      </w:r>
    </w:p>
    <w:p w:rsidR="008A294E" w:rsidRDefault="00DD71E8" w:rsidP="00C170A6">
      <w:pPr>
        <w:pStyle w:val="Paragraphe"/>
        <w:spacing w:line="240" w:lineRule="auto"/>
      </w:pPr>
      <w:r>
        <w:t>Au surplus, l</w:t>
      </w:r>
      <w:r w:rsidR="00CD5F7D">
        <w:t>’agent de probation note que « [l’]influençabilité [de l’accusé], teintée d’une immaturité, aurait joué un rôle primordial dans l’exécution de son passage à l’acte »</w:t>
      </w:r>
      <w:r>
        <w:rPr>
          <w:rStyle w:val="Appelnotedebasdep"/>
        </w:rPr>
        <w:footnoteReference w:id="38"/>
      </w:r>
      <w:r w:rsidR="00CD5F7D">
        <w:t xml:space="preserve">. L’impulsivité, </w:t>
      </w:r>
      <w:r w:rsidR="00AD7C2D">
        <w:t>la</w:t>
      </w:r>
      <w:r w:rsidR="00CD5F7D">
        <w:t xml:space="preserve"> perte de contrôle et </w:t>
      </w:r>
      <w:r w:rsidR="00AD7C2D">
        <w:t xml:space="preserve">le </w:t>
      </w:r>
      <w:r w:rsidR="00CD5F7D">
        <w:t>manque d’habiletés à résoudre ses problèmes</w:t>
      </w:r>
      <w:r w:rsidR="00344158">
        <w:t xml:space="preserve"> </w:t>
      </w:r>
      <w:r w:rsidR="00AD7C2D">
        <w:t xml:space="preserve">seraient </w:t>
      </w:r>
      <w:r>
        <w:t xml:space="preserve">donc </w:t>
      </w:r>
      <w:r w:rsidR="00AD7C2D">
        <w:t>des facteurs contributifs</w:t>
      </w:r>
      <w:r>
        <w:t xml:space="preserve"> aux délits, lesquels peuvent être attribués à son jeune âge.</w:t>
      </w:r>
    </w:p>
    <w:p w:rsidR="00882D93" w:rsidRDefault="00DD71E8" w:rsidP="00C170A6">
      <w:pPr>
        <w:pStyle w:val="Paragraphe"/>
        <w:spacing w:line="240" w:lineRule="auto"/>
      </w:pPr>
      <w:r>
        <w:t xml:space="preserve">Voilà ce qui explique pourquoi le Tribunal considère </w:t>
      </w:r>
      <w:r w:rsidR="00587CFC">
        <w:t xml:space="preserve">cet élément </w:t>
      </w:r>
      <w:r>
        <w:t>comme étant une circonstance atténuante</w:t>
      </w:r>
      <w:r>
        <w:rPr>
          <w:rStyle w:val="Appelnotedebasdep"/>
        </w:rPr>
        <w:footnoteReference w:id="39"/>
      </w:r>
      <w:r>
        <w:t>.</w:t>
      </w:r>
    </w:p>
    <w:p w:rsidR="000538C7" w:rsidRPr="000538C7" w:rsidRDefault="00DD71E8" w:rsidP="000538C7">
      <w:pPr>
        <w:pStyle w:val="Paragraphe"/>
        <w:numPr>
          <w:ilvl w:val="0"/>
          <w:numId w:val="0"/>
        </w:numPr>
        <w:spacing w:line="240" w:lineRule="auto"/>
        <w:rPr>
          <w:b/>
          <w:bCs/>
        </w:rPr>
      </w:pPr>
      <w:r w:rsidRPr="000538C7">
        <w:rPr>
          <w:b/>
          <w:bCs/>
        </w:rPr>
        <w:tab/>
        <w:t xml:space="preserve">L’accusé a complètement changé de mode de vie </w:t>
      </w:r>
      <w:r>
        <w:rPr>
          <w:b/>
          <w:bCs/>
        </w:rPr>
        <w:t>depuis les événements</w:t>
      </w:r>
      <w:r w:rsidR="006B2775">
        <w:rPr>
          <w:b/>
          <w:bCs/>
        </w:rPr>
        <w:t xml:space="preserve"> </w:t>
      </w:r>
    </w:p>
    <w:p w:rsidR="000538C7" w:rsidRDefault="00DD71E8" w:rsidP="00C21583">
      <w:pPr>
        <w:pStyle w:val="Paragraphe"/>
        <w:tabs>
          <w:tab w:val="clear" w:pos="360"/>
        </w:tabs>
        <w:spacing w:line="240" w:lineRule="auto"/>
      </w:pPr>
      <w:r>
        <w:t>L’accusé explique qu’il n’est plus la même personne que celle qu’il était avant la commission des infractions.</w:t>
      </w:r>
    </w:p>
    <w:p w:rsidR="00760AF0" w:rsidRDefault="00DD71E8" w:rsidP="00CD63B3">
      <w:pPr>
        <w:pStyle w:val="Paragraphe"/>
        <w:tabs>
          <w:tab w:val="clear" w:pos="360"/>
        </w:tabs>
        <w:spacing w:line="240" w:lineRule="auto"/>
      </w:pPr>
      <w:r>
        <w:t xml:space="preserve">Après s’être retrouvé « au fond du baril », il s’est retroussé les manches en amorçant avec aplomb sa réhabilitation. Il s’est trouvé un emploi stable, nous y reviendrons, </w:t>
      </w:r>
      <w:r w:rsidR="00E028D2">
        <w:t xml:space="preserve">fait preuve d’ouverture </w:t>
      </w:r>
      <w:r>
        <w:t>et</w:t>
      </w:r>
      <w:r w:rsidR="000538C7">
        <w:t xml:space="preserve"> n’hésite p</w:t>
      </w:r>
      <w:r>
        <w:t xml:space="preserve">lus </w:t>
      </w:r>
      <w:r w:rsidR="000538C7">
        <w:t>à demander de l’aide pour résoudre ses problème</w:t>
      </w:r>
      <w:r>
        <w:t>s</w:t>
      </w:r>
      <w:r w:rsidR="000538C7">
        <w:t xml:space="preserve"> de façon</w:t>
      </w:r>
      <w:r w:rsidR="008B4CC5">
        <w:t xml:space="preserve"> réfléchie et </w:t>
      </w:r>
      <w:r w:rsidR="000538C7">
        <w:t xml:space="preserve">durable plutôt que de trouver des solutions </w:t>
      </w:r>
      <w:r w:rsidR="008B4CC5">
        <w:t xml:space="preserve">impulsives, </w:t>
      </w:r>
      <w:r w:rsidR="000538C7">
        <w:t>faciles et éphémères.</w:t>
      </w:r>
      <w:r>
        <w:t xml:space="preserve"> </w:t>
      </w:r>
    </w:p>
    <w:p w:rsidR="00F97797" w:rsidRDefault="00DD71E8" w:rsidP="00E028D2">
      <w:pPr>
        <w:pStyle w:val="Paragraphe"/>
        <w:tabs>
          <w:tab w:val="clear" w:pos="360"/>
        </w:tabs>
        <w:spacing w:line="240" w:lineRule="auto"/>
      </w:pPr>
      <w:r>
        <w:t>Aussi, i</w:t>
      </w:r>
      <w:r w:rsidR="00760AF0">
        <w:t xml:space="preserve">l </w:t>
      </w:r>
      <w:r>
        <w:t xml:space="preserve">est </w:t>
      </w:r>
      <w:r w:rsidR="005F5804">
        <w:t xml:space="preserve">maintenant beaucoup plus </w:t>
      </w:r>
      <w:r w:rsidR="00760AF0">
        <w:t xml:space="preserve">organisé: il </w:t>
      </w:r>
      <w:r w:rsidR="005F5804">
        <w:t xml:space="preserve">sait où il s’en va et fait les bons choix pour atteindre ses objectifs. </w:t>
      </w:r>
    </w:p>
    <w:p w:rsidR="005F5804" w:rsidRPr="00C21583" w:rsidRDefault="00DD71E8" w:rsidP="005F5804">
      <w:pPr>
        <w:pStyle w:val="Paragraphe"/>
        <w:numPr>
          <w:ilvl w:val="0"/>
          <w:numId w:val="0"/>
        </w:numPr>
        <w:spacing w:line="240" w:lineRule="auto"/>
        <w:rPr>
          <w:b/>
          <w:bCs/>
        </w:rPr>
      </w:pPr>
      <w:r w:rsidRPr="00C21583">
        <w:rPr>
          <w:b/>
          <w:bCs/>
        </w:rPr>
        <w:tab/>
        <w:t xml:space="preserve">L’accusé a coupé les ponts avec </w:t>
      </w:r>
      <w:r w:rsidR="008F1D4F">
        <w:rPr>
          <w:b/>
          <w:bCs/>
        </w:rPr>
        <w:t>l</w:t>
      </w:r>
      <w:r w:rsidRPr="00C21583">
        <w:rPr>
          <w:b/>
          <w:bCs/>
        </w:rPr>
        <w:t xml:space="preserve">es pairs </w:t>
      </w:r>
      <w:r w:rsidR="008F1D4F">
        <w:rPr>
          <w:b/>
          <w:bCs/>
        </w:rPr>
        <w:t xml:space="preserve">qui ont </w:t>
      </w:r>
      <w:r w:rsidR="00CD5F7D">
        <w:rPr>
          <w:b/>
          <w:bCs/>
        </w:rPr>
        <w:t>exercé</w:t>
      </w:r>
      <w:r w:rsidR="008F1D4F">
        <w:rPr>
          <w:b/>
          <w:bCs/>
        </w:rPr>
        <w:t xml:space="preserve"> une</w:t>
      </w:r>
      <w:r w:rsidRPr="00C21583">
        <w:rPr>
          <w:b/>
          <w:bCs/>
        </w:rPr>
        <w:t xml:space="preserve"> influence </w:t>
      </w:r>
      <w:r w:rsidR="00CD5F7D">
        <w:rPr>
          <w:b/>
          <w:bCs/>
        </w:rPr>
        <w:tab/>
      </w:r>
      <w:r w:rsidRPr="00C21583">
        <w:rPr>
          <w:b/>
          <w:bCs/>
        </w:rPr>
        <w:t xml:space="preserve">négative sur lui </w:t>
      </w:r>
    </w:p>
    <w:p w:rsidR="00AA533D" w:rsidRDefault="00DD71E8" w:rsidP="00212971">
      <w:pPr>
        <w:pStyle w:val="Paragraphe"/>
        <w:tabs>
          <w:tab w:val="clear" w:pos="360"/>
        </w:tabs>
        <w:spacing w:line="240" w:lineRule="auto"/>
      </w:pPr>
      <w:r>
        <w:t>Le poursuivant plaide que le réseau social dans lequel l’accusé a trempé alors qu’il a commis les délits en cause est toujours le même à ce jour. Il a notamment la même conjointe qu’avant</w:t>
      </w:r>
      <w:r w:rsidR="00D420E2">
        <w:t xml:space="preserve">. Son nom </w:t>
      </w:r>
      <w:r>
        <w:t xml:space="preserve">apparaît </w:t>
      </w:r>
      <w:r w:rsidR="00D420E2">
        <w:t xml:space="preserve">d'ailleurs </w:t>
      </w:r>
      <w:r>
        <w:t xml:space="preserve">à la dénonciation. De plus, il avait des liens auparavant avec son grand-père à qui il n’a visiblement pas tout dit </w:t>
      </w:r>
      <w:r w:rsidR="00D420E2">
        <w:t xml:space="preserve">de ses activités illicites </w:t>
      </w:r>
      <w:r>
        <w:t>à l’époque.</w:t>
      </w:r>
      <w:r w:rsidR="00E028D2">
        <w:t xml:space="preserve"> </w:t>
      </w:r>
      <w:r>
        <w:t xml:space="preserve">Dans ce contexte, le poursuivant a de la difficulté à considérer que cette circonstance soit </w:t>
      </w:r>
      <w:r w:rsidR="00D420E2">
        <w:t>«</w:t>
      </w:r>
      <w:r w:rsidR="004B4F89">
        <w:t> </w:t>
      </w:r>
      <w:r>
        <w:t>100 % atténuante</w:t>
      </w:r>
      <w:r w:rsidR="004B4F89">
        <w:t> </w:t>
      </w:r>
      <w:r w:rsidR="00D420E2">
        <w:t>»</w:t>
      </w:r>
      <w:r>
        <w:t>.</w:t>
      </w:r>
    </w:p>
    <w:p w:rsidR="00AA533D" w:rsidRDefault="00DD71E8" w:rsidP="005F5804">
      <w:pPr>
        <w:pStyle w:val="Paragraphe"/>
        <w:tabs>
          <w:tab w:val="clear" w:pos="360"/>
        </w:tabs>
        <w:spacing w:line="240" w:lineRule="auto"/>
      </w:pPr>
      <w:r>
        <w:t>Il convient de nuancer.</w:t>
      </w:r>
    </w:p>
    <w:p w:rsidR="00AA533D" w:rsidRDefault="00DD71E8" w:rsidP="005F5804">
      <w:pPr>
        <w:pStyle w:val="Paragraphe"/>
        <w:tabs>
          <w:tab w:val="clear" w:pos="360"/>
        </w:tabs>
        <w:spacing w:line="240" w:lineRule="auto"/>
      </w:pPr>
      <w:r>
        <w:t>Contrairement à ce que prétend le poursuivant, le Tribunal constate d’emblée que la situation actuelle de l’accusé est incomparable à celle qui prévalait au moment des crimes.</w:t>
      </w:r>
    </w:p>
    <w:p w:rsidR="00AA533D" w:rsidRDefault="00DD71E8" w:rsidP="005F5804">
      <w:pPr>
        <w:pStyle w:val="Paragraphe"/>
        <w:tabs>
          <w:tab w:val="clear" w:pos="360"/>
        </w:tabs>
        <w:spacing w:line="240" w:lineRule="auto"/>
      </w:pPr>
      <w:r>
        <w:t xml:space="preserve">Premièrement, sa conjointe est certes la même. Notons néanmoins que les accusations </w:t>
      </w:r>
      <w:r w:rsidR="00E028D2">
        <w:t xml:space="preserve">auxquelles elle faisait face </w:t>
      </w:r>
      <w:r>
        <w:t>ont été retirées</w:t>
      </w:r>
      <w:r>
        <w:rPr>
          <w:rStyle w:val="Appelnotedebasdep"/>
        </w:rPr>
        <w:footnoteReference w:id="40"/>
      </w:r>
      <w:r>
        <w:t>.</w:t>
      </w:r>
      <w:r w:rsidR="00E028D2">
        <w:t xml:space="preserve"> Elle n’a aucun antécédent judiciaire et aucune dépendance à des substances intoxicantes</w:t>
      </w:r>
      <w:r>
        <w:rPr>
          <w:rStyle w:val="Appelnotedebasdep"/>
        </w:rPr>
        <w:footnoteReference w:id="41"/>
      </w:r>
      <w:r w:rsidR="00E028D2">
        <w:t>.</w:t>
      </w:r>
    </w:p>
    <w:p w:rsidR="007C6274" w:rsidRDefault="00DD71E8" w:rsidP="005F5804">
      <w:pPr>
        <w:pStyle w:val="Paragraphe"/>
        <w:tabs>
          <w:tab w:val="clear" w:pos="360"/>
        </w:tabs>
        <w:spacing w:line="240" w:lineRule="auto"/>
      </w:pPr>
      <w:r>
        <w:t>Deuxièmement, l’accusé est maintenant père d’un jeune enfant.</w:t>
      </w:r>
      <w:r w:rsidR="00E028D2">
        <w:t xml:space="preserve"> Or, il veut être présent pour lui afin de lui offrir un modèle paternel digne, ce dont il n’a pu bénéficier personnellement, son père ayant été absent pour diverses raisons.</w:t>
      </w:r>
    </w:p>
    <w:p w:rsidR="00AA533D" w:rsidRDefault="00DD71E8" w:rsidP="005F5804">
      <w:pPr>
        <w:pStyle w:val="Paragraphe"/>
        <w:tabs>
          <w:tab w:val="clear" w:pos="360"/>
        </w:tabs>
        <w:spacing w:line="240" w:lineRule="auto"/>
      </w:pPr>
      <w:r>
        <w:t>Troisièmement, il appert que la relation entre l’accusé et son grand-père s’est solidifié</w:t>
      </w:r>
      <w:r w:rsidR="00D420E2">
        <w:t>e</w:t>
      </w:r>
      <w:r>
        <w:t xml:space="preserve"> puisque la preuve révèle qu’il n’y a plus de </w:t>
      </w:r>
      <w:r w:rsidR="00A9644C">
        <w:t>sujets tabous</w:t>
      </w:r>
      <w:r>
        <w:t xml:space="preserve"> entre eux.</w:t>
      </w:r>
    </w:p>
    <w:p w:rsidR="005F5804" w:rsidRDefault="00DD71E8" w:rsidP="00BA52BB">
      <w:pPr>
        <w:pStyle w:val="Paragraphe"/>
        <w:tabs>
          <w:tab w:val="clear" w:pos="360"/>
        </w:tabs>
        <w:spacing w:line="240" w:lineRule="auto"/>
      </w:pPr>
      <w:r>
        <w:t>Quatrièmement, l</w:t>
      </w:r>
      <w:r w:rsidR="005A0320">
        <w:t xml:space="preserve">’accusé témoigne que depuis les événements, il a coupé tous les liens </w:t>
      </w:r>
      <w:r w:rsidR="008B4CC5">
        <w:t>avec les membres de la famille de sa conjointe</w:t>
      </w:r>
      <w:r w:rsidR="009F5F4C">
        <w:t xml:space="preserve"> </w:t>
      </w:r>
      <w:r w:rsidR="00F16DAC">
        <w:t xml:space="preserve">ayant une influence négative en raison de leur implication </w:t>
      </w:r>
      <w:r w:rsidR="008B4CC5">
        <w:t>dans le trafic de drogue</w:t>
      </w:r>
      <w:r>
        <w:rPr>
          <w:rStyle w:val="Appelnotedebasdep"/>
        </w:rPr>
        <w:footnoteReference w:id="42"/>
      </w:r>
      <w:r w:rsidR="008B4CC5">
        <w:t>.</w:t>
      </w:r>
      <w:r>
        <w:t xml:space="preserve"> </w:t>
      </w:r>
    </w:p>
    <w:p w:rsidR="007C6274" w:rsidRDefault="00DD71E8" w:rsidP="00041D92">
      <w:pPr>
        <w:pStyle w:val="Paragraphe"/>
        <w:tabs>
          <w:tab w:val="clear" w:pos="360"/>
        </w:tabs>
        <w:spacing w:line="240" w:lineRule="auto"/>
      </w:pPr>
      <w:r>
        <w:t>Dans ce contexte, il est donc inexact de prétendre que la situation de l’accusé à ce jour est la même qu’avant.</w:t>
      </w:r>
      <w:r w:rsidR="00956BBF">
        <w:t xml:space="preserve"> </w:t>
      </w:r>
      <w:r>
        <w:t>Les changements que l’accusé a apportés à son réseau social constitue</w:t>
      </w:r>
      <w:r w:rsidR="00D420E2">
        <w:t>nt</w:t>
      </w:r>
      <w:r>
        <w:t xml:space="preserve"> sans contredit une circonstance atténuante.</w:t>
      </w:r>
    </w:p>
    <w:p w:rsidR="00C21583" w:rsidRPr="00C21583" w:rsidRDefault="00DD71E8" w:rsidP="00C21583">
      <w:pPr>
        <w:pStyle w:val="Paragraphe"/>
        <w:numPr>
          <w:ilvl w:val="0"/>
          <w:numId w:val="0"/>
        </w:numPr>
        <w:spacing w:line="240" w:lineRule="auto"/>
        <w:rPr>
          <w:b/>
          <w:bCs/>
        </w:rPr>
      </w:pPr>
      <w:r>
        <w:rPr>
          <w:b/>
          <w:bCs/>
        </w:rPr>
        <w:tab/>
      </w:r>
      <w:r w:rsidRPr="006B2775">
        <w:rPr>
          <w:b/>
          <w:bCs/>
        </w:rPr>
        <w:t>Le rapport présentenciel positif</w:t>
      </w:r>
    </w:p>
    <w:p w:rsidR="00CD5F7D" w:rsidRDefault="00DD71E8" w:rsidP="0004384B">
      <w:pPr>
        <w:pStyle w:val="Paragraphe"/>
        <w:tabs>
          <w:tab w:val="clear" w:pos="360"/>
        </w:tabs>
        <w:spacing w:line="240" w:lineRule="auto"/>
      </w:pPr>
      <w:r>
        <w:t>Les informations mentionnées précédemment sont</w:t>
      </w:r>
      <w:r w:rsidR="003B38B3">
        <w:t>,</w:t>
      </w:r>
      <w:r>
        <w:t xml:space="preserve"> </w:t>
      </w:r>
      <w:r w:rsidR="003B38B3">
        <w:t xml:space="preserve">de façon générale, </w:t>
      </w:r>
      <w:r>
        <w:t xml:space="preserve">confirmées par l’agent de probation </w:t>
      </w:r>
      <w:r w:rsidR="00C21583">
        <w:t>qui a consigné le tout dans son rapport présentenciel</w:t>
      </w:r>
      <w:r w:rsidR="003B38B3">
        <w:t>. Notons que celui-ci met en lumière un portrait positif de la situation de l’accusé</w:t>
      </w:r>
      <w:r>
        <w:rPr>
          <w:rStyle w:val="Appelnotedebasdep"/>
        </w:rPr>
        <w:footnoteReference w:id="43"/>
      </w:r>
      <w:r w:rsidR="003B38B3">
        <w:t xml:space="preserve"> ainsi que sa bonne </w:t>
      </w:r>
      <w:r>
        <w:t xml:space="preserve">collaboration </w:t>
      </w:r>
      <w:r w:rsidR="003B38B3">
        <w:t xml:space="preserve">en ayant répondu </w:t>
      </w:r>
      <w:r>
        <w:t>ouvertement aux questions posées</w:t>
      </w:r>
      <w:r w:rsidR="003B38B3">
        <w:t xml:space="preserve"> et en ayant permis </w:t>
      </w:r>
      <w:r>
        <w:t xml:space="preserve">à l’agent de communiquer avec </w:t>
      </w:r>
      <w:r w:rsidR="003B38B3">
        <w:t>des personnes-ressources</w:t>
      </w:r>
      <w:r>
        <w:t>.</w:t>
      </w:r>
    </w:p>
    <w:p w:rsidR="008B4CC5" w:rsidRDefault="00DD71E8" w:rsidP="00344306">
      <w:pPr>
        <w:pStyle w:val="Paragraphe"/>
        <w:tabs>
          <w:tab w:val="clear" w:pos="360"/>
        </w:tabs>
        <w:spacing w:line="240" w:lineRule="auto"/>
      </w:pPr>
      <w:r>
        <w:t xml:space="preserve">Tout comme l’agent de probation, le Tribunal a pu constater à quel point l’accusé a fait preuve </w:t>
      </w:r>
      <w:r w:rsidR="00497781">
        <w:t xml:space="preserve">d’authenticité, </w:t>
      </w:r>
      <w:r>
        <w:t>d’ouverture et d’introspection lorsqu’il a livré son témoignage. Ces éléments sont assurément atténuants et le Tribunal doit les considérer.</w:t>
      </w:r>
    </w:p>
    <w:p w:rsidR="00700107" w:rsidRDefault="00DD71E8" w:rsidP="00700107">
      <w:pPr>
        <w:pStyle w:val="Paragraphe"/>
        <w:numPr>
          <w:ilvl w:val="0"/>
          <w:numId w:val="0"/>
        </w:numPr>
        <w:spacing w:line="240" w:lineRule="auto"/>
      </w:pPr>
      <w:r>
        <w:rPr>
          <w:b/>
          <w:bCs/>
        </w:rPr>
        <w:tab/>
        <w:t>L</w:t>
      </w:r>
      <w:r w:rsidRPr="006B2775">
        <w:rPr>
          <w:b/>
          <w:bCs/>
        </w:rPr>
        <w:t>e faible risque de récidive</w:t>
      </w:r>
    </w:p>
    <w:p w:rsidR="00344306" w:rsidRDefault="00DD71E8" w:rsidP="00344306">
      <w:pPr>
        <w:pStyle w:val="Paragraphe"/>
        <w:tabs>
          <w:tab w:val="clear" w:pos="360"/>
        </w:tabs>
        <w:spacing w:line="240" w:lineRule="auto"/>
      </w:pPr>
      <w:r>
        <w:t xml:space="preserve">Quant au risque de récidive, l’agent soutient qu’il ne peut être écarté et qu’il demeure tributaire des efforts de l’accusé à </w:t>
      </w:r>
      <w:r w:rsidR="00D70D93">
        <w:t xml:space="preserve">continuer de </w:t>
      </w:r>
      <w:r>
        <w:t xml:space="preserve">faire des choix judicieux en </w:t>
      </w:r>
      <w:r w:rsidR="0049793C">
        <w:t>s’assurant</w:t>
      </w:r>
      <w:r w:rsidR="00D70D93">
        <w:t>,</w:t>
      </w:r>
      <w:r w:rsidR="0049793C">
        <w:t xml:space="preserve"> </w:t>
      </w:r>
      <w:r w:rsidR="00D70D93">
        <w:t xml:space="preserve">d’une part, </w:t>
      </w:r>
      <w:r w:rsidR="0049793C">
        <w:t xml:space="preserve">d’être </w:t>
      </w:r>
      <w:r>
        <w:t>« imperméable aux influences négatives » et</w:t>
      </w:r>
      <w:r w:rsidR="00D70D93">
        <w:t xml:space="preserve"> d’autre part, en demeurant un</w:t>
      </w:r>
      <w:r>
        <w:t xml:space="preserve"> actif </w:t>
      </w:r>
      <w:r w:rsidR="00DA679C">
        <w:t>sur le</w:t>
      </w:r>
      <w:r>
        <w:t xml:space="preserve"> plan occupationnel</w:t>
      </w:r>
      <w:r>
        <w:rPr>
          <w:rStyle w:val="Appelnotedebasdep"/>
        </w:rPr>
        <w:footnoteReference w:id="44"/>
      </w:r>
      <w:r>
        <w:t xml:space="preserve">. </w:t>
      </w:r>
      <w:r w:rsidR="00D70D93">
        <w:t>Ces comportements favoriseront ainsi le maintien de ses acquis.</w:t>
      </w:r>
      <w:r>
        <w:t xml:space="preserve"> </w:t>
      </w:r>
    </w:p>
    <w:p w:rsidR="007C6274" w:rsidRDefault="00DD71E8" w:rsidP="00344306">
      <w:pPr>
        <w:pStyle w:val="Paragraphe"/>
        <w:tabs>
          <w:tab w:val="clear" w:pos="360"/>
        </w:tabs>
        <w:spacing w:line="240" w:lineRule="auto"/>
      </w:pPr>
      <w:r>
        <w:t xml:space="preserve">À ce jour, le Tribunal ne possède aucune information voulant que l’accusé ait dévié de son objectif de réhabilitation. Le risque de récidive appert donc plutôt faible dans ce contexte. L’encadrement proposé par les parties, auquel adhérera le Tribunal, </w:t>
      </w:r>
      <w:r w:rsidR="00676764">
        <w:t xml:space="preserve">contribuera sans aucun doute à atténuer </w:t>
      </w:r>
      <w:r>
        <w:t>davantage ce risque</w:t>
      </w:r>
      <w:r>
        <w:rPr>
          <w:rStyle w:val="Appelnotedebasdep"/>
        </w:rPr>
        <w:footnoteReference w:id="45"/>
      </w:r>
      <w:r>
        <w:t xml:space="preserve">. </w:t>
      </w:r>
    </w:p>
    <w:p w:rsidR="00760AF0" w:rsidRDefault="00DD71E8" w:rsidP="00F578FC">
      <w:pPr>
        <w:pStyle w:val="Paragraphe"/>
        <w:numPr>
          <w:ilvl w:val="0"/>
          <w:numId w:val="0"/>
        </w:numPr>
        <w:spacing w:line="240" w:lineRule="auto"/>
      </w:pPr>
      <w:r>
        <w:rPr>
          <w:b/>
          <w:szCs w:val="24"/>
        </w:rPr>
        <w:t xml:space="preserve">Les </w:t>
      </w:r>
      <w:r w:rsidRPr="00F12213">
        <w:rPr>
          <w:b/>
        </w:rPr>
        <w:t xml:space="preserve">autres facteurs </w:t>
      </w:r>
      <w:r w:rsidRPr="00956BBF">
        <w:rPr>
          <w:b/>
        </w:rPr>
        <w:t>favorables</w:t>
      </w:r>
      <w:r w:rsidRPr="00F12213">
        <w:rPr>
          <w:b/>
        </w:rPr>
        <w:t xml:space="preserve"> à l’accusé</w:t>
      </w:r>
      <w:r>
        <w:t xml:space="preserve"> </w:t>
      </w:r>
    </w:p>
    <w:p w:rsidR="00E028D2" w:rsidRDefault="00DD71E8" w:rsidP="00E028D2">
      <w:pPr>
        <w:pStyle w:val="Paragraphe"/>
        <w:tabs>
          <w:tab w:val="clear" w:pos="360"/>
        </w:tabs>
        <w:spacing w:line="240" w:lineRule="auto"/>
      </w:pPr>
      <w:r>
        <w:t xml:space="preserve">Même si certains autres facteurs favorables à l’accusé ne sont pas, en soi, atténuants, ils doivent </w:t>
      </w:r>
      <w:r w:rsidR="00F578FC">
        <w:t>tout de même</w:t>
      </w:r>
      <w:r>
        <w:t xml:space="preserve"> être pris en considération.</w:t>
      </w:r>
    </w:p>
    <w:p w:rsidR="00760AF0" w:rsidRPr="00BD7821" w:rsidRDefault="00DD71E8" w:rsidP="00760AF0">
      <w:pPr>
        <w:pStyle w:val="Paragraphe"/>
        <w:numPr>
          <w:ilvl w:val="0"/>
          <w:numId w:val="0"/>
        </w:numPr>
        <w:spacing w:line="240" w:lineRule="auto"/>
        <w:rPr>
          <w:b/>
        </w:rPr>
      </w:pPr>
      <w:r>
        <w:tab/>
      </w:r>
      <w:r w:rsidRPr="00BD7821">
        <w:rPr>
          <w:b/>
        </w:rPr>
        <w:t>L</w:t>
      </w:r>
      <w:r>
        <w:rPr>
          <w:b/>
        </w:rPr>
        <w:t xml:space="preserve">’emploi occupé par </w:t>
      </w:r>
      <w:r w:rsidRPr="00BD7821">
        <w:rPr>
          <w:b/>
        </w:rPr>
        <w:t>l’accusé</w:t>
      </w:r>
      <w:r>
        <w:rPr>
          <w:b/>
        </w:rPr>
        <w:t xml:space="preserve"> </w:t>
      </w:r>
    </w:p>
    <w:p w:rsidR="00760AF0" w:rsidRDefault="00DD71E8" w:rsidP="00760AF0">
      <w:pPr>
        <w:pStyle w:val="Paragraphe"/>
        <w:spacing w:line="240" w:lineRule="auto"/>
      </w:pPr>
      <w:r>
        <w:t>Depuis le mois de novembre</w:t>
      </w:r>
      <w:r w:rsidR="004B4F89">
        <w:t> </w:t>
      </w:r>
      <w:r>
        <w:t xml:space="preserve">2019, l’accusé travaille pour l’entreprise Nelmar, une imprimerie de Terrebonne. Or, depuis son embauche, il a gravi les échelons et occupe maintenant un emploi d’opérateur de machinerie. Il a également un employé sous sa supervision. </w:t>
      </w:r>
    </w:p>
    <w:p w:rsidR="00760AF0" w:rsidRDefault="00DD71E8" w:rsidP="00760AF0">
      <w:pPr>
        <w:pStyle w:val="Paragraphe"/>
        <w:spacing w:line="240" w:lineRule="auto"/>
      </w:pPr>
      <w:r>
        <w:t>Il « adore » son emploi actuel qui lui permet de se développer positivement, tout en gagnant un bon salaire. L’accusé est également apprécié de son employeur. Il souhaite maintenir son emploi et continuer à évoluer au sein de cette entreprise qui a encore beaucoup d’opportunités à lui offrir.</w:t>
      </w:r>
    </w:p>
    <w:p w:rsidR="00760AF0" w:rsidRDefault="00DD71E8" w:rsidP="00760AF0">
      <w:pPr>
        <w:pStyle w:val="Paragraphe"/>
        <w:spacing w:line="240" w:lineRule="auto"/>
      </w:pPr>
      <w:r>
        <w:t>L’accusé ajoute néanmoins que s’il fait face à une peine d’emprisonnement ferme, il acceptera sa peine, mais note au passage que son emploi et ses acquis seraient à risque. En effet, la perte de son emploi lui occasionnerait sans contredit des conséquences financières importantes puisque sa conjointe ne pourrait subvenir seule aux besoins de la famille.</w:t>
      </w:r>
    </w:p>
    <w:p w:rsidR="00760AF0" w:rsidRDefault="00DD71E8" w:rsidP="00956BBF">
      <w:pPr>
        <w:pStyle w:val="Paragraphe"/>
        <w:spacing w:line="240" w:lineRule="auto"/>
      </w:pPr>
      <w:r>
        <w:t xml:space="preserve">La défense plaide que parce que l’emploi occupé par l’accusé le garde sur la bonne voie et le rend actif au sein de la société, il faut en favoriser son maintien. </w:t>
      </w:r>
    </w:p>
    <w:p w:rsidR="00760AF0" w:rsidRPr="0071356C" w:rsidRDefault="00DD71E8" w:rsidP="00760AF0">
      <w:pPr>
        <w:pStyle w:val="Paragraphe"/>
        <w:numPr>
          <w:ilvl w:val="0"/>
          <w:numId w:val="0"/>
        </w:numPr>
        <w:spacing w:line="240" w:lineRule="auto"/>
        <w:ind w:firstLine="734"/>
        <w:rPr>
          <w:b/>
          <w:bCs/>
        </w:rPr>
      </w:pPr>
      <w:r w:rsidRPr="0071356C">
        <w:rPr>
          <w:b/>
          <w:bCs/>
        </w:rPr>
        <w:t>L</w:t>
      </w:r>
      <w:r>
        <w:rPr>
          <w:b/>
          <w:bCs/>
        </w:rPr>
        <w:t>’accusé bénéficie du soutien de sa famille</w:t>
      </w:r>
      <w:r w:rsidR="00676764">
        <w:rPr>
          <w:b/>
          <w:bCs/>
        </w:rPr>
        <w:t>, dont celui de son grand-père</w:t>
      </w:r>
    </w:p>
    <w:p w:rsidR="00760AF0" w:rsidRDefault="00DD71E8" w:rsidP="00760AF0">
      <w:pPr>
        <w:pStyle w:val="Paragraphe"/>
        <w:tabs>
          <w:tab w:val="clear" w:pos="360"/>
        </w:tabs>
        <w:spacing w:line="240" w:lineRule="auto"/>
      </w:pPr>
      <w:r>
        <w:t>Le rapport présentenciel fait état que l’accusé bénéficie du soutien de sa famille, notamment de sa conjointe, qui</w:t>
      </w:r>
      <w:r w:rsidR="00E028D2">
        <w:t xml:space="preserve">, comme mentionné précédemment, </w:t>
      </w:r>
      <w:r>
        <w:t>a une influence positive sur lui.</w:t>
      </w:r>
    </w:p>
    <w:p w:rsidR="00760AF0" w:rsidRDefault="00DD71E8" w:rsidP="00760AF0">
      <w:pPr>
        <w:pStyle w:val="Paragraphe"/>
        <w:tabs>
          <w:tab w:val="clear" w:pos="360"/>
        </w:tabs>
        <w:spacing w:line="240" w:lineRule="auto"/>
      </w:pPr>
      <w:r>
        <w:t>La mère de l’accusé et son grand-père, M.</w:t>
      </w:r>
      <w:r w:rsidR="004B4F89">
        <w:t> </w:t>
      </w:r>
      <w:r>
        <w:t>Michel Dubois, sont également des personnes lui offrant du soutien.</w:t>
      </w:r>
    </w:p>
    <w:p w:rsidR="00760AF0" w:rsidRDefault="00DD71E8" w:rsidP="00760AF0">
      <w:pPr>
        <w:pStyle w:val="Paragraphe"/>
        <w:tabs>
          <w:tab w:val="clear" w:pos="360"/>
        </w:tabs>
        <w:spacing w:line="240" w:lineRule="auto"/>
      </w:pPr>
      <w:r>
        <w:t>Or, M.</w:t>
      </w:r>
      <w:r w:rsidR="004B4F89">
        <w:t> </w:t>
      </w:r>
      <w:r>
        <w:t xml:space="preserve">Dubois a témoigné dans le cadre des observations sur la peine. </w:t>
      </w:r>
    </w:p>
    <w:p w:rsidR="00760AF0" w:rsidRDefault="00DD71E8" w:rsidP="00760AF0">
      <w:pPr>
        <w:pStyle w:val="Paragraphe"/>
        <w:tabs>
          <w:tab w:val="clear" w:pos="360"/>
        </w:tabs>
        <w:spacing w:line="240" w:lineRule="auto"/>
      </w:pPr>
      <w:r>
        <w:t xml:space="preserve">Il se considère </w:t>
      </w:r>
      <w:r w:rsidR="00D420E2">
        <w:t xml:space="preserve">comme </w:t>
      </w:r>
      <w:r>
        <w:t>très proche de</w:t>
      </w:r>
      <w:r w:rsidR="00575116">
        <w:t xml:space="preserve"> s</w:t>
      </w:r>
      <w:r>
        <w:t>on petit-fils. D’une part, il est son parrain et d’autre part, a toujours agi à son égard comme un père. Ensemble, ils ont développé une relation de confiance, et ce, depuis que l’accusé est bébé.</w:t>
      </w:r>
    </w:p>
    <w:p w:rsidR="00760AF0" w:rsidRPr="00DF1978" w:rsidRDefault="00DD71E8" w:rsidP="00760AF0">
      <w:pPr>
        <w:pStyle w:val="Paragraphe"/>
        <w:tabs>
          <w:tab w:val="clear" w:pos="360"/>
        </w:tabs>
        <w:spacing w:line="240" w:lineRule="auto"/>
      </w:pPr>
      <w:r>
        <w:t>Lorsque M.</w:t>
      </w:r>
      <w:r w:rsidR="004B4F89">
        <w:t> </w:t>
      </w:r>
      <w:r>
        <w:t xml:space="preserve">Dubois apprend les accusations auxquelles fait face l’accusé (trafic de drogue), il en est très choqué puisque ce genre de comportement ne fait pas partie de son mode de vie ni de ses valeurs profondes. Malgré tout, il accepte d’agir comme caution pour lui afin d’assurer le respect des conditions de sa mise en </w:t>
      </w:r>
      <w:r w:rsidRPr="00572A3F">
        <w:t>liberté, conditions qui</w:t>
      </w:r>
      <w:r>
        <w:t xml:space="preserve">, à la connaissance du Tribunal, ont toujours </w:t>
      </w:r>
      <w:r w:rsidRPr="00572A3F">
        <w:t xml:space="preserve">été respectées </w:t>
      </w:r>
      <w:r>
        <w:t>à ce jour</w:t>
      </w:r>
      <w:r>
        <w:rPr>
          <w:rStyle w:val="Appelnotedebasdep"/>
        </w:rPr>
        <w:footnoteReference w:id="46"/>
      </w:r>
      <w:r w:rsidRPr="00572A3F">
        <w:t>. M.</w:t>
      </w:r>
      <w:r w:rsidR="004B4F89">
        <w:t> </w:t>
      </w:r>
      <w:r w:rsidRPr="00DF1978">
        <w:t xml:space="preserve">Dubois a </w:t>
      </w:r>
      <w:r>
        <w:t xml:space="preserve">ainsi </w:t>
      </w:r>
      <w:r w:rsidRPr="00DF1978">
        <w:t>beaucoup aidé l’accusé durant le processus judiciaire en cours</w:t>
      </w:r>
      <w:r>
        <w:rPr>
          <w:rStyle w:val="Appelnotedebasdep"/>
        </w:rPr>
        <w:footnoteReference w:id="47"/>
      </w:r>
      <w:r w:rsidRPr="00DF1978">
        <w:t>.</w:t>
      </w:r>
    </w:p>
    <w:p w:rsidR="00760AF0" w:rsidRDefault="00DD71E8" w:rsidP="00441978">
      <w:pPr>
        <w:pStyle w:val="Paragraphe"/>
        <w:tabs>
          <w:tab w:val="clear" w:pos="360"/>
        </w:tabs>
        <w:spacing w:line="240" w:lineRule="auto"/>
      </w:pPr>
      <w:r>
        <w:t>M.</w:t>
      </w:r>
      <w:r w:rsidR="004B4F89">
        <w:t> </w:t>
      </w:r>
      <w:r>
        <w:t xml:space="preserve">Dubois considère que l’accusé a toujours été un « bon garçon », honnête et droit. </w:t>
      </w:r>
      <w:r w:rsidR="00575116">
        <w:t>De toute évidence</w:t>
      </w:r>
      <w:r w:rsidR="00676764">
        <w:t xml:space="preserve">, il n’était pas au fait des activités illicites auxquelles l’accusé </w:t>
      </w:r>
      <w:r w:rsidR="00575116">
        <w:t>s</w:t>
      </w:r>
      <w:r w:rsidR="00676764">
        <w:t xml:space="preserve">’adonnait. </w:t>
      </w:r>
      <w:r>
        <w:t>M.</w:t>
      </w:r>
      <w:r w:rsidR="00B53A64">
        <w:t> </w:t>
      </w:r>
      <w:r>
        <w:t xml:space="preserve">Dubois ne déresponsabilise pas l’accusé pour autant quant aux délits commis et n’en minimise pas la gravité non plus. </w:t>
      </w:r>
    </w:p>
    <w:p w:rsidR="00760AF0" w:rsidRDefault="00DD71E8" w:rsidP="00760AF0">
      <w:pPr>
        <w:pStyle w:val="Paragraphe"/>
        <w:tabs>
          <w:tab w:val="clear" w:pos="360"/>
        </w:tabs>
        <w:spacing w:line="240" w:lineRule="auto"/>
      </w:pPr>
      <w:r>
        <w:t>Néanmoins, depuis l’arrestation de l’accusé, celui-ci a « épaté » M.</w:t>
      </w:r>
      <w:r w:rsidR="00B53A64">
        <w:t> </w:t>
      </w:r>
      <w:r>
        <w:t xml:space="preserve">Dubois en termes </w:t>
      </w:r>
      <w:r w:rsidR="00D420E2">
        <w:t xml:space="preserve">de </w:t>
      </w:r>
      <w:r>
        <w:t xml:space="preserve">réhabilitation. Il soutient que l’accusé a repris sa vie en main avec beaucoup de maturité, notamment en s’occupant avec sérieux de son fils, en se </w:t>
      </w:r>
      <w:r w:rsidRPr="00C170A6">
        <w:t>trouvant un emploi</w:t>
      </w:r>
      <w:r>
        <w:t xml:space="preserve"> et en prenant toutes ses responsabilités à cœur. L’accusé démontre ainsi être très conscient d’avoir adopté un comportement délictuel inacceptable </w:t>
      </w:r>
      <w:r w:rsidRPr="00745396">
        <w:t xml:space="preserve">et est maintenant prêt à faire face aux conséquences de ses gestes, sans se défiler. </w:t>
      </w:r>
    </w:p>
    <w:p w:rsidR="00760AF0" w:rsidRDefault="00DD71E8" w:rsidP="00760AF0">
      <w:pPr>
        <w:pStyle w:val="Paragraphe"/>
        <w:tabs>
          <w:tab w:val="clear" w:pos="360"/>
        </w:tabs>
        <w:spacing w:line="240" w:lineRule="auto"/>
      </w:pPr>
      <w:r>
        <w:t>Tout comme l’agent de probation, M.</w:t>
      </w:r>
      <w:r w:rsidR="00B53A64">
        <w:t> </w:t>
      </w:r>
      <w:r>
        <w:t xml:space="preserve">Dubois atteste que le processus judiciaire a eu un impact positif sur la vie de l’accusé. </w:t>
      </w:r>
    </w:p>
    <w:p w:rsidR="00760AF0" w:rsidRDefault="00DD71E8" w:rsidP="00E028D2">
      <w:pPr>
        <w:pStyle w:val="Paragraphe"/>
        <w:tabs>
          <w:tab w:val="clear" w:pos="360"/>
        </w:tabs>
        <w:spacing w:line="240" w:lineRule="auto"/>
      </w:pPr>
      <w:r>
        <w:t>Voilà pourquoi M.</w:t>
      </w:r>
      <w:r w:rsidR="00B53A64">
        <w:t> </w:t>
      </w:r>
      <w:r>
        <w:t xml:space="preserve">Dubois demande au Tribunal d’imposer une peine </w:t>
      </w:r>
      <w:r w:rsidR="00575116">
        <w:t xml:space="preserve">qui permettrait à </w:t>
      </w:r>
      <w:r>
        <w:t xml:space="preserve">l’accusé </w:t>
      </w:r>
      <w:r w:rsidR="00575116">
        <w:t xml:space="preserve">de ne pas </w:t>
      </w:r>
      <w:r>
        <w:t xml:space="preserve">priver son enfant de </w:t>
      </w:r>
      <w:r w:rsidR="00575116">
        <w:t xml:space="preserve">l’amour qu’il lui </w:t>
      </w:r>
      <w:r w:rsidR="00F578FC">
        <w:t>offre</w:t>
      </w:r>
      <w:r>
        <w:t>.</w:t>
      </w:r>
    </w:p>
    <w:p w:rsidR="00D27CF0" w:rsidRPr="00D03A8A" w:rsidRDefault="00DD71E8" w:rsidP="008B4CC5">
      <w:pPr>
        <w:pStyle w:val="Paragraphe"/>
        <w:numPr>
          <w:ilvl w:val="0"/>
          <w:numId w:val="0"/>
        </w:numPr>
        <w:spacing w:line="240" w:lineRule="auto"/>
      </w:pPr>
      <w:r w:rsidRPr="008B4CC5">
        <w:rPr>
          <w:b/>
          <w:bCs/>
        </w:rPr>
        <w:t xml:space="preserve">Les circonstances </w:t>
      </w:r>
      <w:r w:rsidRPr="00575116">
        <w:rPr>
          <w:b/>
          <w:bCs/>
        </w:rPr>
        <w:t>neutres</w:t>
      </w:r>
    </w:p>
    <w:p w:rsidR="006B410B" w:rsidRDefault="00DD71E8" w:rsidP="00BB668A">
      <w:pPr>
        <w:pStyle w:val="Paragraphe"/>
        <w:numPr>
          <w:ilvl w:val="0"/>
          <w:numId w:val="0"/>
        </w:numPr>
        <w:spacing w:line="240" w:lineRule="auto"/>
        <w:rPr>
          <w:b/>
          <w:bCs/>
        </w:rPr>
      </w:pPr>
      <w:r>
        <w:rPr>
          <w:b/>
          <w:bCs/>
        </w:rPr>
        <w:tab/>
        <w:t>L’absence d’antécédents judiciaires</w:t>
      </w:r>
    </w:p>
    <w:p w:rsidR="00F16DAC" w:rsidRDefault="00DD71E8" w:rsidP="006B410B">
      <w:pPr>
        <w:pStyle w:val="Paragraphe"/>
        <w:spacing w:line="240" w:lineRule="auto"/>
      </w:pPr>
      <w:r>
        <w:t>L’accusé fait face à la justice en matière criminelle pour la première fois.</w:t>
      </w:r>
    </w:p>
    <w:p w:rsidR="006B410B" w:rsidRDefault="00DD71E8" w:rsidP="006B410B">
      <w:pPr>
        <w:pStyle w:val="Paragraphe"/>
        <w:spacing w:line="240" w:lineRule="auto"/>
      </w:pPr>
      <w:r>
        <w:t>Les parties s’entendent pour dire que l’absence d’antécédents judiciaires de l’accusé constitue une circonstance atténuante</w:t>
      </w:r>
      <w:r w:rsidR="00591C81">
        <w:t>.</w:t>
      </w:r>
    </w:p>
    <w:p w:rsidR="006B410B" w:rsidRDefault="00DD71E8" w:rsidP="006B410B">
      <w:pPr>
        <w:pStyle w:val="Paragraphe"/>
        <w:spacing w:line="240" w:lineRule="auto"/>
      </w:pPr>
      <w:r>
        <w:t>Avec égards, le Tribunal est en désaccord.</w:t>
      </w:r>
    </w:p>
    <w:p w:rsidR="00591C81" w:rsidRDefault="00DD71E8" w:rsidP="006B410B">
      <w:pPr>
        <w:pStyle w:val="Paragraphe"/>
        <w:spacing w:line="240" w:lineRule="auto"/>
      </w:pPr>
      <w:r>
        <w:t>Bien que l’absence d’antécédent</w:t>
      </w:r>
      <w:r w:rsidR="006571BA">
        <w:t>s</w:t>
      </w:r>
      <w:r>
        <w:t xml:space="preserve"> judiciaire</w:t>
      </w:r>
      <w:r w:rsidR="006571BA">
        <w:t>s</w:t>
      </w:r>
      <w:r>
        <w:t xml:space="preserve"> constitue un élément pertinent et favorable à l’accusé, il n</w:t>
      </w:r>
      <w:r w:rsidR="008B765C">
        <w:t xml:space="preserve">’en constitue pas pour autant </w:t>
      </w:r>
      <w:r>
        <w:t>une circonstance atténuante. Pourquoi? Essentiellement parce que l’absence d’une circonstance aggravante</w:t>
      </w:r>
      <w:r>
        <w:rPr>
          <w:rStyle w:val="Appelnotedebasdep"/>
        </w:rPr>
        <w:footnoteReference w:id="48"/>
      </w:r>
      <w:r>
        <w:t xml:space="preserve"> n’est pas atténuante</w:t>
      </w:r>
      <w:r w:rsidR="00D420E2">
        <w:t>,</w:t>
      </w:r>
      <w:r>
        <w:t xml:space="preserve"> et </w:t>
      </w:r>
      <w:r w:rsidRPr="006B410B">
        <w:rPr>
          <w:i/>
          <w:iCs/>
        </w:rPr>
        <w:t>vice versa</w:t>
      </w:r>
      <w:r>
        <w:rPr>
          <w:rStyle w:val="Appelnotedebasdep"/>
          <w:iCs/>
          <w:szCs w:val="24"/>
        </w:rPr>
        <w:footnoteReference w:id="49"/>
      </w:r>
      <w:r w:rsidRPr="00194F4D">
        <w:rPr>
          <w:szCs w:val="24"/>
        </w:rPr>
        <w:t>.</w:t>
      </w:r>
      <w:r>
        <w:t xml:space="preserve"> </w:t>
      </w:r>
      <w:r w:rsidR="000D5442">
        <w:t xml:space="preserve">Autrement dit, </w:t>
      </w:r>
      <w:r>
        <w:t xml:space="preserve">si l’accusé avait eu des antécédents judiciaires, la peine aurait </w:t>
      </w:r>
      <w:r w:rsidR="000D5442">
        <w:t>pu être alourdie</w:t>
      </w:r>
      <w:r w:rsidR="00E21744">
        <w:t>, mais non l’inverse</w:t>
      </w:r>
      <w:r w:rsidR="000D5442">
        <w:t>.</w:t>
      </w:r>
    </w:p>
    <w:p w:rsidR="006B410B" w:rsidRDefault="00DD71E8" w:rsidP="006B410B">
      <w:pPr>
        <w:pStyle w:val="Paragraphe"/>
        <w:spacing w:line="240" w:lineRule="auto"/>
      </w:pPr>
      <w:r>
        <w:t xml:space="preserve">Au surplus, comme le souligne le juge dans l’affaire </w:t>
      </w:r>
      <w:r w:rsidRPr="00591C81">
        <w:rPr>
          <w:i/>
          <w:iCs/>
        </w:rPr>
        <w:t>Laforgia</w:t>
      </w:r>
      <w:r>
        <w:rPr>
          <w:rStyle w:val="Appelnotedebasdep"/>
        </w:rPr>
        <w:footnoteReference w:id="50"/>
      </w:r>
      <w:r>
        <w:t>, l’appel à des personnes peu criminalisées par les réseaux de trafiquants constitue un avantage puisqu’</w:t>
      </w:r>
      <w:r w:rsidR="008B765C">
        <w:t>ils passent ainsi</w:t>
      </w:r>
      <w:r>
        <w:t xml:space="preserve"> sous le radar des policiers.</w:t>
      </w:r>
    </w:p>
    <w:p w:rsidR="006B410B" w:rsidRPr="006B410B" w:rsidRDefault="00DD71E8" w:rsidP="000D5442">
      <w:pPr>
        <w:pStyle w:val="Paragraphe"/>
        <w:spacing w:line="240" w:lineRule="auto"/>
      </w:pPr>
      <w:r>
        <w:rPr>
          <w:szCs w:val="24"/>
        </w:rPr>
        <w:t xml:space="preserve">En l’espèce, considérant ce qui précède, l’absence d’antécédents judiciaires constitue tout </w:t>
      </w:r>
      <w:r w:rsidRPr="006B410B">
        <w:rPr>
          <w:szCs w:val="24"/>
        </w:rPr>
        <w:t>au plus une circonstance neutre</w:t>
      </w:r>
      <w:r>
        <w:rPr>
          <w:rStyle w:val="Appelnotedebasdep"/>
          <w:szCs w:val="24"/>
        </w:rPr>
        <w:footnoteReference w:id="51"/>
      </w:r>
      <w:r w:rsidR="000D5442">
        <w:rPr>
          <w:szCs w:val="24"/>
        </w:rPr>
        <w:t>.</w:t>
      </w:r>
    </w:p>
    <w:p w:rsidR="00BB668A" w:rsidRPr="00BB668A" w:rsidRDefault="00DD71E8" w:rsidP="00BB668A">
      <w:pPr>
        <w:pStyle w:val="Paragraphe"/>
        <w:numPr>
          <w:ilvl w:val="0"/>
          <w:numId w:val="0"/>
        </w:numPr>
        <w:spacing w:line="240" w:lineRule="auto"/>
        <w:rPr>
          <w:b/>
          <w:bCs/>
        </w:rPr>
      </w:pPr>
      <w:r w:rsidRPr="00BB668A">
        <w:rPr>
          <w:b/>
          <w:bCs/>
        </w:rPr>
        <w:tab/>
        <w:t>Le délai entre la commission des crimes et le prononcé de la peine</w:t>
      </w:r>
    </w:p>
    <w:p w:rsidR="009C7B2D" w:rsidRDefault="00DD71E8" w:rsidP="00FF2E43">
      <w:pPr>
        <w:pStyle w:val="Paragraphe"/>
        <w:spacing w:line="240" w:lineRule="auto"/>
      </w:pPr>
      <w:r>
        <w:t xml:space="preserve">Le long délai entre la commission des infractions (mars à septembre 2019) et le présent jugement constitue-t-il une circonstance atténuante? Le Tribunal </w:t>
      </w:r>
      <w:r w:rsidR="00B06D4D">
        <w:t>est convaincu que non</w:t>
      </w:r>
      <w:r>
        <w:t xml:space="preserve">. </w:t>
      </w:r>
    </w:p>
    <w:p w:rsidR="00D27CF0" w:rsidRDefault="00DD71E8" w:rsidP="00FF2E43">
      <w:pPr>
        <w:pStyle w:val="Paragraphe"/>
        <w:spacing w:line="240" w:lineRule="auto"/>
      </w:pPr>
      <w:r w:rsidRPr="00180243">
        <w:t xml:space="preserve">D’une part, la peine à imposer à l’accusé ne peut être atténuée parce qu’il a </w:t>
      </w:r>
      <w:r w:rsidR="0099298B" w:rsidRPr="00180243">
        <w:t>respecté ses conditions de mise en</w:t>
      </w:r>
      <w:r w:rsidR="0099298B">
        <w:t xml:space="preserve"> liberté</w:t>
      </w:r>
      <w:r>
        <w:t>, ce qui s’avère être la base, et ce, même si le</w:t>
      </w:r>
      <w:r w:rsidR="0073576B">
        <w:t>s</w:t>
      </w:r>
      <w:r w:rsidR="00B06D4D">
        <w:t xml:space="preserve"> délai</w:t>
      </w:r>
      <w:r w:rsidR="0073576B">
        <w:t>s</w:t>
      </w:r>
      <w:r w:rsidR="00B06D4D">
        <w:t xml:space="preserve"> </w:t>
      </w:r>
      <w:r w:rsidR="0073576B">
        <w:t xml:space="preserve">associés au processus judiciaire sont </w:t>
      </w:r>
      <w:r w:rsidR="00B06D4D">
        <w:t>long</w:t>
      </w:r>
      <w:r w:rsidR="0073576B">
        <w:t>s</w:t>
      </w:r>
      <w:r w:rsidR="00B06D4D">
        <w:t xml:space="preserve"> et </w:t>
      </w:r>
      <w:r w:rsidR="0073576B">
        <w:t>l</w:t>
      </w:r>
      <w:r w:rsidR="00B06D4D">
        <w:t xml:space="preserve">es </w:t>
      </w:r>
      <w:r>
        <w:t>conditions</w:t>
      </w:r>
      <w:r w:rsidR="00B06D4D">
        <w:t xml:space="preserve"> </w:t>
      </w:r>
      <w:r w:rsidR="0073576B">
        <w:t>strictes</w:t>
      </w:r>
      <w:r>
        <w:rPr>
          <w:rStyle w:val="Appelnotedebasdep"/>
        </w:rPr>
        <w:footnoteReference w:id="52"/>
      </w:r>
      <w:r>
        <w:t>.</w:t>
      </w:r>
    </w:p>
    <w:p w:rsidR="00D27CF0" w:rsidRDefault="00DD71E8" w:rsidP="00FF2E43">
      <w:pPr>
        <w:pStyle w:val="Paragraphe"/>
        <w:spacing w:line="240" w:lineRule="auto"/>
      </w:pPr>
      <w:r>
        <w:t xml:space="preserve">D’autre part, la nécessité de respecter la volonté de la société de dénoncer les infractions </w:t>
      </w:r>
      <w:r w:rsidR="00B06D4D">
        <w:t xml:space="preserve">très </w:t>
      </w:r>
      <w:r>
        <w:t xml:space="preserve">graves en cause n’est pas diminuée par le passage du temps. Ce délai ne rend donc en rien inapplicables les principes de dénonciation et de dissuasion qui doivent être priorisés </w:t>
      </w:r>
      <w:r w:rsidR="00B06D4D">
        <w:t xml:space="preserve">au regard des </w:t>
      </w:r>
      <w:r>
        <w:t>crimes de cette nature.</w:t>
      </w:r>
    </w:p>
    <w:p w:rsidR="009C7B2D" w:rsidRDefault="00DD71E8" w:rsidP="00FF2E43">
      <w:pPr>
        <w:pStyle w:val="Paragraphe"/>
        <w:spacing w:line="240" w:lineRule="auto"/>
      </w:pPr>
      <w:r>
        <w:t xml:space="preserve">Ainsi, le fait que l’accusé n’a jamais brisé ses conditions de mise en liberté et qu’il n’a jamais récidivé sont </w:t>
      </w:r>
      <w:r w:rsidR="00D420E2">
        <w:t xml:space="preserve">certes </w:t>
      </w:r>
      <w:r>
        <w:t xml:space="preserve">des éléments </w:t>
      </w:r>
      <w:r w:rsidR="006B410B">
        <w:t>à considérer</w:t>
      </w:r>
      <w:r>
        <w:t xml:space="preserve">, mais </w:t>
      </w:r>
      <w:r w:rsidR="006B410B">
        <w:t xml:space="preserve">qui </w:t>
      </w:r>
      <w:r>
        <w:t>ne peuvent mériter un allègement de peine pour autant</w:t>
      </w:r>
      <w:r w:rsidR="00D420E2">
        <w:t>.</w:t>
      </w:r>
      <w:r>
        <w:t xml:space="preserve"> Voilà pourquoi </w:t>
      </w:r>
      <w:r w:rsidR="006B410B">
        <w:t xml:space="preserve">ces éléments </w:t>
      </w:r>
      <w:r>
        <w:t>constitue</w:t>
      </w:r>
      <w:r w:rsidR="006B410B">
        <w:t>nt</w:t>
      </w:r>
      <w:r>
        <w:t xml:space="preserve"> une circonstance </w:t>
      </w:r>
      <w:r w:rsidR="006B410B">
        <w:t xml:space="preserve">pertinente en l’occurrence, mais somme toute </w:t>
      </w:r>
      <w:r>
        <w:t>neutre</w:t>
      </w:r>
      <w:r>
        <w:rPr>
          <w:rStyle w:val="Appelnotedebasdep"/>
        </w:rPr>
        <w:footnoteReference w:id="53"/>
      </w:r>
      <w:r>
        <w:t>.</w:t>
      </w:r>
    </w:p>
    <w:p w:rsidR="00BB668A" w:rsidRPr="00BB668A" w:rsidRDefault="00DD71E8" w:rsidP="00BB668A">
      <w:pPr>
        <w:pStyle w:val="Paragraphe"/>
        <w:numPr>
          <w:ilvl w:val="0"/>
          <w:numId w:val="0"/>
        </w:numPr>
        <w:spacing w:line="240" w:lineRule="auto"/>
        <w:rPr>
          <w:b/>
          <w:bCs/>
        </w:rPr>
      </w:pPr>
      <w:r>
        <w:tab/>
      </w:r>
      <w:r w:rsidRPr="00BB668A">
        <w:rPr>
          <w:b/>
          <w:bCs/>
        </w:rPr>
        <w:t>L</w:t>
      </w:r>
      <w:r w:rsidR="00FF0633">
        <w:rPr>
          <w:b/>
          <w:bCs/>
        </w:rPr>
        <w:t xml:space="preserve">’état </w:t>
      </w:r>
      <w:r w:rsidRPr="00BB668A">
        <w:rPr>
          <w:b/>
          <w:bCs/>
        </w:rPr>
        <w:t xml:space="preserve">de santé de l’accusé </w:t>
      </w:r>
    </w:p>
    <w:p w:rsidR="00BB668A" w:rsidRPr="00740704" w:rsidRDefault="00DD71E8" w:rsidP="00BB668A">
      <w:pPr>
        <w:pStyle w:val="Paragraphe"/>
        <w:spacing w:line="240" w:lineRule="auto"/>
      </w:pPr>
      <w:r>
        <w:t>L’accusé affirme souffrir de problèmes respiratoires depuis son jeune âge, ayant fait à répétition des crises d’asthme</w:t>
      </w:r>
      <w:r>
        <w:rPr>
          <w:rStyle w:val="Appelnotedebasdep"/>
        </w:rPr>
        <w:footnoteReference w:id="54"/>
      </w:r>
      <w:r>
        <w:t xml:space="preserve">. Il a également fait deux péricardites qui fragilisent son cœur et </w:t>
      </w:r>
      <w:r w:rsidRPr="00740704">
        <w:t>qui peuvent provoquer des crises cardiaques</w:t>
      </w:r>
      <w:r>
        <w:rPr>
          <w:rStyle w:val="Appelnotedebasdep"/>
        </w:rPr>
        <w:footnoteReference w:id="55"/>
      </w:r>
      <w:r w:rsidRPr="00740704">
        <w:t>.</w:t>
      </w:r>
      <w:r w:rsidR="008F1D4F">
        <w:t xml:space="preserve"> M.</w:t>
      </w:r>
      <w:r w:rsidR="00BA6572">
        <w:t> </w:t>
      </w:r>
      <w:r w:rsidR="008F1D4F">
        <w:t>Dubois, grand-père de l’accusé, confirme ces faits.</w:t>
      </w:r>
    </w:p>
    <w:p w:rsidR="00740704" w:rsidRDefault="00DD71E8" w:rsidP="00740704">
      <w:pPr>
        <w:pStyle w:val="Paragraphe"/>
        <w:spacing w:line="240" w:lineRule="auto"/>
      </w:pPr>
      <w:r w:rsidRPr="00740704">
        <w:t>L</w:t>
      </w:r>
      <w:r w:rsidR="00226317">
        <w:t>e poursuivant</w:t>
      </w:r>
      <w:r w:rsidRPr="00740704">
        <w:t xml:space="preserve"> plaide que l’état de santé de l’accusé </w:t>
      </w:r>
      <w:r>
        <w:t xml:space="preserve">en l’espèce </w:t>
      </w:r>
      <w:r w:rsidRPr="00740704">
        <w:t>n’a aucune valeur atténuante dans le cadre de la détermination de la peine. Le Tribunal est d’accord. Voici pourquoi.</w:t>
      </w:r>
    </w:p>
    <w:p w:rsidR="00740704" w:rsidRDefault="00DD71E8" w:rsidP="00740704">
      <w:pPr>
        <w:pStyle w:val="Paragraphe"/>
        <w:spacing w:line="240" w:lineRule="auto"/>
        <w:rPr>
          <w:rFonts w:cs="Arial"/>
          <w:szCs w:val="24"/>
        </w:rPr>
      </w:pPr>
      <w:r w:rsidRPr="00740704">
        <w:rPr>
          <w:rFonts w:cs="Arial"/>
          <w:szCs w:val="24"/>
        </w:rPr>
        <w:t xml:space="preserve">Dans l’arrêt </w:t>
      </w:r>
      <w:r w:rsidRPr="00740704">
        <w:rPr>
          <w:rFonts w:cs="Arial"/>
          <w:i/>
          <w:szCs w:val="24"/>
        </w:rPr>
        <w:t>R.</w:t>
      </w:r>
      <w:r w:rsidRPr="00740704">
        <w:rPr>
          <w:rFonts w:cs="Arial"/>
          <w:szCs w:val="24"/>
        </w:rPr>
        <w:t xml:space="preserve"> c. </w:t>
      </w:r>
      <w:r w:rsidRPr="00740704">
        <w:rPr>
          <w:rFonts w:cs="Arial"/>
          <w:i/>
          <w:szCs w:val="24"/>
        </w:rPr>
        <w:t>D.B</w:t>
      </w:r>
      <w:r>
        <w:rPr>
          <w:rStyle w:val="Appelnotedebasdep"/>
          <w:rFonts w:cs="Arial"/>
          <w:iCs/>
          <w:szCs w:val="24"/>
        </w:rPr>
        <w:footnoteReference w:id="56"/>
      </w:r>
      <w:r w:rsidRPr="00740704">
        <w:rPr>
          <w:rFonts w:cs="Arial"/>
          <w:szCs w:val="24"/>
        </w:rPr>
        <w:t xml:space="preserve">, alors que la peine n’est pas encore déterminée, l’accusé apprend qu’il </w:t>
      </w:r>
      <w:r w:rsidRPr="00740704">
        <w:t>souffre</w:t>
      </w:r>
      <w:r w:rsidRPr="00740704">
        <w:rPr>
          <w:rFonts w:cs="Arial"/>
          <w:szCs w:val="24"/>
        </w:rPr>
        <w:t xml:space="preserve"> d’un cancer, est opéré à deux reprises et subit des traitements de</w:t>
      </w:r>
      <w:r w:rsidR="001019ED">
        <w:rPr>
          <w:rFonts w:cs="Arial"/>
          <w:szCs w:val="24"/>
        </w:rPr>
        <w:t xml:space="preserve"> </w:t>
      </w:r>
      <w:r w:rsidRPr="00740704">
        <w:rPr>
          <w:rFonts w:cs="Arial"/>
          <w:szCs w:val="24"/>
        </w:rPr>
        <w:t xml:space="preserve">chimiothérapie. Le juge de première instance souligne qu’il devrait normalement imposer à l’accusé, vu la gravité des gestes reprochés, une peine de six ans d’emprisonnement. Toutefois, en raison de sa santé précaire, il est d’avis qu’une peine de deux ans moins un jour d’emprisonnement dans la collectivité est plus appropriée. </w:t>
      </w:r>
    </w:p>
    <w:p w:rsidR="00740704" w:rsidRDefault="00DD71E8" w:rsidP="00740704">
      <w:pPr>
        <w:pStyle w:val="Paragraphe"/>
        <w:spacing w:line="240" w:lineRule="auto"/>
        <w:rPr>
          <w:rFonts w:cs="Arial"/>
          <w:szCs w:val="24"/>
        </w:rPr>
      </w:pPr>
      <w:r w:rsidRPr="00740704">
        <w:rPr>
          <w:rFonts w:cs="Arial"/>
          <w:szCs w:val="24"/>
        </w:rPr>
        <w:t>Le ministère public en appelle de cette décision.</w:t>
      </w:r>
    </w:p>
    <w:p w:rsidR="00740704" w:rsidRDefault="00DD71E8" w:rsidP="00740704">
      <w:pPr>
        <w:pStyle w:val="Paragraphe"/>
        <w:tabs>
          <w:tab w:val="num" w:pos="709"/>
        </w:tabs>
        <w:spacing w:line="240" w:lineRule="auto"/>
        <w:rPr>
          <w:rFonts w:cs="Arial"/>
          <w:szCs w:val="24"/>
        </w:rPr>
      </w:pPr>
      <w:r>
        <w:rPr>
          <w:rFonts w:cs="Arial"/>
          <w:szCs w:val="24"/>
        </w:rPr>
        <w:t>Or, l</w:t>
      </w:r>
      <w:r w:rsidRPr="00740704">
        <w:rPr>
          <w:rFonts w:cs="Arial"/>
          <w:szCs w:val="24"/>
        </w:rPr>
        <w:t>a Cour d’appel lui donne raison et rétablit la peine à 68</w:t>
      </w:r>
      <w:r w:rsidR="001019ED">
        <w:rPr>
          <w:rFonts w:cs="Arial"/>
          <w:szCs w:val="24"/>
        </w:rPr>
        <w:t> </w:t>
      </w:r>
      <w:r w:rsidRPr="00740704">
        <w:rPr>
          <w:rFonts w:cs="Arial"/>
          <w:szCs w:val="24"/>
        </w:rPr>
        <w:t>mois d’emprisonnement. Elle résume l’état de la jurisprudence pour illustrer que parfois, la peine peut être réduite pour des raisons humanitaires, en raison de la compassion accordée à l’accusé vu sa santé précaire, mais que dans certains autres cas, cette mesure ne s’y prête pas.</w:t>
      </w:r>
    </w:p>
    <w:p w:rsidR="00740704" w:rsidRDefault="00DD71E8" w:rsidP="00740704">
      <w:pPr>
        <w:pStyle w:val="Paragraphe"/>
        <w:tabs>
          <w:tab w:val="num" w:pos="709"/>
        </w:tabs>
        <w:spacing w:line="240" w:lineRule="auto"/>
        <w:rPr>
          <w:rFonts w:cs="Arial"/>
          <w:szCs w:val="24"/>
        </w:rPr>
      </w:pPr>
      <w:r w:rsidRPr="00740704">
        <w:rPr>
          <w:rFonts w:cs="Arial"/>
          <w:szCs w:val="24"/>
        </w:rPr>
        <w:t xml:space="preserve">En l’espèce, le même raisonnement s’applique: l’accusé n’est pas en phase terminale, n’est pas atteint d’un cancer incurable et son décès n’est pas imminent. Même s’il est atteint de troubles </w:t>
      </w:r>
      <w:r>
        <w:rPr>
          <w:rFonts w:cs="Arial"/>
          <w:szCs w:val="24"/>
        </w:rPr>
        <w:t xml:space="preserve">cardiaques </w:t>
      </w:r>
      <w:r w:rsidR="00226317">
        <w:rPr>
          <w:rFonts w:cs="Arial"/>
          <w:szCs w:val="24"/>
        </w:rPr>
        <w:t xml:space="preserve">et respiratoires </w:t>
      </w:r>
      <w:r>
        <w:rPr>
          <w:rFonts w:cs="Arial"/>
          <w:szCs w:val="24"/>
        </w:rPr>
        <w:t xml:space="preserve">le rendant plus vulnérable, </w:t>
      </w:r>
      <w:r w:rsidRPr="00740704">
        <w:rPr>
          <w:rFonts w:cs="Arial"/>
          <w:szCs w:val="24"/>
        </w:rPr>
        <w:t>ceci est insuffisant pour</w:t>
      </w:r>
      <w:r>
        <w:rPr>
          <w:rFonts w:cs="Arial"/>
          <w:szCs w:val="24"/>
        </w:rPr>
        <w:t xml:space="preserve"> atténuer la peine à lui imposer</w:t>
      </w:r>
      <w:r>
        <w:rPr>
          <w:rStyle w:val="Appelnotedebasdep"/>
          <w:rFonts w:cs="Arial"/>
          <w:szCs w:val="24"/>
        </w:rPr>
        <w:footnoteReference w:id="57"/>
      </w:r>
      <w:r>
        <w:rPr>
          <w:rFonts w:cs="Arial"/>
          <w:szCs w:val="24"/>
        </w:rPr>
        <w:t>.</w:t>
      </w:r>
      <w:r w:rsidRPr="00740704">
        <w:rPr>
          <w:rFonts w:cs="Arial"/>
          <w:szCs w:val="24"/>
        </w:rPr>
        <w:t xml:space="preserve"> </w:t>
      </w:r>
    </w:p>
    <w:p w:rsidR="00BF4D55" w:rsidRPr="00676764" w:rsidRDefault="00DD71E8" w:rsidP="00676764">
      <w:pPr>
        <w:pStyle w:val="Paragraphe"/>
        <w:tabs>
          <w:tab w:val="num" w:pos="709"/>
        </w:tabs>
        <w:spacing w:line="240" w:lineRule="auto"/>
        <w:rPr>
          <w:rFonts w:cs="Arial"/>
          <w:szCs w:val="24"/>
        </w:rPr>
      </w:pPr>
      <w:r w:rsidRPr="00740704">
        <w:rPr>
          <w:rFonts w:cs="Arial"/>
          <w:szCs w:val="24"/>
        </w:rPr>
        <w:t xml:space="preserve">Le Tribunal considère néanmoins que l’état de santé de l’accusé doit être pris en compte, parmi l’ensemble des éléments en cause. Cet élément n’est cependant pas déterminant </w:t>
      </w:r>
      <w:r>
        <w:rPr>
          <w:rFonts w:cs="Arial"/>
          <w:szCs w:val="24"/>
        </w:rPr>
        <w:t>ni atténuant en soi</w:t>
      </w:r>
      <w:r>
        <w:rPr>
          <w:rStyle w:val="Appelnotedebasdep"/>
          <w:rFonts w:cs="Arial"/>
          <w:szCs w:val="24"/>
        </w:rPr>
        <w:footnoteReference w:id="58"/>
      </w:r>
      <w:r w:rsidRPr="00740704">
        <w:rPr>
          <w:rFonts w:cs="Arial"/>
          <w:szCs w:val="24"/>
        </w:rPr>
        <w:t>.</w:t>
      </w:r>
    </w:p>
    <w:p w:rsidR="00440DBB" w:rsidRPr="00440DBB" w:rsidRDefault="00DD71E8" w:rsidP="00BF4D55">
      <w:pPr>
        <w:pStyle w:val="Paragraphe"/>
        <w:numPr>
          <w:ilvl w:val="0"/>
          <w:numId w:val="0"/>
        </w:numPr>
        <w:spacing w:line="240" w:lineRule="auto"/>
        <w:rPr>
          <w:rFonts w:cs="Arial"/>
          <w:b/>
          <w:bCs/>
          <w:szCs w:val="24"/>
        </w:rPr>
      </w:pPr>
      <w:r>
        <w:rPr>
          <w:rFonts w:cs="Arial"/>
          <w:b/>
          <w:bCs/>
          <w:szCs w:val="24"/>
        </w:rPr>
        <w:tab/>
      </w:r>
      <w:r w:rsidR="00F46408">
        <w:rPr>
          <w:rFonts w:cs="Arial"/>
          <w:b/>
          <w:bCs/>
          <w:szCs w:val="24"/>
        </w:rPr>
        <w:t xml:space="preserve">Le rôle </w:t>
      </w:r>
      <w:r w:rsidR="00653886">
        <w:rPr>
          <w:rFonts w:cs="Arial"/>
          <w:b/>
          <w:bCs/>
          <w:szCs w:val="24"/>
        </w:rPr>
        <w:t xml:space="preserve">joué par </w:t>
      </w:r>
      <w:r w:rsidR="00F46408">
        <w:rPr>
          <w:rFonts w:cs="Arial"/>
          <w:b/>
          <w:bCs/>
          <w:szCs w:val="24"/>
        </w:rPr>
        <w:t xml:space="preserve">l’accusé au sein d’une organisation dite « structurée », mais </w:t>
      </w:r>
      <w:r w:rsidR="00F46408">
        <w:rPr>
          <w:rFonts w:cs="Arial"/>
          <w:b/>
          <w:bCs/>
          <w:szCs w:val="24"/>
        </w:rPr>
        <w:tab/>
        <w:t>non « criminelle »</w:t>
      </w:r>
      <w:r>
        <w:rPr>
          <w:rStyle w:val="Appelnotedebasdep"/>
          <w:rFonts w:cs="Arial"/>
          <w:b/>
          <w:bCs/>
          <w:szCs w:val="24"/>
        </w:rPr>
        <w:footnoteReference w:id="59"/>
      </w:r>
      <w:r w:rsidR="00F46408">
        <w:rPr>
          <w:rFonts w:cs="Arial"/>
          <w:b/>
          <w:bCs/>
          <w:szCs w:val="24"/>
        </w:rPr>
        <w:t xml:space="preserve"> </w:t>
      </w:r>
    </w:p>
    <w:p w:rsidR="00243E10" w:rsidRDefault="00DD71E8" w:rsidP="00740704">
      <w:pPr>
        <w:pStyle w:val="Paragraphe"/>
        <w:tabs>
          <w:tab w:val="num" w:pos="709"/>
        </w:tabs>
        <w:spacing w:line="240" w:lineRule="auto"/>
        <w:rPr>
          <w:rFonts w:cs="Arial"/>
          <w:szCs w:val="24"/>
        </w:rPr>
      </w:pPr>
      <w:r>
        <w:rPr>
          <w:rFonts w:cs="Arial"/>
          <w:szCs w:val="24"/>
        </w:rPr>
        <w:t>Le poursuivant plaide que le rôle joué par l’accusé dans l’organisation ne peut être pris à la légère parce qu’en son absence, il manque un maillon à la chaîne qui ne peut alors plus fonctionner.</w:t>
      </w:r>
      <w:r w:rsidR="005130C5">
        <w:rPr>
          <w:rFonts w:cs="Arial"/>
          <w:szCs w:val="24"/>
        </w:rPr>
        <w:t xml:space="preserve"> </w:t>
      </w:r>
    </w:p>
    <w:p w:rsidR="005130C5" w:rsidRDefault="00DD71E8" w:rsidP="008017AA">
      <w:pPr>
        <w:pStyle w:val="Paragraphe"/>
        <w:tabs>
          <w:tab w:val="num" w:pos="709"/>
        </w:tabs>
        <w:spacing w:line="240" w:lineRule="auto"/>
        <w:rPr>
          <w:rFonts w:cs="Arial"/>
          <w:szCs w:val="24"/>
        </w:rPr>
      </w:pPr>
      <w:r w:rsidRPr="00243E10">
        <w:rPr>
          <w:rFonts w:cs="Arial"/>
          <w:szCs w:val="24"/>
        </w:rPr>
        <w:t xml:space="preserve">De surcroît, </w:t>
      </w:r>
      <w:r w:rsidR="00E35785">
        <w:rPr>
          <w:rFonts w:cs="Arial"/>
          <w:szCs w:val="24"/>
        </w:rPr>
        <w:t xml:space="preserve">selon le poursuivant, </w:t>
      </w:r>
      <w:r w:rsidRPr="00243E10">
        <w:rPr>
          <w:rFonts w:cs="Arial"/>
          <w:szCs w:val="24"/>
        </w:rPr>
        <w:t>les quantités de drogues trouvées, les biens saisis et la période infractionnelle illustrent que chaque maillon dans la chaîne a son importance</w:t>
      </w:r>
      <w:r w:rsidR="00E35785">
        <w:rPr>
          <w:rFonts w:cs="Arial"/>
          <w:szCs w:val="24"/>
        </w:rPr>
        <w:t>: l</w:t>
      </w:r>
      <w:r w:rsidR="00C90A62" w:rsidRPr="00243E10">
        <w:rPr>
          <w:rFonts w:cs="Arial"/>
          <w:szCs w:val="24"/>
        </w:rPr>
        <w:t>’accusé n’agit pas seul</w:t>
      </w:r>
      <w:r>
        <w:rPr>
          <w:rFonts w:cs="Arial"/>
          <w:szCs w:val="24"/>
        </w:rPr>
        <w:t xml:space="preserve">, mais plutôt </w:t>
      </w:r>
      <w:r w:rsidRPr="00243E10">
        <w:rPr>
          <w:rFonts w:cs="Arial"/>
          <w:szCs w:val="24"/>
        </w:rPr>
        <w:t xml:space="preserve">au sein d’un </w:t>
      </w:r>
      <w:r w:rsidR="00C90A62" w:rsidRPr="00243E10">
        <w:rPr>
          <w:rFonts w:cs="Arial"/>
          <w:szCs w:val="24"/>
        </w:rPr>
        <w:t>milieu organisé.</w:t>
      </w:r>
      <w:r w:rsidRPr="00243E10">
        <w:rPr>
          <w:rFonts w:cs="Arial"/>
          <w:szCs w:val="24"/>
        </w:rPr>
        <w:t xml:space="preserve"> </w:t>
      </w:r>
    </w:p>
    <w:p w:rsidR="00243E10" w:rsidRDefault="00DD71E8" w:rsidP="008017AA">
      <w:pPr>
        <w:pStyle w:val="Paragraphe"/>
        <w:tabs>
          <w:tab w:val="num" w:pos="709"/>
        </w:tabs>
        <w:spacing w:line="240" w:lineRule="auto"/>
        <w:rPr>
          <w:rFonts w:cs="Arial"/>
          <w:szCs w:val="24"/>
        </w:rPr>
      </w:pPr>
      <w:r>
        <w:rPr>
          <w:rFonts w:cs="Arial"/>
          <w:szCs w:val="24"/>
        </w:rPr>
        <w:t>Le poursuivant précise néanmoins qu’il n’est pas question d’une organisation criminelle au sens du par</w:t>
      </w:r>
      <w:r w:rsidR="003412E8">
        <w:rPr>
          <w:rFonts w:cs="Arial"/>
          <w:szCs w:val="24"/>
        </w:rPr>
        <w:t>agraphe</w:t>
      </w:r>
      <w:r w:rsidR="00855422">
        <w:rPr>
          <w:rFonts w:cs="Arial"/>
          <w:szCs w:val="24"/>
        </w:rPr>
        <w:t> </w:t>
      </w:r>
      <w:r>
        <w:rPr>
          <w:rFonts w:cs="Arial"/>
          <w:szCs w:val="24"/>
        </w:rPr>
        <w:t>467.1(1) C.cr.</w:t>
      </w:r>
    </w:p>
    <w:p w:rsidR="00E35785" w:rsidRDefault="00DD71E8" w:rsidP="008017AA">
      <w:pPr>
        <w:pStyle w:val="Paragraphe"/>
        <w:tabs>
          <w:tab w:val="num" w:pos="709"/>
        </w:tabs>
        <w:spacing w:line="240" w:lineRule="auto"/>
        <w:rPr>
          <w:rFonts w:cs="Arial"/>
          <w:szCs w:val="24"/>
        </w:rPr>
      </w:pPr>
      <w:r>
        <w:rPr>
          <w:rFonts w:cs="Arial"/>
          <w:szCs w:val="24"/>
        </w:rPr>
        <w:t>Dans ce contexte, peut-on considérer que l</w:t>
      </w:r>
      <w:r w:rsidR="00F46408">
        <w:rPr>
          <w:rFonts w:cs="Arial"/>
          <w:szCs w:val="24"/>
        </w:rPr>
        <w:t xml:space="preserve">e rôle de l’accusé dans cette </w:t>
      </w:r>
      <w:r>
        <w:rPr>
          <w:rFonts w:cs="Arial"/>
          <w:szCs w:val="24"/>
        </w:rPr>
        <w:t xml:space="preserve">organisation </w:t>
      </w:r>
      <w:r w:rsidR="00F46408">
        <w:rPr>
          <w:rFonts w:cs="Arial"/>
          <w:szCs w:val="24"/>
        </w:rPr>
        <w:t xml:space="preserve">dite </w:t>
      </w:r>
      <w:r>
        <w:rPr>
          <w:rFonts w:cs="Arial"/>
          <w:szCs w:val="24"/>
        </w:rPr>
        <w:t xml:space="preserve">« structurée » constitue une circonstance aggravante? </w:t>
      </w:r>
    </w:p>
    <w:p w:rsidR="00E35785" w:rsidRPr="00243E10" w:rsidRDefault="00DD71E8" w:rsidP="008017AA">
      <w:pPr>
        <w:pStyle w:val="Paragraphe"/>
        <w:tabs>
          <w:tab w:val="num" w:pos="709"/>
        </w:tabs>
        <w:spacing w:line="240" w:lineRule="auto"/>
        <w:rPr>
          <w:rFonts w:cs="Arial"/>
          <w:szCs w:val="24"/>
        </w:rPr>
      </w:pPr>
      <w:r>
        <w:rPr>
          <w:rFonts w:cs="Arial"/>
          <w:szCs w:val="24"/>
        </w:rPr>
        <w:t>Le Tribunal ne le croit pas</w:t>
      </w:r>
      <w:r w:rsidR="006B2775">
        <w:rPr>
          <w:rFonts w:cs="Arial"/>
          <w:szCs w:val="24"/>
        </w:rPr>
        <w:t>.</w:t>
      </w:r>
      <w:r>
        <w:rPr>
          <w:rFonts w:cs="Arial"/>
          <w:szCs w:val="24"/>
        </w:rPr>
        <w:t xml:space="preserve"> </w:t>
      </w:r>
    </w:p>
    <w:p w:rsidR="00653886" w:rsidRDefault="00DD71E8" w:rsidP="00740704">
      <w:pPr>
        <w:pStyle w:val="Paragraphe"/>
        <w:tabs>
          <w:tab w:val="num" w:pos="709"/>
        </w:tabs>
        <w:spacing w:line="240" w:lineRule="auto"/>
        <w:rPr>
          <w:rFonts w:cs="Arial"/>
          <w:szCs w:val="24"/>
        </w:rPr>
      </w:pPr>
      <w:r>
        <w:rPr>
          <w:rFonts w:cs="Arial"/>
          <w:szCs w:val="24"/>
        </w:rPr>
        <w:t>Tout d’abord, l</w:t>
      </w:r>
      <w:r w:rsidR="00243E10">
        <w:rPr>
          <w:rFonts w:cs="Arial"/>
          <w:szCs w:val="24"/>
        </w:rPr>
        <w:t>a</w:t>
      </w:r>
      <w:r w:rsidR="005130C5">
        <w:rPr>
          <w:rFonts w:cs="Arial"/>
          <w:szCs w:val="24"/>
        </w:rPr>
        <w:t xml:space="preserve"> preuve est peu détaillée quant à la structure</w:t>
      </w:r>
      <w:r w:rsidR="00D420E2">
        <w:rPr>
          <w:rFonts w:cs="Arial"/>
          <w:szCs w:val="24"/>
        </w:rPr>
        <w:t xml:space="preserve"> </w:t>
      </w:r>
      <w:r w:rsidR="005130C5">
        <w:rPr>
          <w:rFonts w:cs="Arial"/>
          <w:szCs w:val="24"/>
        </w:rPr>
        <w:t xml:space="preserve">même de l’organisation, mais surtout quant aux responsabilités précises attribuées à l’accusé, outre le fait qu’il </w:t>
      </w:r>
      <w:r w:rsidR="00E35785">
        <w:rPr>
          <w:rFonts w:cs="Arial"/>
          <w:szCs w:val="24"/>
        </w:rPr>
        <w:t xml:space="preserve">était </w:t>
      </w:r>
      <w:r w:rsidR="005130C5">
        <w:rPr>
          <w:rFonts w:cs="Arial"/>
          <w:szCs w:val="24"/>
        </w:rPr>
        <w:t xml:space="preserve">un </w:t>
      </w:r>
      <w:r w:rsidR="005130C5" w:rsidRPr="005130C5">
        <w:rPr>
          <w:rFonts w:cs="Arial"/>
          <w:i/>
          <w:iCs/>
          <w:szCs w:val="24"/>
        </w:rPr>
        <w:t>runner</w:t>
      </w:r>
      <w:r w:rsidR="005130C5">
        <w:rPr>
          <w:rFonts w:cs="Arial"/>
          <w:szCs w:val="24"/>
        </w:rPr>
        <w:t xml:space="preserve">. Ainsi, </w:t>
      </w:r>
      <w:r w:rsidR="00E35785">
        <w:rPr>
          <w:rFonts w:cs="Arial"/>
          <w:szCs w:val="24"/>
        </w:rPr>
        <w:t>avait-il de nombreuses responsabilités</w:t>
      </w:r>
      <w:r w:rsidR="00F46408">
        <w:rPr>
          <w:rFonts w:cs="Arial"/>
          <w:szCs w:val="24"/>
        </w:rPr>
        <w:t xml:space="preserve"> (a</w:t>
      </w:r>
      <w:r w:rsidR="00E35785">
        <w:rPr>
          <w:rFonts w:cs="Arial"/>
          <w:szCs w:val="24"/>
        </w:rPr>
        <w:t xml:space="preserve">utrement dit, portait-il plusieurs chapeaux </w:t>
      </w:r>
      <w:r w:rsidR="00F46408">
        <w:rPr>
          <w:rFonts w:cs="Arial"/>
          <w:szCs w:val="24"/>
        </w:rPr>
        <w:t xml:space="preserve">(emballeur, livreur, etc.)? </w:t>
      </w:r>
      <w:r w:rsidR="00E35785">
        <w:rPr>
          <w:rFonts w:cs="Arial"/>
          <w:szCs w:val="24"/>
        </w:rPr>
        <w:t>À quelle fréquence travaillait-il</w:t>
      </w:r>
      <w:r w:rsidR="00F46408">
        <w:rPr>
          <w:rFonts w:cs="Arial"/>
          <w:szCs w:val="24"/>
        </w:rPr>
        <w:t xml:space="preserve"> (à</w:t>
      </w:r>
      <w:r w:rsidR="00E35785">
        <w:rPr>
          <w:rFonts w:cs="Arial"/>
          <w:szCs w:val="24"/>
        </w:rPr>
        <w:t xml:space="preserve"> temps plein, quelques heures par</w:t>
      </w:r>
      <w:r w:rsidR="00F46408">
        <w:rPr>
          <w:rFonts w:cs="Arial"/>
          <w:szCs w:val="24"/>
        </w:rPr>
        <w:t>-</w:t>
      </w:r>
      <w:r w:rsidR="00E35785">
        <w:rPr>
          <w:rFonts w:cs="Arial"/>
          <w:szCs w:val="24"/>
        </w:rPr>
        <w:t>ci</w:t>
      </w:r>
      <w:r w:rsidR="00F46408">
        <w:rPr>
          <w:rFonts w:cs="Arial"/>
          <w:szCs w:val="24"/>
        </w:rPr>
        <w:t>,</w:t>
      </w:r>
      <w:r w:rsidR="00E35785">
        <w:rPr>
          <w:rFonts w:cs="Arial"/>
          <w:szCs w:val="24"/>
        </w:rPr>
        <w:t xml:space="preserve"> par</w:t>
      </w:r>
      <w:r w:rsidR="00F46408">
        <w:rPr>
          <w:rFonts w:cs="Arial"/>
          <w:szCs w:val="24"/>
        </w:rPr>
        <w:t>-</w:t>
      </w:r>
      <w:r w:rsidR="00E35785">
        <w:rPr>
          <w:rFonts w:cs="Arial"/>
          <w:szCs w:val="24"/>
        </w:rPr>
        <w:t>là</w:t>
      </w:r>
      <w:r w:rsidR="00F46408">
        <w:rPr>
          <w:rFonts w:cs="Arial"/>
          <w:szCs w:val="24"/>
        </w:rPr>
        <w:t>)</w:t>
      </w:r>
      <w:r w:rsidR="00E35785">
        <w:rPr>
          <w:rFonts w:cs="Arial"/>
          <w:szCs w:val="24"/>
        </w:rPr>
        <w:t xml:space="preserve">? Avait-il des « employés » sous sa </w:t>
      </w:r>
      <w:r w:rsidR="00F46408">
        <w:rPr>
          <w:rFonts w:cs="Arial"/>
          <w:szCs w:val="24"/>
        </w:rPr>
        <w:t>supervision</w:t>
      </w:r>
      <w:r w:rsidR="00E35785">
        <w:rPr>
          <w:rFonts w:cs="Arial"/>
          <w:szCs w:val="24"/>
        </w:rPr>
        <w:t>?</w:t>
      </w:r>
      <w:r w:rsidR="00F46408">
        <w:rPr>
          <w:rFonts w:cs="Arial"/>
          <w:szCs w:val="24"/>
        </w:rPr>
        <w:t xml:space="preserve"> Le Tribunal l’ignore. </w:t>
      </w:r>
    </w:p>
    <w:p w:rsidR="00440DBB" w:rsidRDefault="00DD71E8" w:rsidP="00740704">
      <w:pPr>
        <w:pStyle w:val="Paragraphe"/>
        <w:tabs>
          <w:tab w:val="num" w:pos="709"/>
        </w:tabs>
        <w:spacing w:line="240" w:lineRule="auto"/>
        <w:rPr>
          <w:rFonts w:cs="Arial"/>
          <w:szCs w:val="24"/>
        </w:rPr>
      </w:pPr>
      <w:r>
        <w:rPr>
          <w:rFonts w:cs="Arial"/>
          <w:szCs w:val="24"/>
        </w:rPr>
        <w:t xml:space="preserve">Il n’a donc pas été établi hors de tout doute raisonnable que le rôle de l’accusé au sein de l’organisation était à ce point important qu’il pouvait être qualifié de </w:t>
      </w:r>
      <w:r w:rsidR="00653886">
        <w:rPr>
          <w:rFonts w:cs="Arial"/>
          <w:szCs w:val="24"/>
        </w:rPr>
        <w:t>« </w:t>
      </w:r>
      <w:r>
        <w:rPr>
          <w:rFonts w:cs="Arial"/>
          <w:szCs w:val="24"/>
        </w:rPr>
        <w:t>difficilement remplaçable</w:t>
      </w:r>
      <w:r w:rsidR="00653886">
        <w:rPr>
          <w:rFonts w:cs="Arial"/>
          <w:szCs w:val="24"/>
        </w:rPr>
        <w:t> » en raison du pouvoir qu’il exerçait alors</w:t>
      </w:r>
      <w:r>
        <w:rPr>
          <w:rFonts w:cs="Arial"/>
          <w:szCs w:val="24"/>
        </w:rPr>
        <w:t>, comme le laisse entendre le poursuivant.</w:t>
      </w:r>
    </w:p>
    <w:p w:rsidR="00C90A62" w:rsidRDefault="00DD71E8" w:rsidP="00740704">
      <w:pPr>
        <w:pStyle w:val="Paragraphe"/>
        <w:tabs>
          <w:tab w:val="num" w:pos="709"/>
        </w:tabs>
        <w:spacing w:line="240" w:lineRule="auto"/>
        <w:rPr>
          <w:rFonts w:cs="Arial"/>
          <w:szCs w:val="24"/>
        </w:rPr>
      </w:pPr>
      <w:r>
        <w:rPr>
          <w:rFonts w:cs="Arial"/>
          <w:szCs w:val="24"/>
        </w:rPr>
        <w:t>Or, p</w:t>
      </w:r>
      <w:r w:rsidR="005130C5">
        <w:rPr>
          <w:rFonts w:cs="Arial"/>
          <w:szCs w:val="24"/>
        </w:rPr>
        <w:t>our constituer une circonstance aggravante, un élément doit être établi hors de tout doute raisonnable, comme le stipule l’alinéa</w:t>
      </w:r>
      <w:r w:rsidR="00855422">
        <w:rPr>
          <w:rFonts w:cs="Arial"/>
          <w:szCs w:val="24"/>
        </w:rPr>
        <w:t> </w:t>
      </w:r>
      <w:r w:rsidR="005130C5">
        <w:rPr>
          <w:rFonts w:cs="Arial"/>
          <w:szCs w:val="24"/>
        </w:rPr>
        <w:t xml:space="preserve">724(3)e) C.cr. </w:t>
      </w:r>
      <w:r>
        <w:rPr>
          <w:rFonts w:cs="Arial"/>
          <w:szCs w:val="24"/>
        </w:rPr>
        <w:t>Cette démonstration n’a pas été faite à ce niveau</w:t>
      </w:r>
      <w:r>
        <w:rPr>
          <w:rStyle w:val="Appelnotedebasdep"/>
          <w:rFonts w:cs="Arial"/>
          <w:szCs w:val="24"/>
        </w:rPr>
        <w:footnoteReference w:id="60"/>
      </w:r>
      <w:r>
        <w:rPr>
          <w:rFonts w:cs="Arial"/>
          <w:szCs w:val="24"/>
        </w:rPr>
        <w:t xml:space="preserve">. </w:t>
      </w:r>
    </w:p>
    <w:p w:rsidR="00575116" w:rsidRPr="00740704" w:rsidRDefault="00DD71E8" w:rsidP="00740704">
      <w:pPr>
        <w:pStyle w:val="Paragraphe"/>
        <w:tabs>
          <w:tab w:val="num" w:pos="709"/>
        </w:tabs>
        <w:spacing w:line="240" w:lineRule="auto"/>
        <w:rPr>
          <w:rFonts w:cs="Arial"/>
          <w:szCs w:val="24"/>
        </w:rPr>
      </w:pPr>
      <w:r>
        <w:rPr>
          <w:rFonts w:cs="Arial"/>
          <w:szCs w:val="24"/>
        </w:rPr>
        <w:t xml:space="preserve">Par ailleurs, il ne faut pas confondre le rôle que l’accusé joue au sein de l’organisation et la planification </w:t>
      </w:r>
      <w:r w:rsidR="00D40C4D">
        <w:rPr>
          <w:rFonts w:cs="Arial"/>
          <w:szCs w:val="24"/>
        </w:rPr>
        <w:t xml:space="preserve">en tant que telle </w:t>
      </w:r>
      <w:r>
        <w:rPr>
          <w:rFonts w:cs="Arial"/>
          <w:szCs w:val="24"/>
        </w:rPr>
        <w:t>des crimes commis</w:t>
      </w:r>
      <w:r w:rsidR="00D40C4D">
        <w:rPr>
          <w:rFonts w:cs="Arial"/>
          <w:szCs w:val="24"/>
        </w:rPr>
        <w:t>, qui elle, s’avère aggravante. Nous y reviendrons.</w:t>
      </w:r>
    </w:p>
    <w:p w:rsidR="00B44637" w:rsidRPr="00F12213" w:rsidRDefault="00DD71E8" w:rsidP="00DC4431">
      <w:pPr>
        <w:pStyle w:val="Paragraphe"/>
        <w:numPr>
          <w:ilvl w:val="0"/>
          <w:numId w:val="0"/>
        </w:numPr>
        <w:spacing w:line="240" w:lineRule="auto"/>
        <w:rPr>
          <w:b/>
        </w:rPr>
      </w:pPr>
      <w:r w:rsidRPr="00F12213">
        <w:rPr>
          <w:b/>
          <w:szCs w:val="24"/>
        </w:rPr>
        <w:t>Les c</w:t>
      </w:r>
      <w:r w:rsidR="007657F8" w:rsidRPr="00F12213">
        <w:rPr>
          <w:b/>
          <w:szCs w:val="24"/>
        </w:rPr>
        <w:t>irconstance</w:t>
      </w:r>
      <w:r w:rsidR="004D2576" w:rsidRPr="00F12213">
        <w:rPr>
          <w:b/>
          <w:szCs w:val="24"/>
        </w:rPr>
        <w:t>s</w:t>
      </w:r>
      <w:r w:rsidR="007657F8" w:rsidRPr="00F12213">
        <w:rPr>
          <w:b/>
          <w:szCs w:val="24"/>
        </w:rPr>
        <w:t xml:space="preserve"> </w:t>
      </w:r>
      <w:r w:rsidR="007657F8" w:rsidRPr="00575116">
        <w:rPr>
          <w:b/>
          <w:szCs w:val="24"/>
        </w:rPr>
        <w:t>aggravante</w:t>
      </w:r>
      <w:r w:rsidR="004D2576" w:rsidRPr="00575116">
        <w:rPr>
          <w:b/>
          <w:szCs w:val="24"/>
        </w:rPr>
        <w:t>s</w:t>
      </w:r>
      <w:r w:rsidR="00AF5127" w:rsidRPr="00F12213">
        <w:rPr>
          <w:b/>
        </w:rPr>
        <w:t xml:space="preserve"> </w:t>
      </w:r>
    </w:p>
    <w:p w:rsidR="0040554A" w:rsidRPr="0040554A" w:rsidRDefault="00DD71E8" w:rsidP="0040554A">
      <w:pPr>
        <w:pStyle w:val="Paragraphe"/>
        <w:numPr>
          <w:ilvl w:val="0"/>
          <w:numId w:val="0"/>
        </w:numPr>
        <w:spacing w:line="240" w:lineRule="auto"/>
      </w:pPr>
      <w:r>
        <w:rPr>
          <w:b/>
        </w:rPr>
        <w:tab/>
        <w:t xml:space="preserve">La </w:t>
      </w:r>
      <w:r w:rsidR="0003353F">
        <w:rPr>
          <w:b/>
        </w:rPr>
        <w:t xml:space="preserve">nature et la diversité </w:t>
      </w:r>
      <w:r>
        <w:rPr>
          <w:b/>
        </w:rPr>
        <w:t>de</w:t>
      </w:r>
      <w:r w:rsidR="0003353F">
        <w:rPr>
          <w:b/>
        </w:rPr>
        <w:t>s</w:t>
      </w:r>
      <w:r>
        <w:rPr>
          <w:b/>
        </w:rPr>
        <w:t xml:space="preserve"> drogue</w:t>
      </w:r>
      <w:r w:rsidR="0003353F">
        <w:rPr>
          <w:b/>
        </w:rPr>
        <w:t>s</w:t>
      </w:r>
      <w:r>
        <w:rPr>
          <w:b/>
        </w:rPr>
        <w:t xml:space="preserve"> en cause</w:t>
      </w:r>
      <w:r w:rsidR="0003353F">
        <w:rPr>
          <w:b/>
        </w:rPr>
        <w:t xml:space="preserve">, sans oublier les quantités </w:t>
      </w:r>
      <w:r w:rsidR="0003353F">
        <w:rPr>
          <w:b/>
        </w:rPr>
        <w:tab/>
        <w:t>importantes</w:t>
      </w:r>
    </w:p>
    <w:p w:rsidR="0040554A" w:rsidRPr="00BB687F" w:rsidRDefault="00DD71E8" w:rsidP="00BB687F">
      <w:pPr>
        <w:pStyle w:val="Paragraphe"/>
        <w:spacing w:line="240" w:lineRule="auto"/>
      </w:pPr>
      <w:r>
        <w:t>Nul ne peut remettre en doute la nocivité des drogues dures illicites</w:t>
      </w:r>
      <w:r w:rsidR="00BB687F">
        <w:t>,</w:t>
      </w:r>
      <w:r>
        <w:t xml:space="preserve"> telles la cocaïne</w:t>
      </w:r>
      <w:r w:rsidR="002D7317">
        <w:t xml:space="preserve"> et </w:t>
      </w:r>
      <w:r w:rsidR="00BB687F">
        <w:t>la méthamphétamine, l</w:t>
      </w:r>
      <w:r w:rsidR="00D420E2">
        <w:t>aquelle</w:t>
      </w:r>
      <w:r w:rsidR="00BB687F">
        <w:t xml:space="preserve"> entraîne des ravages sociaux considérables</w:t>
      </w:r>
      <w:r>
        <w:rPr>
          <w:rStyle w:val="Appelnotedebasdep"/>
        </w:rPr>
        <w:footnoteReference w:id="61"/>
      </w:r>
      <w:r w:rsidR="002D7317">
        <w:t xml:space="preserve">, tout comme pour le GHB qui </w:t>
      </w:r>
      <w:r w:rsidR="00F578FC">
        <w:t>a</w:t>
      </w:r>
      <w:r w:rsidR="002D7317">
        <w:t xml:space="preserve"> des effets dévastateurs</w:t>
      </w:r>
      <w:r w:rsidR="00BB687F" w:rsidRPr="00BB687F">
        <w:t xml:space="preserve">. </w:t>
      </w:r>
      <w:r w:rsidR="002D7317">
        <w:t xml:space="preserve">Pour en avoir une image percutante, le </w:t>
      </w:r>
      <w:r w:rsidR="00BB687F">
        <w:t xml:space="preserve">poursuivant reprend </w:t>
      </w:r>
      <w:r w:rsidR="002D7317">
        <w:t xml:space="preserve">dans sa plaidoirie </w:t>
      </w:r>
      <w:r w:rsidR="00BB687F">
        <w:t xml:space="preserve">les propos d’un juge </w:t>
      </w:r>
      <w:r w:rsidR="002D7317">
        <w:t xml:space="preserve">qualifiant </w:t>
      </w:r>
      <w:r w:rsidR="00BB687F">
        <w:t xml:space="preserve">les trafiquants de stupéfiants de « marchands de la mort » en raison </w:t>
      </w:r>
      <w:r w:rsidR="002D7317">
        <w:t xml:space="preserve">justement </w:t>
      </w:r>
      <w:r w:rsidR="00BB687F">
        <w:t>de la nocivité de</w:t>
      </w:r>
      <w:r w:rsidR="002D7317">
        <w:t>s</w:t>
      </w:r>
      <w:r w:rsidR="00BB687F">
        <w:t xml:space="preserve"> substances</w:t>
      </w:r>
      <w:r w:rsidR="002D7317">
        <w:t xml:space="preserve"> qu’ils transigent.</w:t>
      </w:r>
    </w:p>
    <w:p w:rsidR="0040554A" w:rsidRPr="0011563C" w:rsidRDefault="00DD71E8" w:rsidP="0023523C">
      <w:pPr>
        <w:pStyle w:val="Paragraphe"/>
        <w:spacing w:line="240" w:lineRule="auto"/>
      </w:pPr>
      <w:r>
        <w:t>La variété de drogues liées aux crimes commis est également un élément important</w:t>
      </w:r>
      <w:r w:rsidR="00474EB8">
        <w:t>, sans oublier</w:t>
      </w:r>
      <w:r>
        <w:t xml:space="preserve"> les quantités en cause </w:t>
      </w:r>
      <w:r w:rsidR="00474EB8">
        <w:t xml:space="preserve">qui </w:t>
      </w:r>
      <w:r>
        <w:t>sont non négligeable</w:t>
      </w:r>
      <w:r w:rsidR="00D420E2">
        <w:t>s</w:t>
      </w:r>
      <w:r>
        <w:t>, soit environ une trentaine de grammes de cocaïne, 416</w:t>
      </w:r>
      <w:r w:rsidR="00855422">
        <w:t> </w:t>
      </w:r>
      <w:r>
        <w:t>pilules de méthamphétamine, 190</w:t>
      </w:r>
      <w:r w:rsidR="00855422">
        <w:t> </w:t>
      </w:r>
      <w:r>
        <w:t xml:space="preserve">ml de GHB et </w:t>
      </w:r>
      <w:r w:rsidRPr="00474EB8">
        <w:rPr>
          <w:bCs/>
        </w:rPr>
        <w:t>323,5</w:t>
      </w:r>
      <w:r w:rsidR="00855422">
        <w:rPr>
          <w:bCs/>
        </w:rPr>
        <w:t> </w:t>
      </w:r>
      <w:r w:rsidRPr="00474EB8">
        <w:rPr>
          <w:bCs/>
        </w:rPr>
        <w:t>g de cannabis</w:t>
      </w:r>
      <w:r>
        <w:t>.</w:t>
      </w:r>
    </w:p>
    <w:p w:rsidR="00E065A4" w:rsidRPr="00E065A4" w:rsidRDefault="00DD71E8" w:rsidP="003C518D">
      <w:pPr>
        <w:pStyle w:val="Paragraphe"/>
        <w:numPr>
          <w:ilvl w:val="0"/>
          <w:numId w:val="0"/>
        </w:numPr>
        <w:spacing w:line="240" w:lineRule="auto"/>
        <w:ind w:firstLine="734"/>
        <w:rPr>
          <w:b/>
        </w:rPr>
      </w:pPr>
      <w:r>
        <w:rPr>
          <w:b/>
        </w:rPr>
        <w:t>La période délictuelle</w:t>
      </w:r>
      <w:r w:rsidR="006B2775">
        <w:rPr>
          <w:b/>
        </w:rPr>
        <w:t xml:space="preserve">, </w:t>
      </w:r>
      <w:r>
        <w:rPr>
          <w:b/>
        </w:rPr>
        <w:t xml:space="preserve">la </w:t>
      </w:r>
      <w:r w:rsidR="003E573A">
        <w:rPr>
          <w:b/>
        </w:rPr>
        <w:t>p</w:t>
      </w:r>
      <w:r w:rsidRPr="00E065A4">
        <w:rPr>
          <w:b/>
        </w:rPr>
        <w:t xml:space="preserve">réméditation </w:t>
      </w:r>
      <w:r w:rsidR="006B2775">
        <w:rPr>
          <w:b/>
        </w:rPr>
        <w:t>et la planification des crimes commis</w:t>
      </w:r>
    </w:p>
    <w:p w:rsidR="00E065A4" w:rsidRDefault="00DD71E8" w:rsidP="007657F8">
      <w:pPr>
        <w:pStyle w:val="Paragraphe"/>
        <w:spacing w:line="240" w:lineRule="auto"/>
      </w:pPr>
      <w:r>
        <w:t>En l’occurrence, nous ne sommes pas en présence d</w:t>
      </w:r>
      <w:r w:rsidR="00AD3597">
        <w:t>’un crime</w:t>
      </w:r>
      <w:r>
        <w:t xml:space="preserve"> commis de façon isolée</w:t>
      </w:r>
      <w:r w:rsidR="008F1D4F">
        <w:t xml:space="preserve"> et </w:t>
      </w:r>
      <w:r w:rsidR="00FF2E43">
        <w:t>spontané</w:t>
      </w:r>
      <w:r w:rsidR="006571BA">
        <w:t>e</w:t>
      </w:r>
      <w:r w:rsidR="00FF2E43">
        <w:t xml:space="preserve">, </w:t>
      </w:r>
      <w:r>
        <w:t>sous le coup d</w:t>
      </w:r>
      <w:r w:rsidR="00AD3597">
        <w:t>’un</w:t>
      </w:r>
      <w:r>
        <w:t>e impulsion</w:t>
      </w:r>
      <w:r w:rsidR="00AD3597">
        <w:t xml:space="preserve"> momentanée</w:t>
      </w:r>
      <w:r>
        <w:t>.</w:t>
      </w:r>
    </w:p>
    <w:p w:rsidR="008F1D4F" w:rsidRDefault="00DD71E8" w:rsidP="007657F8">
      <w:pPr>
        <w:pStyle w:val="Paragraphe"/>
        <w:spacing w:line="240" w:lineRule="auto"/>
      </w:pPr>
      <w:r>
        <w:t>Il s’agit plutôt de crimes commis de façon répétée, sur une période relativement longue, soit entre mars 2019 et septembre 2019, le tout correspondant à environ 6</w:t>
      </w:r>
      <w:r w:rsidR="00855422">
        <w:t> </w:t>
      </w:r>
      <w:r>
        <w:t>mois</w:t>
      </w:r>
      <w:r>
        <w:rPr>
          <w:rStyle w:val="Appelnotedebasdep"/>
        </w:rPr>
        <w:footnoteReference w:id="62"/>
      </w:r>
      <w:r>
        <w:t>.</w:t>
      </w:r>
    </w:p>
    <w:p w:rsidR="00A53C64" w:rsidRPr="00A53C64" w:rsidRDefault="00DD71E8" w:rsidP="0071356C">
      <w:pPr>
        <w:pStyle w:val="Paragraphe"/>
        <w:spacing w:line="240" w:lineRule="auto"/>
      </w:pPr>
      <w:r w:rsidRPr="008F1D4F">
        <w:rPr>
          <w:rFonts w:cs="Arial"/>
          <w:color w:val="000000"/>
          <w:kern w:val="0"/>
        </w:rPr>
        <w:t xml:space="preserve">Par ailleurs, la livraison de drogue </w:t>
      </w:r>
      <w:r>
        <w:rPr>
          <w:rFonts w:cs="Arial"/>
          <w:color w:val="000000"/>
          <w:kern w:val="0"/>
        </w:rPr>
        <w:t xml:space="preserve">constitue sans contredit un crime prémédité puisqu’il nécessite non seulement une planification certaine du trajet à emprunter pour aller remettre la drogue au destinataire, mais également la manipulation de colis. </w:t>
      </w:r>
    </w:p>
    <w:p w:rsidR="00553FBE" w:rsidRPr="00226317" w:rsidRDefault="00DD71E8" w:rsidP="00860C59">
      <w:pPr>
        <w:pStyle w:val="Paragraphe"/>
        <w:spacing w:line="240" w:lineRule="auto"/>
      </w:pPr>
      <w:r>
        <w:t xml:space="preserve">Rappelons également que les policiers ont trouvé chez l’accusé </w:t>
      </w:r>
      <w:r w:rsidR="001372D7">
        <w:t xml:space="preserve">des documents tels </w:t>
      </w:r>
      <w:r>
        <w:t xml:space="preserve">de la comptabilité </w:t>
      </w:r>
      <w:r w:rsidR="001372D7">
        <w:t xml:space="preserve">avec </w:t>
      </w:r>
      <w:r w:rsidR="006E0E22">
        <w:t xml:space="preserve">une liste </w:t>
      </w:r>
      <w:r w:rsidR="001372D7">
        <w:t>de clients préétablis</w:t>
      </w:r>
      <w:r>
        <w:rPr>
          <w:rStyle w:val="Appelnotedebasdep"/>
        </w:rPr>
        <w:footnoteReference w:id="63"/>
      </w:r>
      <w:r w:rsidR="006E0E22">
        <w:t>, des prix reliés aux stupéfiants</w:t>
      </w:r>
      <w:r w:rsidR="00BE01B1">
        <w:t xml:space="preserve">, </w:t>
      </w:r>
      <w:r>
        <w:t>des horaires de travail</w:t>
      </w:r>
      <w:r w:rsidR="00BE01B1">
        <w:t>, 7</w:t>
      </w:r>
      <w:r w:rsidR="00855422">
        <w:t> </w:t>
      </w:r>
      <w:r w:rsidR="00BE01B1">
        <w:t xml:space="preserve">téléphones cellulaires, </w:t>
      </w:r>
      <w:r w:rsidR="006E0E22">
        <w:t xml:space="preserve">un cartable avec des règlements et une feuille de codes relatifs aux stupéfiants. Ces éléments s’additionnent et illustrent sans équivoque la préméditation </w:t>
      </w:r>
      <w:r w:rsidR="00BE01B1">
        <w:t xml:space="preserve">et la planification </w:t>
      </w:r>
      <w:r w:rsidR="006E0E22">
        <w:t xml:space="preserve">des crimes commis et font la </w:t>
      </w:r>
      <w:r w:rsidR="00DC4431" w:rsidRPr="00BE01B1">
        <w:rPr>
          <w:rFonts w:cs="Arial"/>
          <w:color w:val="000000"/>
          <w:kern w:val="0"/>
        </w:rPr>
        <w:t xml:space="preserve">démonstration </w:t>
      </w:r>
      <w:r w:rsidR="00BE01B1">
        <w:rPr>
          <w:rFonts w:cs="Arial"/>
          <w:color w:val="000000"/>
          <w:kern w:val="0"/>
        </w:rPr>
        <w:t xml:space="preserve">sans équivoque </w:t>
      </w:r>
      <w:r w:rsidR="00DC4431" w:rsidRPr="00BE01B1">
        <w:rPr>
          <w:rFonts w:cs="Arial"/>
          <w:color w:val="000000"/>
          <w:kern w:val="0"/>
        </w:rPr>
        <w:t>de la culpabilité morale de l’accusé</w:t>
      </w:r>
      <w:bookmarkStart w:id="1" w:name="_ftnref74"/>
      <w:r w:rsidR="006E0E22" w:rsidRPr="00BE01B1">
        <w:rPr>
          <w:rFonts w:cs="Arial"/>
          <w:color w:val="000000"/>
          <w:kern w:val="0"/>
        </w:rPr>
        <w:t>, laquelle</w:t>
      </w:r>
      <w:r w:rsidR="00FF0C17" w:rsidRPr="00BE01B1">
        <w:rPr>
          <w:rFonts w:cs="Arial"/>
          <w:color w:val="000000"/>
          <w:kern w:val="0"/>
        </w:rPr>
        <w:t xml:space="preserve"> est entière</w:t>
      </w:r>
      <w:r w:rsidR="00DC4431" w:rsidRPr="00BE01B1">
        <w:rPr>
          <w:rFonts w:cs="Arial"/>
          <w:color w:val="000000"/>
          <w:kern w:val="0"/>
        </w:rPr>
        <w:t>.</w:t>
      </w:r>
      <w:bookmarkEnd w:id="1"/>
    </w:p>
    <w:p w:rsidR="00553FBE" w:rsidRDefault="00DD71E8" w:rsidP="00553FBE">
      <w:pPr>
        <w:pStyle w:val="Paragraphe"/>
        <w:numPr>
          <w:ilvl w:val="0"/>
          <w:numId w:val="0"/>
        </w:numPr>
        <w:spacing w:line="240" w:lineRule="auto"/>
      </w:pPr>
      <w:r>
        <w:rPr>
          <w:rFonts w:cs="Arial"/>
          <w:color w:val="000000"/>
          <w:kern w:val="0"/>
        </w:rPr>
        <w:tab/>
      </w:r>
      <w:r w:rsidRPr="00553FBE">
        <w:rPr>
          <w:rFonts w:cs="Arial"/>
          <w:b/>
          <w:bCs/>
          <w:color w:val="000000"/>
          <w:kern w:val="0"/>
        </w:rPr>
        <w:t>L’arrêt d’agir initié par l</w:t>
      </w:r>
      <w:r w:rsidR="00D420E2">
        <w:rPr>
          <w:rFonts w:cs="Arial"/>
          <w:b/>
          <w:bCs/>
          <w:color w:val="000000"/>
          <w:kern w:val="0"/>
        </w:rPr>
        <w:t>es policiers</w:t>
      </w:r>
    </w:p>
    <w:p w:rsidR="00D40C4D" w:rsidRPr="008F1D4F" w:rsidRDefault="00DD71E8" w:rsidP="00D40C4D">
      <w:pPr>
        <w:pStyle w:val="Paragraphe"/>
        <w:spacing w:line="240" w:lineRule="auto"/>
      </w:pPr>
      <w:r>
        <w:t xml:space="preserve">Le fait que ce sont les autorités policières qui ont mis un terme aux activités criminelles de </w:t>
      </w:r>
      <w:r w:rsidRPr="00553FBE">
        <w:rPr>
          <w:rFonts w:cs="Arial"/>
          <w:color w:val="000000"/>
          <w:kern w:val="0"/>
        </w:rPr>
        <w:t>l’accusé</w:t>
      </w:r>
      <w:r>
        <w:rPr>
          <w:rFonts w:cs="Arial"/>
          <w:color w:val="000000"/>
          <w:kern w:val="0"/>
        </w:rPr>
        <w:t xml:space="preserve"> constitue une circonstance aggravante</w:t>
      </w:r>
      <w:r>
        <w:rPr>
          <w:rStyle w:val="Appelnotedebasdep"/>
        </w:rPr>
        <w:footnoteReference w:id="64"/>
      </w:r>
      <w:r>
        <w:rPr>
          <w:rFonts w:cs="Arial"/>
          <w:color w:val="000000"/>
          <w:kern w:val="0"/>
        </w:rPr>
        <w:t>.</w:t>
      </w:r>
    </w:p>
    <w:p w:rsidR="0011563C" w:rsidRPr="0011563C" w:rsidRDefault="00DD71E8" w:rsidP="0011563C">
      <w:pPr>
        <w:pStyle w:val="Paragraphe"/>
        <w:numPr>
          <w:ilvl w:val="0"/>
          <w:numId w:val="0"/>
        </w:numPr>
        <w:spacing w:line="240" w:lineRule="auto"/>
        <w:rPr>
          <w:b/>
        </w:rPr>
      </w:pPr>
      <w:r>
        <w:tab/>
      </w:r>
      <w:r w:rsidRPr="0011563C">
        <w:rPr>
          <w:b/>
        </w:rPr>
        <w:t>L</w:t>
      </w:r>
      <w:r w:rsidR="00B00F8F">
        <w:rPr>
          <w:b/>
        </w:rPr>
        <w:t xml:space="preserve">’objectif de </w:t>
      </w:r>
      <w:r w:rsidRPr="0011563C">
        <w:rPr>
          <w:b/>
        </w:rPr>
        <w:t>lucre</w:t>
      </w:r>
      <w:r w:rsidR="00B00F8F">
        <w:rPr>
          <w:b/>
        </w:rPr>
        <w:t xml:space="preserve"> (considérant l’absence de dépendance aux drogues)</w:t>
      </w:r>
    </w:p>
    <w:p w:rsidR="00BF4D55" w:rsidRDefault="00DD71E8" w:rsidP="004947C2">
      <w:pPr>
        <w:pStyle w:val="Paragraphe"/>
        <w:spacing w:line="240" w:lineRule="auto"/>
      </w:pPr>
      <w:r w:rsidRPr="0099298B">
        <w:t>Le lucre est défini comme étant « le profit, l’argent, considéré en lui-même et recherché avec avidité »</w:t>
      </w:r>
      <w:r>
        <w:rPr>
          <w:rStyle w:val="Appelnotedebasdep"/>
        </w:rPr>
        <w:footnoteReference w:id="65"/>
      </w:r>
      <w:r w:rsidRPr="0099298B">
        <w:t>. En l'espèce, l</w:t>
      </w:r>
      <w:r w:rsidR="0011563C" w:rsidRPr="0099298B">
        <w:t xml:space="preserve">e seul </w:t>
      </w:r>
      <w:r w:rsidR="00026DFE" w:rsidRPr="0099298B">
        <w:t xml:space="preserve">objectif de </w:t>
      </w:r>
      <w:r w:rsidR="0011563C" w:rsidRPr="0099298B">
        <w:t>l’accusé quant à son comportement délictuel demeure le lucre.</w:t>
      </w:r>
      <w:r w:rsidRPr="0099298B">
        <w:t xml:space="preserve"> </w:t>
      </w:r>
      <w:r>
        <w:t>Ceci est d’autant plus vrai que l’accusé ne souffre d’aucune dépendance aux drogues</w:t>
      </w:r>
      <w:r>
        <w:rPr>
          <w:rStyle w:val="Appelnotedebasdep"/>
        </w:rPr>
        <w:footnoteReference w:id="66"/>
      </w:r>
      <w:r>
        <w:t xml:space="preserve"> .</w:t>
      </w:r>
      <w:r w:rsidR="00231213">
        <w:t xml:space="preserve"> I</w:t>
      </w:r>
      <w:r>
        <w:t>l agi</w:t>
      </w:r>
      <w:r w:rsidR="00231213">
        <w:t>t donc</w:t>
      </w:r>
      <w:r>
        <w:t xml:space="preserve"> comme un « non-utilisateur insensible »</w:t>
      </w:r>
      <w:r>
        <w:rPr>
          <w:rStyle w:val="Appelnotedebasdep"/>
        </w:rPr>
        <w:footnoteReference w:id="67"/>
      </w:r>
      <w:r>
        <w:t>.</w:t>
      </w:r>
    </w:p>
    <w:p w:rsidR="0011563C" w:rsidRPr="0040554A" w:rsidRDefault="00DD71E8" w:rsidP="00ED4ADB">
      <w:pPr>
        <w:pStyle w:val="Paragraphe"/>
        <w:spacing w:line="240" w:lineRule="auto"/>
      </w:pPr>
      <w:r>
        <w:t>L</w:t>
      </w:r>
      <w:r w:rsidR="00CF0AC1">
        <w:t xml:space="preserve">e fait que l’accusé n’a pas de problématique de consommation </w:t>
      </w:r>
      <w:r>
        <w:t xml:space="preserve">n’est pas ce qui importe le plus en l’occurrence, </w:t>
      </w:r>
      <w:r w:rsidR="00CF0AC1">
        <w:t xml:space="preserve">mais plutôt le fait que </w:t>
      </w:r>
      <w:r w:rsidR="00231213">
        <w:t>l</w:t>
      </w:r>
      <w:r w:rsidR="00F16DAC">
        <w:t xml:space="preserve">’appât du gain </w:t>
      </w:r>
      <w:r w:rsidR="00CF0AC1">
        <w:t xml:space="preserve">a guidé son comportement, ce qui </w:t>
      </w:r>
      <w:r w:rsidR="00F16DAC">
        <w:t xml:space="preserve">constitue </w:t>
      </w:r>
      <w:r w:rsidRPr="0099298B">
        <w:t>certes une circonstance aggravante</w:t>
      </w:r>
      <w:r>
        <w:rPr>
          <w:rStyle w:val="Appelnotedebasdep"/>
        </w:rPr>
        <w:footnoteReference w:id="68"/>
      </w:r>
      <w:r w:rsidRPr="0099298B">
        <w:t>.</w:t>
      </w:r>
      <w:r w:rsidR="00F12213" w:rsidRPr="00CF0AC1">
        <w:rPr>
          <w:b/>
        </w:rPr>
        <w:tab/>
      </w:r>
    </w:p>
    <w:p w:rsidR="00D67A56" w:rsidRPr="00BF6684" w:rsidRDefault="00DD71E8" w:rsidP="00BF6684">
      <w:pPr>
        <w:pStyle w:val="Paragraphe"/>
        <w:numPr>
          <w:ilvl w:val="0"/>
          <w:numId w:val="0"/>
        </w:numPr>
        <w:spacing w:line="240" w:lineRule="auto"/>
        <w:rPr>
          <w:highlight w:val="yellow"/>
        </w:rPr>
      </w:pPr>
      <w:r w:rsidRPr="00BF6684">
        <w:rPr>
          <w:b/>
        </w:rPr>
        <w:t>Les c</w:t>
      </w:r>
      <w:r w:rsidR="004A484B" w:rsidRPr="00BF6684">
        <w:rPr>
          <w:b/>
        </w:rPr>
        <w:t>auses jurisprudentielles présentées</w:t>
      </w:r>
      <w:r w:rsidRPr="00BF6684">
        <w:rPr>
          <w:b/>
        </w:rPr>
        <w:t xml:space="preserve"> par les parties</w:t>
      </w:r>
    </w:p>
    <w:p w:rsidR="00D67A56" w:rsidRPr="00F75A46" w:rsidRDefault="00DD71E8" w:rsidP="00D67A56">
      <w:pPr>
        <w:pStyle w:val="Paragraphe"/>
        <w:numPr>
          <w:ilvl w:val="0"/>
          <w:numId w:val="0"/>
        </w:numPr>
        <w:spacing w:line="240" w:lineRule="auto"/>
        <w:rPr>
          <w:b/>
        </w:rPr>
      </w:pPr>
      <w:r w:rsidRPr="00F75A46">
        <w:rPr>
          <w:b/>
        </w:rPr>
        <w:tab/>
        <w:t>En poursuite</w:t>
      </w:r>
    </w:p>
    <w:p w:rsidR="00D14E48" w:rsidRDefault="00DD71E8" w:rsidP="00D14E48">
      <w:pPr>
        <w:pStyle w:val="Paragraphe"/>
        <w:spacing w:line="240" w:lineRule="auto"/>
      </w:pPr>
      <w:r>
        <w:t xml:space="preserve">Le poursuivant </w:t>
      </w:r>
      <w:r w:rsidR="00D420E2">
        <w:t>renvoi</w:t>
      </w:r>
      <w:r>
        <w:t xml:space="preserve"> essentiellement au jugement </w:t>
      </w:r>
      <w:r w:rsidRPr="00B74D5B">
        <w:rPr>
          <w:i/>
          <w:iCs/>
        </w:rPr>
        <w:t>Laforgia</w:t>
      </w:r>
      <w:r>
        <w:rPr>
          <w:rStyle w:val="Appelnotedebasdep"/>
        </w:rPr>
        <w:footnoteReference w:id="69"/>
      </w:r>
      <w:r>
        <w:t xml:space="preserve"> pour soutenir ses prétentions en mettant en lumière la gravité sans équivoque des crimes commis par l’accusé, notamment en raison des ravages sociaux importants causés par le trafic de stupéfiants</w:t>
      </w:r>
      <w:r>
        <w:rPr>
          <w:rStyle w:val="Appelnotedebasdep"/>
        </w:rPr>
        <w:footnoteReference w:id="70"/>
      </w:r>
      <w:r>
        <w:t xml:space="preserve">. </w:t>
      </w:r>
    </w:p>
    <w:p w:rsidR="00BB687F" w:rsidRDefault="00DD71E8" w:rsidP="00D14E48">
      <w:pPr>
        <w:pStyle w:val="Paragraphe"/>
        <w:spacing w:line="240" w:lineRule="auto"/>
      </w:pPr>
      <w:r>
        <w:t>Le Tribunal en a tenu compte pour l’ensemble des circonstances à considérer en l’occurrence.</w:t>
      </w:r>
    </w:p>
    <w:p w:rsidR="00D67A56" w:rsidRPr="00F75A46" w:rsidRDefault="00DD71E8" w:rsidP="00D67A56">
      <w:pPr>
        <w:pStyle w:val="Paragraphe"/>
        <w:numPr>
          <w:ilvl w:val="0"/>
          <w:numId w:val="0"/>
        </w:numPr>
        <w:spacing w:line="240" w:lineRule="auto"/>
        <w:rPr>
          <w:b/>
        </w:rPr>
      </w:pPr>
      <w:r w:rsidRPr="00F75A46">
        <w:rPr>
          <w:b/>
        </w:rPr>
        <w:tab/>
        <w:t xml:space="preserve">En défense </w:t>
      </w:r>
    </w:p>
    <w:p w:rsidR="000A19DE" w:rsidRDefault="00DD71E8" w:rsidP="0060445F">
      <w:pPr>
        <w:pStyle w:val="Paragraphe"/>
        <w:spacing w:line="240" w:lineRule="auto"/>
      </w:pPr>
      <w:r>
        <w:t xml:space="preserve">La défense présente </w:t>
      </w:r>
      <w:r w:rsidR="002D7317">
        <w:t xml:space="preserve">notamment </w:t>
      </w:r>
      <w:r w:rsidR="009F1DA4">
        <w:t xml:space="preserve">le jugement </w:t>
      </w:r>
      <w:r w:rsidR="009F1DA4" w:rsidRPr="007536C2">
        <w:rPr>
          <w:i/>
          <w:iCs/>
        </w:rPr>
        <w:t>Dupuis</w:t>
      </w:r>
      <w:r>
        <w:rPr>
          <w:rStyle w:val="Appelnotedebasdep"/>
        </w:rPr>
        <w:footnoteReference w:id="71"/>
      </w:r>
      <w:r w:rsidR="009F1DA4">
        <w:t xml:space="preserve"> pour illustrer que </w:t>
      </w:r>
      <w:r>
        <w:t>sa proposition de combinaison de peines a déjà été imposée pour un individu qui a eu en sa possession des centaines de milliers de méthamphétamines</w:t>
      </w:r>
      <w:r w:rsidR="00D420E2">
        <w:t>,</w:t>
      </w:r>
      <w:r>
        <w:t xml:space="preserve"> en vue d’en faire le trafic.</w:t>
      </w:r>
    </w:p>
    <w:p w:rsidR="000A19DE" w:rsidRDefault="00DD71E8" w:rsidP="0060445F">
      <w:pPr>
        <w:pStyle w:val="Paragraphe"/>
        <w:spacing w:line="240" w:lineRule="auto"/>
      </w:pPr>
      <w:r>
        <w:t xml:space="preserve">En effet, le juge de première instance a imposé </w:t>
      </w:r>
      <w:r w:rsidR="0014573D">
        <w:t xml:space="preserve">une peine de </w:t>
      </w:r>
      <w:r w:rsidR="00822704">
        <w:t>90</w:t>
      </w:r>
      <w:r w:rsidR="00A74270">
        <w:t> </w:t>
      </w:r>
      <w:r w:rsidR="00822704">
        <w:t>jours d’emprisonnement à être purgée de façon discontinue sur les chefs de trafic et de possession dans le but de trafic de méthamphétamine (annexe I). Quant au</w:t>
      </w:r>
      <w:r w:rsidR="00233FC6">
        <w:t xml:space="preserve"> chef relatif au transport d’une arme à feu, le juge impose une peine de 2</w:t>
      </w:r>
      <w:r w:rsidR="00A74270">
        <w:t> </w:t>
      </w:r>
      <w:r w:rsidR="00233FC6">
        <w:t>ans moins un jour d’emprisonnement dans la collectivité.</w:t>
      </w:r>
    </w:p>
    <w:p w:rsidR="00233FC6" w:rsidRDefault="00DD71E8" w:rsidP="0060445F">
      <w:pPr>
        <w:pStyle w:val="Paragraphe"/>
        <w:spacing w:line="240" w:lineRule="auto"/>
      </w:pPr>
      <w:r>
        <w:t>Tout comme en l’espèce, la preuve ne démontre pas que l’accusé Dubois</w:t>
      </w:r>
      <w:r w:rsidR="00A9644C">
        <w:t xml:space="preserve"> </w:t>
      </w:r>
      <w:r>
        <w:t xml:space="preserve">Beauregard était une tête dirigeante au sein du </w:t>
      </w:r>
      <w:r w:rsidR="00CF3934">
        <w:t>« </w:t>
      </w:r>
      <w:r>
        <w:t>réseau</w:t>
      </w:r>
      <w:r w:rsidR="00CF3934">
        <w:t> »</w:t>
      </w:r>
      <w:r>
        <w:t xml:space="preserve"> pour lequel il opérait</w:t>
      </w:r>
      <w:r>
        <w:rPr>
          <w:rStyle w:val="Appelnotedebasdep"/>
        </w:rPr>
        <w:footnoteReference w:id="72"/>
      </w:r>
      <w:r>
        <w:t>.</w:t>
      </w:r>
    </w:p>
    <w:p w:rsidR="000A19DE" w:rsidRDefault="00DD71E8" w:rsidP="0060445F">
      <w:pPr>
        <w:pStyle w:val="Paragraphe"/>
        <w:spacing w:line="240" w:lineRule="auto"/>
      </w:pPr>
      <w:r>
        <w:t xml:space="preserve">La défense présente également les jugements </w:t>
      </w:r>
      <w:r w:rsidRPr="004418B4">
        <w:rPr>
          <w:i/>
          <w:iCs/>
        </w:rPr>
        <w:t>Holmes</w:t>
      </w:r>
      <w:r>
        <w:rPr>
          <w:rStyle w:val="Appelnotedebasdep"/>
        </w:rPr>
        <w:footnoteReference w:id="73"/>
      </w:r>
      <w:r w:rsidR="00F578FC">
        <w:rPr>
          <w:i/>
          <w:iCs/>
        </w:rPr>
        <w:t xml:space="preserve">, </w:t>
      </w:r>
      <w:r w:rsidR="00F578FC" w:rsidRPr="004418B4">
        <w:rPr>
          <w:i/>
          <w:iCs/>
        </w:rPr>
        <w:t>Dessureault</w:t>
      </w:r>
      <w:r>
        <w:rPr>
          <w:rStyle w:val="Appelnotedebasdep"/>
        </w:rPr>
        <w:footnoteReference w:id="74"/>
      </w:r>
      <w:r w:rsidR="00F578FC">
        <w:rPr>
          <w:i/>
          <w:iCs/>
        </w:rPr>
        <w:t xml:space="preserve"> </w:t>
      </w:r>
      <w:r>
        <w:t xml:space="preserve">et </w:t>
      </w:r>
      <w:r w:rsidRPr="004418B4">
        <w:rPr>
          <w:i/>
          <w:iCs/>
        </w:rPr>
        <w:t>Grenier</w:t>
      </w:r>
      <w:r>
        <w:rPr>
          <w:rStyle w:val="Appelnotedebasdep"/>
        </w:rPr>
        <w:footnoteReference w:id="75"/>
      </w:r>
      <w:r>
        <w:t xml:space="preserve"> pour illustrer son point</w:t>
      </w:r>
      <w:r w:rsidR="00A74270">
        <w:t xml:space="preserve"> </w:t>
      </w:r>
      <w:r>
        <w:t xml:space="preserve">voulant que la combinaison de peines d’emprisonnement dans la collectivité et d’emprisonnement discontinu a souvent été </w:t>
      </w:r>
      <w:r w:rsidR="00497781">
        <w:t>appliquée par les tribunaux.</w:t>
      </w:r>
    </w:p>
    <w:p w:rsidR="00497781" w:rsidRDefault="00DD71E8" w:rsidP="0060445F">
      <w:pPr>
        <w:pStyle w:val="Paragraphe"/>
        <w:spacing w:line="240" w:lineRule="auto"/>
      </w:pPr>
      <w:r>
        <w:t xml:space="preserve">Dans </w:t>
      </w:r>
      <w:r w:rsidRPr="002D7317">
        <w:rPr>
          <w:i/>
          <w:iCs/>
        </w:rPr>
        <w:t>Côté</w:t>
      </w:r>
      <w:r>
        <w:rPr>
          <w:rStyle w:val="Appelnotedebasdep"/>
        </w:rPr>
        <w:footnoteReference w:id="76"/>
      </w:r>
      <w:r>
        <w:t>, le juge a imposé une peine de 2</w:t>
      </w:r>
      <w:r w:rsidR="00A74270">
        <w:t> </w:t>
      </w:r>
      <w:r>
        <w:t>ans moins un jour d’emprisonnement dans la collectivité sur le chef de cannabis, comme la défense le souhaite dans le dossier en cause.</w:t>
      </w:r>
    </w:p>
    <w:p w:rsidR="000A19DE" w:rsidRDefault="00DD71E8" w:rsidP="0060445F">
      <w:pPr>
        <w:pStyle w:val="Paragraphe"/>
        <w:spacing w:line="240" w:lineRule="auto"/>
      </w:pPr>
      <w:r>
        <w:t>Or, la défense met en lumière le fait que l’accusé Dubois Beauregard a un profil beaucoup plus positif et une réhabilitation plus grande en comparaison avec les jugements précités, ce qui lui est d’autant plus favorable pour se voir imposer ce genre de peine.</w:t>
      </w:r>
    </w:p>
    <w:p w:rsidR="000A19DE" w:rsidRDefault="00DD71E8" w:rsidP="0060445F">
      <w:pPr>
        <w:pStyle w:val="Paragraphe"/>
        <w:spacing w:line="240" w:lineRule="auto"/>
      </w:pPr>
      <w:r>
        <w:t xml:space="preserve">C’est dans ce contexte que la défense plaide que la peine qu’elle propose est non seulement sévère, mais elle permet de se concentrer sur l’essentiel, soit de dissuader quiconque d’agir </w:t>
      </w:r>
      <w:r w:rsidR="00B40903">
        <w:t xml:space="preserve">comme l’accusé l’a fait </w:t>
      </w:r>
      <w:r>
        <w:t>et de faire en sorte que l’accusé répare les torts causés à la société en demeurant à son domicile 24</w:t>
      </w:r>
      <w:r w:rsidR="00A74270">
        <w:t> </w:t>
      </w:r>
      <w:r>
        <w:t>h sur 24</w:t>
      </w:r>
      <w:r w:rsidR="00B40903">
        <w:t xml:space="preserve">, sauf pour travailler </w:t>
      </w:r>
      <w:r>
        <w:t xml:space="preserve">et </w:t>
      </w:r>
      <w:r w:rsidR="00B40903">
        <w:t xml:space="preserve">purger sa </w:t>
      </w:r>
      <w:r>
        <w:t xml:space="preserve">peine d’emprisonnement discontinue. </w:t>
      </w:r>
    </w:p>
    <w:p w:rsidR="00B40903" w:rsidRPr="002D7317" w:rsidRDefault="00DD71E8" w:rsidP="009A45B7">
      <w:pPr>
        <w:pStyle w:val="Paragraphe"/>
        <w:numPr>
          <w:ilvl w:val="0"/>
          <w:numId w:val="0"/>
        </w:numPr>
        <w:spacing w:line="240" w:lineRule="auto"/>
        <w:rPr>
          <w:b/>
          <w:bCs/>
        </w:rPr>
      </w:pPr>
      <w:r w:rsidRPr="002D7317">
        <w:rPr>
          <w:b/>
          <w:bCs/>
        </w:rPr>
        <w:tab/>
        <w:t>L</w:t>
      </w:r>
      <w:r w:rsidR="007A5F2B" w:rsidRPr="002D7317">
        <w:rPr>
          <w:b/>
          <w:bCs/>
        </w:rPr>
        <w:t xml:space="preserve">’harmonisation des </w:t>
      </w:r>
      <w:r w:rsidRPr="002D7317">
        <w:rPr>
          <w:b/>
          <w:bCs/>
        </w:rPr>
        <w:t xml:space="preserve">peines avec les </w:t>
      </w:r>
      <w:r w:rsidR="007A5F2B" w:rsidRPr="002D7317">
        <w:rPr>
          <w:b/>
          <w:bCs/>
        </w:rPr>
        <w:t xml:space="preserve">autres </w:t>
      </w:r>
      <w:r w:rsidRPr="002D7317">
        <w:rPr>
          <w:b/>
          <w:bCs/>
        </w:rPr>
        <w:t>co-accusés</w:t>
      </w:r>
    </w:p>
    <w:p w:rsidR="007A5F2B" w:rsidRDefault="00DD71E8" w:rsidP="0060445F">
      <w:pPr>
        <w:pStyle w:val="Paragraphe"/>
        <w:spacing w:line="240" w:lineRule="auto"/>
      </w:pPr>
      <w:r>
        <w:t>Le poursuivant rappelle qu’il est important d’harmoniser la peine à imposer en l’espèce, non seulement avec les peines imposées aux autres co-accusés, mais avec celles habituellement infligées pour des infractions similaires</w:t>
      </w:r>
      <w:r>
        <w:rPr>
          <w:rStyle w:val="Appelnotedebasdep"/>
        </w:rPr>
        <w:footnoteReference w:id="77"/>
      </w:r>
      <w:r>
        <w:t>.</w:t>
      </w:r>
    </w:p>
    <w:p w:rsidR="007A5F2B" w:rsidRDefault="00DD71E8" w:rsidP="0060445F">
      <w:pPr>
        <w:pStyle w:val="Paragraphe"/>
        <w:spacing w:line="240" w:lineRule="auto"/>
      </w:pPr>
      <w:r>
        <w:t>À ce sujet, le poursuivant réfère le Tribunal au tableau confectionné et déposé en preuve</w:t>
      </w:r>
      <w:r>
        <w:rPr>
          <w:rStyle w:val="Appelnotedebasdep"/>
        </w:rPr>
        <w:footnoteReference w:id="78"/>
      </w:r>
      <w:r>
        <w:t xml:space="preserve">, lequel illustre toutes les peines infligées aux autres co-accusés. </w:t>
      </w:r>
    </w:p>
    <w:p w:rsidR="00B40903" w:rsidRDefault="00DD71E8" w:rsidP="0060445F">
      <w:pPr>
        <w:pStyle w:val="Paragraphe"/>
        <w:spacing w:line="240" w:lineRule="auto"/>
      </w:pPr>
      <w:r>
        <w:t>La défense met</w:t>
      </w:r>
      <w:r w:rsidR="00D40C4D">
        <w:t xml:space="preserve"> néanmoins</w:t>
      </w:r>
      <w:r>
        <w:t xml:space="preserve"> en relief le fait que les co-accusés Blais et Thibodeau ont écopé de peines plus importantes en raison des quantités plus grandes de drogues transigées.</w:t>
      </w:r>
    </w:p>
    <w:p w:rsidR="00B40903" w:rsidRPr="00194F4D" w:rsidRDefault="00DD71E8" w:rsidP="002D7317">
      <w:pPr>
        <w:pStyle w:val="Paragraphe"/>
        <w:spacing w:line="240" w:lineRule="auto"/>
      </w:pPr>
      <w:r>
        <w:t>Quant au co-accusé Bolduc, il s’est vu imposer une peine d’emprisonnement de 6</w:t>
      </w:r>
      <w:r w:rsidR="00A74270">
        <w:t> </w:t>
      </w:r>
      <w:r>
        <w:t>mois</w:t>
      </w:r>
      <w:r w:rsidR="00A74270">
        <w:t xml:space="preserve"> </w:t>
      </w:r>
      <w:r>
        <w:t xml:space="preserve">pour avoir fait deux trafics, </w:t>
      </w:r>
      <w:r w:rsidR="009A2A5C">
        <w:t xml:space="preserve">alors que </w:t>
      </w:r>
      <w:r>
        <w:t>l’accusé Dubois Beauregard</w:t>
      </w:r>
      <w:r w:rsidR="009A2A5C">
        <w:t xml:space="preserve"> en a fait trois</w:t>
      </w:r>
      <w:r>
        <w:t>.</w:t>
      </w:r>
    </w:p>
    <w:p w:rsidR="0087120B" w:rsidRPr="00425B28" w:rsidRDefault="00DD71E8" w:rsidP="0087120B">
      <w:pPr>
        <w:pStyle w:val="Paragraphe"/>
        <w:numPr>
          <w:ilvl w:val="0"/>
          <w:numId w:val="0"/>
        </w:numPr>
        <w:spacing w:line="240" w:lineRule="auto"/>
        <w:rPr>
          <w:b/>
          <w:bCs/>
        </w:rPr>
      </w:pPr>
      <w:r w:rsidRPr="00194F4D">
        <w:rPr>
          <w:b/>
        </w:rPr>
        <w:t>LA PEINE</w:t>
      </w:r>
      <w:r w:rsidRPr="00317332">
        <w:rPr>
          <w:b/>
        </w:rPr>
        <w:t xml:space="preserve"> JUSTE, APPROPRIÉE ET PROPORTIONNELLE </w:t>
      </w:r>
      <w:r w:rsidR="00765D31">
        <w:rPr>
          <w:b/>
        </w:rPr>
        <w:t>À IMPOSER EN L’ESPÈCE</w:t>
      </w:r>
    </w:p>
    <w:p w:rsidR="002D7317" w:rsidRDefault="00DD71E8" w:rsidP="00AF7925">
      <w:pPr>
        <w:pStyle w:val="Paragraphe"/>
        <w:spacing w:line="240" w:lineRule="auto"/>
        <w:rPr>
          <w:rFonts w:cs="Arial"/>
          <w:szCs w:val="24"/>
        </w:rPr>
      </w:pPr>
      <w:r>
        <w:rPr>
          <w:rFonts w:cs="Arial"/>
          <w:szCs w:val="24"/>
        </w:rPr>
        <w:t xml:space="preserve">En matière de trafic et de possession en vue de faire le trafic de drogues dures, </w:t>
      </w:r>
      <w:r w:rsidR="00474EB8">
        <w:rPr>
          <w:rFonts w:cs="Arial"/>
          <w:szCs w:val="24"/>
        </w:rPr>
        <w:t xml:space="preserve">il est indéniable que </w:t>
      </w:r>
      <w:r>
        <w:rPr>
          <w:rFonts w:cs="Arial"/>
          <w:szCs w:val="24"/>
        </w:rPr>
        <w:t>le</w:t>
      </w:r>
      <w:r w:rsidR="00474EB8">
        <w:rPr>
          <w:rFonts w:cs="Arial"/>
          <w:szCs w:val="24"/>
        </w:rPr>
        <w:t>s tribunaux doivent accorder une attention particulière aux objectifs de dénonciation et de dissuasion afin de décrier que de tels comportements sont hautement répréhensibles et d’une nuisibilité sans nom.</w:t>
      </w:r>
    </w:p>
    <w:p w:rsidR="00474EB8" w:rsidRPr="00D40C4D" w:rsidRDefault="00DD71E8" w:rsidP="00AF7925">
      <w:pPr>
        <w:pStyle w:val="Paragraphe"/>
        <w:spacing w:line="240" w:lineRule="auto"/>
        <w:rPr>
          <w:rFonts w:cs="Arial"/>
          <w:szCs w:val="24"/>
        </w:rPr>
      </w:pPr>
      <w:r w:rsidRPr="00D40C4D">
        <w:rPr>
          <w:rFonts w:cs="Arial"/>
          <w:szCs w:val="24"/>
        </w:rPr>
        <w:t>Néanmoins, même pour la criminalité de cette nature, le critère de réhabilitation ne peut être occulté, surtout lorsqu’il est question d’une réhabilitation convaincante comme en l’espèce</w:t>
      </w:r>
      <w:r w:rsidR="008A7975" w:rsidRPr="00D40C4D">
        <w:rPr>
          <w:rFonts w:cs="Arial"/>
          <w:szCs w:val="24"/>
        </w:rPr>
        <w:t>, laquelle devient ainsi prééminente</w:t>
      </w:r>
      <w:r>
        <w:rPr>
          <w:rStyle w:val="Appelnotedebasdep"/>
          <w:rFonts w:cs="Arial"/>
          <w:szCs w:val="24"/>
        </w:rPr>
        <w:footnoteReference w:id="79"/>
      </w:r>
      <w:r w:rsidRPr="00D40C4D">
        <w:rPr>
          <w:rFonts w:cs="Arial"/>
          <w:szCs w:val="24"/>
        </w:rPr>
        <w:t>.</w:t>
      </w:r>
      <w:r w:rsidR="00AA7B28" w:rsidRPr="00D40C4D">
        <w:rPr>
          <w:rFonts w:cs="Arial"/>
          <w:szCs w:val="24"/>
        </w:rPr>
        <w:t xml:space="preserve"> L’accusé a certes eu un long et grave écart de conduite, mais </w:t>
      </w:r>
      <w:r w:rsidR="00D40C4D">
        <w:rPr>
          <w:rFonts w:cs="Arial"/>
          <w:szCs w:val="24"/>
        </w:rPr>
        <w:t xml:space="preserve">il </w:t>
      </w:r>
      <w:r w:rsidR="00AA7B28" w:rsidRPr="00D40C4D">
        <w:rPr>
          <w:rFonts w:cs="Arial"/>
          <w:szCs w:val="24"/>
        </w:rPr>
        <w:t xml:space="preserve">n’apparaît pas </w:t>
      </w:r>
      <w:r w:rsidR="00D40C4D">
        <w:rPr>
          <w:rFonts w:cs="Arial"/>
          <w:szCs w:val="24"/>
        </w:rPr>
        <w:t>« </w:t>
      </w:r>
      <w:r w:rsidR="00AA7B28" w:rsidRPr="00D40C4D">
        <w:rPr>
          <w:rFonts w:cs="Arial"/>
          <w:szCs w:val="24"/>
        </w:rPr>
        <w:t>irrécupérable</w:t>
      </w:r>
      <w:r w:rsidR="00D40C4D">
        <w:rPr>
          <w:rFonts w:cs="Arial"/>
          <w:szCs w:val="24"/>
        </w:rPr>
        <w:t> », au contraire</w:t>
      </w:r>
      <w:r w:rsidR="00AA7B28" w:rsidRPr="00D40C4D">
        <w:rPr>
          <w:rFonts w:cs="Arial"/>
          <w:szCs w:val="24"/>
        </w:rPr>
        <w:t>.</w:t>
      </w:r>
    </w:p>
    <w:p w:rsidR="0007483F" w:rsidRPr="008A7975" w:rsidRDefault="00DD71E8" w:rsidP="008A7975">
      <w:pPr>
        <w:pStyle w:val="Paragraphe"/>
        <w:spacing w:line="240" w:lineRule="auto"/>
        <w:rPr>
          <w:rFonts w:cs="Arial"/>
          <w:szCs w:val="24"/>
        </w:rPr>
      </w:pPr>
      <w:r w:rsidRPr="00474EB8">
        <w:rPr>
          <w:rFonts w:cs="Arial"/>
          <w:szCs w:val="24"/>
        </w:rPr>
        <w:t>E</w:t>
      </w:r>
      <w:r>
        <w:rPr>
          <w:rFonts w:cs="Arial"/>
          <w:szCs w:val="24"/>
        </w:rPr>
        <w:t>n</w:t>
      </w:r>
      <w:r w:rsidRPr="00474EB8">
        <w:rPr>
          <w:rFonts w:cs="Arial"/>
          <w:szCs w:val="24"/>
        </w:rPr>
        <w:t xml:space="preserve"> effet, </w:t>
      </w:r>
      <w:r w:rsidR="008A7975">
        <w:rPr>
          <w:rFonts w:cs="Arial"/>
          <w:szCs w:val="24"/>
        </w:rPr>
        <w:t xml:space="preserve">l’accusé </w:t>
      </w:r>
      <w:r>
        <w:rPr>
          <w:rFonts w:cs="Arial"/>
          <w:szCs w:val="24"/>
        </w:rPr>
        <w:t>a su démontrer, au fil du temps, que la voie de la criminalité n’était pas la sienne</w:t>
      </w:r>
      <w:r w:rsidR="008A7975">
        <w:rPr>
          <w:rFonts w:cs="Arial"/>
          <w:szCs w:val="24"/>
        </w:rPr>
        <w:t>: i</w:t>
      </w:r>
      <w:r>
        <w:rPr>
          <w:rFonts w:cs="Arial"/>
          <w:szCs w:val="24"/>
        </w:rPr>
        <w:t xml:space="preserve">l </w:t>
      </w:r>
      <w:r w:rsidR="008A7975">
        <w:rPr>
          <w:rFonts w:cs="Arial"/>
          <w:szCs w:val="24"/>
        </w:rPr>
        <w:t xml:space="preserve">admet ses torts, </w:t>
      </w:r>
      <w:r>
        <w:rPr>
          <w:rFonts w:cs="Arial"/>
          <w:szCs w:val="24"/>
        </w:rPr>
        <w:t xml:space="preserve">s’est trouvé un emploi stable, a eu un enfant, a fait le ménage dans ses fréquentations </w:t>
      </w:r>
      <w:r w:rsidR="008A7975">
        <w:rPr>
          <w:rFonts w:cs="Arial"/>
          <w:szCs w:val="24"/>
        </w:rPr>
        <w:t xml:space="preserve">et </w:t>
      </w:r>
      <w:r>
        <w:rPr>
          <w:rFonts w:cs="Arial"/>
          <w:szCs w:val="24"/>
        </w:rPr>
        <w:t xml:space="preserve">a respecté des conditions sévères </w:t>
      </w:r>
      <w:r w:rsidR="00F578FC">
        <w:rPr>
          <w:rFonts w:cs="Arial"/>
          <w:szCs w:val="24"/>
        </w:rPr>
        <w:t xml:space="preserve">depuis </w:t>
      </w:r>
      <w:r w:rsidR="00D40C4D">
        <w:rPr>
          <w:rFonts w:cs="Arial"/>
          <w:szCs w:val="24"/>
        </w:rPr>
        <w:t>le 26</w:t>
      </w:r>
      <w:r w:rsidR="00A74270">
        <w:rPr>
          <w:rFonts w:cs="Arial"/>
          <w:szCs w:val="24"/>
        </w:rPr>
        <w:t> </w:t>
      </w:r>
      <w:r w:rsidR="00D40C4D">
        <w:rPr>
          <w:rFonts w:cs="Arial"/>
          <w:szCs w:val="24"/>
        </w:rPr>
        <w:t>septembre 2019</w:t>
      </w:r>
      <w:r>
        <w:rPr>
          <w:rStyle w:val="Appelnotedebasdep"/>
          <w:rFonts w:cs="Arial"/>
          <w:szCs w:val="24"/>
        </w:rPr>
        <w:footnoteReference w:id="80"/>
      </w:r>
      <w:r w:rsidR="008A7975">
        <w:rPr>
          <w:rFonts w:cs="Arial"/>
          <w:szCs w:val="24"/>
        </w:rPr>
        <w:t>.</w:t>
      </w:r>
      <w:r w:rsidRPr="008A7975">
        <w:rPr>
          <w:rFonts w:cs="Arial"/>
          <w:szCs w:val="24"/>
        </w:rPr>
        <w:tab/>
      </w:r>
    </w:p>
    <w:p w:rsidR="00AF7925" w:rsidRDefault="00DD71E8" w:rsidP="00AF7925">
      <w:pPr>
        <w:pStyle w:val="Paragraphe"/>
        <w:spacing w:line="240" w:lineRule="auto"/>
      </w:pPr>
      <w:r>
        <w:t xml:space="preserve">Dans ce contexte, les circonstances aggravantes sont ainsi largement compensées par celles </w:t>
      </w:r>
      <w:r w:rsidR="00D420E2">
        <w:t xml:space="preserve">qui sont </w:t>
      </w:r>
      <w:r>
        <w:t xml:space="preserve">atténuantes. </w:t>
      </w:r>
    </w:p>
    <w:p w:rsidR="00AF7925" w:rsidRDefault="00DD71E8" w:rsidP="00896354">
      <w:pPr>
        <w:pStyle w:val="Paragraphe"/>
        <w:spacing w:line="240" w:lineRule="auto"/>
        <w:rPr>
          <w:rFonts w:cs="Arial"/>
          <w:szCs w:val="24"/>
        </w:rPr>
      </w:pPr>
      <w:r>
        <w:rPr>
          <w:rFonts w:cs="Arial"/>
          <w:szCs w:val="24"/>
        </w:rPr>
        <w:t xml:space="preserve">Néanmoins, une </w:t>
      </w:r>
      <w:r w:rsidRPr="000816E3">
        <w:rPr>
          <w:rFonts w:cs="Arial"/>
          <w:szCs w:val="24"/>
        </w:rPr>
        <w:t>peine d’emprisonnement s’avère de mise</w:t>
      </w:r>
      <w:r>
        <w:rPr>
          <w:rFonts w:cs="Arial"/>
          <w:szCs w:val="24"/>
        </w:rPr>
        <w:t>, considérant l’ensemble des circonstances en cause, ce sur quoi les parties s’entendent.</w:t>
      </w:r>
    </w:p>
    <w:p w:rsidR="00D41425" w:rsidRPr="00D41425" w:rsidRDefault="00DD71E8" w:rsidP="00D41425">
      <w:pPr>
        <w:pStyle w:val="Paragraphe"/>
        <w:numPr>
          <w:ilvl w:val="0"/>
          <w:numId w:val="0"/>
        </w:numPr>
        <w:spacing w:line="240" w:lineRule="auto"/>
        <w:rPr>
          <w:b/>
        </w:rPr>
      </w:pPr>
      <w:r w:rsidRPr="00D41425">
        <w:rPr>
          <w:b/>
        </w:rPr>
        <w:t>L</w:t>
      </w:r>
      <w:r w:rsidR="00AA7B28">
        <w:rPr>
          <w:b/>
        </w:rPr>
        <w:t xml:space="preserve">es amendements apportés au </w:t>
      </w:r>
      <w:r w:rsidR="00AA7B28" w:rsidRPr="00AA7B28">
        <w:rPr>
          <w:b/>
          <w:i/>
          <w:iCs/>
        </w:rPr>
        <w:t>Code criminel</w:t>
      </w:r>
      <w:r w:rsidR="00AA7B28">
        <w:rPr>
          <w:b/>
        </w:rPr>
        <w:t xml:space="preserve"> et l</w:t>
      </w:r>
      <w:r w:rsidRPr="00D41425">
        <w:rPr>
          <w:b/>
        </w:rPr>
        <w:t xml:space="preserve">a possibilité de purger cette peine </w:t>
      </w:r>
      <w:r>
        <w:rPr>
          <w:b/>
        </w:rPr>
        <w:t xml:space="preserve">d’emprisonnement </w:t>
      </w:r>
      <w:r w:rsidRPr="00D41425">
        <w:rPr>
          <w:b/>
        </w:rPr>
        <w:t>dans la collectivité</w:t>
      </w:r>
      <w:r w:rsidR="00AA7B28">
        <w:rPr>
          <w:b/>
        </w:rPr>
        <w:t xml:space="preserve"> </w:t>
      </w:r>
    </w:p>
    <w:p w:rsidR="00532D40" w:rsidRDefault="00DD71E8" w:rsidP="00EE0FAD">
      <w:pPr>
        <w:pStyle w:val="Paragraphe"/>
        <w:spacing w:line="240" w:lineRule="auto"/>
        <w:rPr>
          <w:rFonts w:cs="Arial"/>
          <w:szCs w:val="24"/>
        </w:rPr>
      </w:pPr>
      <w:r>
        <w:rPr>
          <w:rFonts w:cs="Arial"/>
          <w:szCs w:val="24"/>
        </w:rPr>
        <w:t>La défense plaide que la jurisprudence reconnaît que l’emprisonnement dans la collectivité est une peine sévère, et parfois même plus sévère qu’une peine d’emprisonnement dans un établissement de détention</w:t>
      </w:r>
      <w:r>
        <w:rPr>
          <w:rStyle w:val="Appelnotedebasdep"/>
          <w:rFonts w:cs="Arial"/>
          <w:szCs w:val="24"/>
        </w:rPr>
        <w:footnoteReference w:id="81"/>
      </w:r>
      <w:r>
        <w:rPr>
          <w:rFonts w:cs="Arial"/>
          <w:szCs w:val="24"/>
        </w:rPr>
        <w:t>.</w:t>
      </w:r>
    </w:p>
    <w:p w:rsidR="00676764" w:rsidRDefault="00DD71E8" w:rsidP="004E17E3">
      <w:pPr>
        <w:pStyle w:val="Paragraphe"/>
        <w:spacing w:line="240" w:lineRule="auto"/>
        <w:rPr>
          <w:rFonts w:cs="Arial"/>
          <w:szCs w:val="24"/>
        </w:rPr>
      </w:pPr>
      <w:r w:rsidRPr="00FC1F55">
        <w:rPr>
          <w:rFonts w:cs="Arial"/>
          <w:szCs w:val="24"/>
        </w:rPr>
        <w:t xml:space="preserve">Elle </w:t>
      </w:r>
      <w:r w:rsidR="00D420E2">
        <w:rPr>
          <w:rFonts w:cs="Arial"/>
          <w:szCs w:val="24"/>
        </w:rPr>
        <w:t>renvoi</w:t>
      </w:r>
      <w:r w:rsidR="003412E8">
        <w:rPr>
          <w:rFonts w:cs="Arial"/>
          <w:szCs w:val="24"/>
        </w:rPr>
        <w:t>e</w:t>
      </w:r>
      <w:r w:rsidRPr="00FC1F55">
        <w:rPr>
          <w:rFonts w:cs="Arial"/>
          <w:szCs w:val="24"/>
        </w:rPr>
        <w:t xml:space="preserve"> également à l’arrêt </w:t>
      </w:r>
      <w:r w:rsidRPr="00FC1F55">
        <w:rPr>
          <w:rFonts w:cs="Arial"/>
          <w:i/>
          <w:iCs/>
          <w:szCs w:val="24"/>
        </w:rPr>
        <w:t>Charrière</w:t>
      </w:r>
      <w:r>
        <w:rPr>
          <w:rStyle w:val="Appelnotedebasdep"/>
          <w:rFonts w:cs="Arial"/>
          <w:szCs w:val="24"/>
        </w:rPr>
        <w:footnoteReference w:id="82"/>
      </w:r>
      <w:r w:rsidRPr="00FC1F55">
        <w:rPr>
          <w:rFonts w:cs="Arial"/>
          <w:szCs w:val="24"/>
        </w:rPr>
        <w:t xml:space="preserve"> dans lequel notre Cour d’appel traite de la démarche à adopter lorsqu’est abordée la question de l’emprisonnement dans la collectivité.</w:t>
      </w:r>
      <w:r w:rsidR="00FC1F55" w:rsidRPr="00FC1F55">
        <w:rPr>
          <w:rFonts w:cs="Arial"/>
          <w:szCs w:val="24"/>
        </w:rPr>
        <w:t xml:space="preserve"> </w:t>
      </w:r>
      <w:r w:rsidRPr="00FC1F55">
        <w:rPr>
          <w:rFonts w:cs="Arial"/>
          <w:szCs w:val="24"/>
        </w:rPr>
        <w:t xml:space="preserve">Il y est indiqué que les </w:t>
      </w:r>
      <w:r w:rsidR="00FC1F55" w:rsidRPr="00FC1F55">
        <w:rPr>
          <w:rFonts w:cs="Arial"/>
          <w:szCs w:val="24"/>
        </w:rPr>
        <w:t xml:space="preserve">critères à respecter, </w:t>
      </w:r>
      <w:r w:rsidRPr="00FC1F55">
        <w:rPr>
          <w:rFonts w:cs="Arial"/>
          <w:szCs w:val="24"/>
        </w:rPr>
        <w:t>auxquels réfère la Cour suprême dans l’arrêt</w:t>
      </w:r>
      <w:r w:rsidR="009F57CB">
        <w:rPr>
          <w:rFonts w:cs="Arial"/>
          <w:szCs w:val="24"/>
        </w:rPr>
        <w:t xml:space="preserve"> </w:t>
      </w:r>
      <w:r w:rsidRPr="00FC1F55">
        <w:rPr>
          <w:rFonts w:cs="Arial"/>
          <w:i/>
          <w:iCs/>
          <w:szCs w:val="24"/>
        </w:rPr>
        <w:t>Proulx</w:t>
      </w:r>
      <w:r>
        <w:rPr>
          <w:rStyle w:val="Appelnotedebasdep"/>
          <w:rFonts w:cs="Arial"/>
          <w:i/>
          <w:iCs/>
          <w:szCs w:val="24"/>
        </w:rPr>
        <w:footnoteReference w:id="83"/>
      </w:r>
      <w:r w:rsidRPr="00FC1F55">
        <w:rPr>
          <w:rFonts w:cs="Arial"/>
          <w:szCs w:val="24"/>
        </w:rPr>
        <w:t>, sont codifiés à l’</w:t>
      </w:r>
      <w:r w:rsidRPr="00FC1F55">
        <w:rPr>
          <w:szCs w:val="24"/>
        </w:rPr>
        <w:t>article</w:t>
      </w:r>
      <w:r w:rsidR="00A74270">
        <w:rPr>
          <w:szCs w:val="24"/>
        </w:rPr>
        <w:t> </w:t>
      </w:r>
      <w:r w:rsidRPr="00FC1F55">
        <w:rPr>
          <w:szCs w:val="24"/>
        </w:rPr>
        <w:t>742.1</w:t>
      </w:r>
      <w:r w:rsidRPr="00FC1F55">
        <w:rPr>
          <w:rFonts w:cs="Arial"/>
          <w:szCs w:val="24"/>
        </w:rPr>
        <w:t> </w:t>
      </w:r>
      <w:r w:rsidRPr="00FC1F55">
        <w:rPr>
          <w:szCs w:val="24"/>
        </w:rPr>
        <w:t>C.cr</w:t>
      </w:r>
      <w:r w:rsidRPr="00FC1F55">
        <w:rPr>
          <w:rFonts w:cs="Arial"/>
          <w:szCs w:val="24"/>
        </w:rPr>
        <w:t>. Or, chacun de ces préalables doit recevoir une réponse positive pour que l’emprisonnement avec sursis puisse être ordonné</w:t>
      </w:r>
      <w:r>
        <w:rPr>
          <w:rFonts w:cs="Arial"/>
          <w:szCs w:val="24"/>
        </w:rPr>
        <w:t>.</w:t>
      </w:r>
    </w:p>
    <w:p w:rsidR="00676764" w:rsidRDefault="00DD71E8" w:rsidP="004E17E3">
      <w:pPr>
        <w:pStyle w:val="Paragraphe"/>
        <w:spacing w:line="240" w:lineRule="auto"/>
        <w:rPr>
          <w:rFonts w:cs="Arial"/>
          <w:szCs w:val="24"/>
        </w:rPr>
      </w:pPr>
      <w:r>
        <w:rPr>
          <w:rFonts w:cs="Arial"/>
          <w:szCs w:val="24"/>
        </w:rPr>
        <w:t>Or, depuis le 17</w:t>
      </w:r>
      <w:r w:rsidR="00A74270">
        <w:rPr>
          <w:rFonts w:cs="Arial"/>
          <w:szCs w:val="24"/>
        </w:rPr>
        <w:t> </w:t>
      </w:r>
      <w:r>
        <w:rPr>
          <w:rFonts w:cs="Arial"/>
          <w:szCs w:val="24"/>
        </w:rPr>
        <w:t>novembre dernier, le projet de loi C-5 cristallise les modifications législatives adoptées afin de permettre un recours accru aux ordonnances d’emprisonnement dans la collectivité, dites de sursis, lesquelles sont prévues au Code criminel.</w:t>
      </w:r>
    </w:p>
    <w:p w:rsidR="00C517A3" w:rsidRDefault="00DD71E8" w:rsidP="004E17E3">
      <w:pPr>
        <w:pStyle w:val="Paragraphe"/>
        <w:spacing w:line="240" w:lineRule="auto"/>
        <w:rPr>
          <w:rFonts w:cs="Arial"/>
          <w:szCs w:val="24"/>
        </w:rPr>
      </w:pPr>
      <w:r>
        <w:rPr>
          <w:rFonts w:cs="Arial"/>
          <w:szCs w:val="24"/>
        </w:rPr>
        <w:t>Ces ordonnances de sursis favorisent l’application de</w:t>
      </w:r>
      <w:r w:rsidR="00261248">
        <w:rPr>
          <w:rFonts w:cs="Arial"/>
          <w:szCs w:val="24"/>
        </w:rPr>
        <w:t>s</w:t>
      </w:r>
      <w:r>
        <w:rPr>
          <w:rFonts w:cs="Arial"/>
          <w:szCs w:val="24"/>
        </w:rPr>
        <w:t xml:space="preserve"> principes de justice réparatrice en visant à réduire, dans la mesure du possible, le recours à l’emprisonnement tout en mettant</w:t>
      </w:r>
      <w:r w:rsidR="00261248">
        <w:rPr>
          <w:rFonts w:cs="Arial"/>
          <w:szCs w:val="24"/>
        </w:rPr>
        <w:t xml:space="preserve"> au premier plan</w:t>
      </w:r>
      <w:r w:rsidR="006F7EAD" w:rsidRPr="006F7EAD">
        <w:rPr>
          <w:rFonts w:cs="Arial"/>
          <w:color w:val="FF0000"/>
          <w:szCs w:val="24"/>
        </w:rPr>
        <w:t xml:space="preserve"> </w:t>
      </w:r>
      <w:r>
        <w:rPr>
          <w:rFonts w:cs="Arial"/>
          <w:szCs w:val="24"/>
        </w:rPr>
        <w:t xml:space="preserve">les objectifs de dénonciation et de dissuasion associés à la détermination de la peine. </w:t>
      </w:r>
    </w:p>
    <w:p w:rsidR="00FC1F55" w:rsidRDefault="00DD71E8" w:rsidP="004E17E3">
      <w:pPr>
        <w:pStyle w:val="Paragraphe"/>
        <w:spacing w:line="240" w:lineRule="auto"/>
        <w:rPr>
          <w:rFonts w:cs="Arial"/>
          <w:szCs w:val="24"/>
        </w:rPr>
      </w:pPr>
      <w:r>
        <w:rPr>
          <w:rFonts w:cs="Arial"/>
          <w:szCs w:val="24"/>
        </w:rPr>
        <w:t xml:space="preserve">Afin qu’un délinquant puisse </w:t>
      </w:r>
      <w:r w:rsidR="00D420E2">
        <w:rPr>
          <w:rFonts w:cs="Arial"/>
          <w:szCs w:val="24"/>
        </w:rPr>
        <w:t>tire</w:t>
      </w:r>
      <w:r w:rsidR="00261248">
        <w:rPr>
          <w:rFonts w:cs="Arial"/>
          <w:szCs w:val="24"/>
        </w:rPr>
        <w:t>r</w:t>
      </w:r>
      <w:r w:rsidR="00D420E2">
        <w:rPr>
          <w:rFonts w:cs="Arial"/>
          <w:szCs w:val="24"/>
        </w:rPr>
        <w:t xml:space="preserve"> profit </w:t>
      </w:r>
      <w:r>
        <w:rPr>
          <w:rFonts w:cs="Arial"/>
          <w:szCs w:val="24"/>
        </w:rPr>
        <w:t xml:space="preserve">d’un </w:t>
      </w:r>
      <w:r w:rsidR="00AA7B28">
        <w:rPr>
          <w:rFonts w:cs="Arial"/>
          <w:szCs w:val="24"/>
        </w:rPr>
        <w:t xml:space="preserve">tel </w:t>
      </w:r>
      <w:r>
        <w:rPr>
          <w:rFonts w:cs="Arial"/>
          <w:szCs w:val="24"/>
        </w:rPr>
        <w:t>emprisonnement dans la collectivité, plusieurs conditions doivent être réunies:</w:t>
      </w:r>
    </w:p>
    <w:p w:rsidR="00C517A3" w:rsidRDefault="00DD71E8" w:rsidP="00FC1F55">
      <w:pPr>
        <w:pStyle w:val="Paragraphe"/>
        <w:numPr>
          <w:ilvl w:val="0"/>
          <w:numId w:val="8"/>
        </w:numPr>
        <w:spacing w:line="240" w:lineRule="auto"/>
        <w:rPr>
          <w:rFonts w:cs="Arial"/>
          <w:szCs w:val="24"/>
        </w:rPr>
      </w:pPr>
      <w:r w:rsidRPr="00E371D5">
        <w:rPr>
          <w:rFonts w:cs="Arial"/>
          <w:szCs w:val="24"/>
        </w:rPr>
        <w:t xml:space="preserve">la peine d’emprisonnement infligée </w:t>
      </w:r>
      <w:r>
        <w:rPr>
          <w:rFonts w:cs="Arial"/>
          <w:szCs w:val="24"/>
        </w:rPr>
        <w:t xml:space="preserve">doit être </w:t>
      </w:r>
      <w:r w:rsidRPr="00E371D5">
        <w:rPr>
          <w:rFonts w:cs="Arial"/>
          <w:szCs w:val="24"/>
        </w:rPr>
        <w:t xml:space="preserve">de moins de deux ans </w:t>
      </w:r>
      <w:r>
        <w:rPr>
          <w:rFonts w:cs="Arial"/>
          <w:szCs w:val="24"/>
        </w:rPr>
        <w:t>(art.</w:t>
      </w:r>
      <w:r w:rsidR="00A74270">
        <w:rPr>
          <w:rFonts w:cs="Arial"/>
          <w:szCs w:val="24"/>
        </w:rPr>
        <w:t> </w:t>
      </w:r>
      <w:r>
        <w:rPr>
          <w:rFonts w:cs="Arial"/>
          <w:szCs w:val="24"/>
        </w:rPr>
        <w:t>742.1</w:t>
      </w:r>
      <w:r w:rsidR="00A74270">
        <w:rPr>
          <w:rFonts w:cs="Arial"/>
          <w:szCs w:val="24"/>
        </w:rPr>
        <w:t> </w:t>
      </w:r>
      <w:r>
        <w:rPr>
          <w:rFonts w:cs="Arial"/>
          <w:szCs w:val="24"/>
        </w:rPr>
        <w:t>C.cr.)</w:t>
      </w:r>
      <w:r w:rsidR="00A74270">
        <w:rPr>
          <w:rFonts w:cs="Arial"/>
          <w:szCs w:val="24"/>
        </w:rPr>
        <w:t>;</w:t>
      </w:r>
    </w:p>
    <w:p w:rsidR="00C517A3" w:rsidRDefault="00DD71E8" w:rsidP="00FC1F55">
      <w:pPr>
        <w:pStyle w:val="Paragraphe"/>
        <w:numPr>
          <w:ilvl w:val="0"/>
          <w:numId w:val="8"/>
        </w:numPr>
        <w:spacing w:line="240" w:lineRule="auto"/>
        <w:rPr>
          <w:rFonts w:cs="Arial"/>
          <w:szCs w:val="24"/>
        </w:rPr>
      </w:pPr>
      <w:r w:rsidRPr="00E371D5">
        <w:rPr>
          <w:rFonts w:cs="Arial"/>
          <w:szCs w:val="24"/>
        </w:rPr>
        <w:t xml:space="preserve">le délinquant ne </w:t>
      </w:r>
      <w:r>
        <w:rPr>
          <w:rFonts w:cs="Arial"/>
          <w:szCs w:val="24"/>
        </w:rPr>
        <w:t>doit pas mettre</w:t>
      </w:r>
      <w:r w:rsidRPr="00E371D5">
        <w:rPr>
          <w:rFonts w:cs="Arial"/>
          <w:szCs w:val="24"/>
        </w:rPr>
        <w:t xml:space="preserve"> en danger la sécurité de la collectivité </w:t>
      </w:r>
      <w:r>
        <w:rPr>
          <w:rFonts w:cs="Arial"/>
          <w:szCs w:val="24"/>
        </w:rPr>
        <w:t>(alinéa</w:t>
      </w:r>
      <w:r w:rsidR="00A74270">
        <w:rPr>
          <w:rFonts w:cs="Arial"/>
          <w:szCs w:val="24"/>
        </w:rPr>
        <w:t> </w:t>
      </w:r>
      <w:r>
        <w:rPr>
          <w:rFonts w:cs="Arial"/>
          <w:szCs w:val="24"/>
        </w:rPr>
        <w:t>742.1 a) C.cr.)</w:t>
      </w:r>
      <w:r w:rsidR="00A74270">
        <w:rPr>
          <w:rFonts w:cs="Arial"/>
          <w:szCs w:val="24"/>
        </w:rPr>
        <w:t>;</w:t>
      </w:r>
    </w:p>
    <w:p w:rsidR="00C517A3" w:rsidRPr="009A2A5C" w:rsidRDefault="00DD71E8" w:rsidP="00FC1F55">
      <w:pPr>
        <w:pStyle w:val="Paragraphe"/>
        <w:numPr>
          <w:ilvl w:val="0"/>
          <w:numId w:val="8"/>
        </w:numPr>
        <w:spacing w:line="240" w:lineRule="auto"/>
        <w:rPr>
          <w:rFonts w:cs="Arial"/>
          <w:szCs w:val="24"/>
        </w:rPr>
      </w:pPr>
      <w:r w:rsidRPr="00E371D5">
        <w:rPr>
          <w:rFonts w:cs="Arial"/>
          <w:szCs w:val="24"/>
        </w:rPr>
        <w:t xml:space="preserve">l’emprisonnement avec sursis </w:t>
      </w:r>
      <w:r>
        <w:rPr>
          <w:rFonts w:cs="Arial"/>
          <w:szCs w:val="24"/>
        </w:rPr>
        <w:t xml:space="preserve">doit être </w:t>
      </w:r>
      <w:r w:rsidRPr="00E371D5">
        <w:rPr>
          <w:rFonts w:cs="Arial"/>
          <w:szCs w:val="24"/>
        </w:rPr>
        <w:t xml:space="preserve">conforme </w:t>
      </w:r>
      <w:r>
        <w:rPr>
          <w:rFonts w:cs="Arial"/>
          <w:szCs w:val="24"/>
        </w:rPr>
        <w:t>aux objectifs</w:t>
      </w:r>
      <w:r w:rsidRPr="00E371D5">
        <w:rPr>
          <w:rFonts w:cs="Arial"/>
          <w:szCs w:val="24"/>
        </w:rPr>
        <w:t xml:space="preserve"> et aux principes de la </w:t>
      </w:r>
      <w:r w:rsidRPr="009A2A5C">
        <w:rPr>
          <w:rFonts w:cs="Arial"/>
          <w:szCs w:val="24"/>
        </w:rPr>
        <w:t>détermination de la peine visés aux</w:t>
      </w:r>
      <w:r w:rsidR="00A74270">
        <w:rPr>
          <w:rFonts w:cs="Arial"/>
          <w:szCs w:val="24"/>
        </w:rPr>
        <w:t xml:space="preserve"> </w:t>
      </w:r>
      <w:r w:rsidRPr="009A2A5C">
        <w:rPr>
          <w:szCs w:val="24"/>
        </w:rPr>
        <w:t>articles</w:t>
      </w:r>
      <w:r w:rsidR="00A74270">
        <w:t> </w:t>
      </w:r>
      <w:r w:rsidRPr="009A2A5C">
        <w:rPr>
          <w:szCs w:val="24"/>
        </w:rPr>
        <w:t>718</w:t>
      </w:r>
      <w:r w:rsidR="00A74270">
        <w:rPr>
          <w:szCs w:val="24"/>
        </w:rPr>
        <w:t xml:space="preserve"> </w:t>
      </w:r>
      <w:r w:rsidRPr="009A2A5C">
        <w:rPr>
          <w:rFonts w:cs="Arial"/>
          <w:szCs w:val="24"/>
        </w:rPr>
        <w:t>à</w:t>
      </w:r>
      <w:r w:rsidR="00A74270">
        <w:rPr>
          <w:rFonts w:cs="Arial"/>
          <w:szCs w:val="24"/>
        </w:rPr>
        <w:t xml:space="preserve"> </w:t>
      </w:r>
      <w:r w:rsidRPr="009A2A5C">
        <w:rPr>
          <w:szCs w:val="24"/>
        </w:rPr>
        <w:t>718.2</w:t>
      </w:r>
      <w:r w:rsidRPr="009A2A5C">
        <w:rPr>
          <w:rFonts w:cs="Arial"/>
          <w:szCs w:val="24"/>
        </w:rPr>
        <w:t> </w:t>
      </w:r>
      <w:r w:rsidRPr="009A2A5C">
        <w:rPr>
          <w:szCs w:val="24"/>
        </w:rPr>
        <w:t>C.cr</w:t>
      </w:r>
      <w:r w:rsidRPr="009A2A5C">
        <w:rPr>
          <w:rFonts w:cs="Arial"/>
          <w:szCs w:val="24"/>
        </w:rPr>
        <w:t>. (alinéa</w:t>
      </w:r>
      <w:r w:rsidR="00A74270">
        <w:rPr>
          <w:rFonts w:cs="Arial"/>
          <w:szCs w:val="24"/>
        </w:rPr>
        <w:t> </w:t>
      </w:r>
      <w:r w:rsidRPr="009A2A5C">
        <w:rPr>
          <w:rFonts w:cs="Arial"/>
          <w:szCs w:val="24"/>
        </w:rPr>
        <w:t>742.1 a) C.cr.);</w:t>
      </w:r>
    </w:p>
    <w:p w:rsidR="00C517A3" w:rsidRPr="009A2A5C" w:rsidRDefault="00DD71E8" w:rsidP="00C517A3">
      <w:pPr>
        <w:pStyle w:val="Paragraphe"/>
        <w:numPr>
          <w:ilvl w:val="0"/>
          <w:numId w:val="8"/>
        </w:numPr>
        <w:spacing w:line="240" w:lineRule="auto"/>
        <w:rPr>
          <w:rFonts w:cs="Arial"/>
          <w:szCs w:val="24"/>
        </w:rPr>
      </w:pPr>
      <w:r w:rsidRPr="009A2A5C">
        <w:rPr>
          <w:rFonts w:cs="Arial"/>
          <w:szCs w:val="24"/>
        </w:rPr>
        <w:t>l’infraction ne doit pas prévoir une peine minimale (alinéa</w:t>
      </w:r>
      <w:r w:rsidR="00A74270">
        <w:rPr>
          <w:rFonts w:cs="Arial"/>
          <w:szCs w:val="24"/>
        </w:rPr>
        <w:t> </w:t>
      </w:r>
      <w:r w:rsidRPr="009A2A5C">
        <w:rPr>
          <w:rFonts w:cs="Arial"/>
          <w:szCs w:val="24"/>
        </w:rPr>
        <w:t>742.1 b) C.cr.).</w:t>
      </w:r>
    </w:p>
    <w:p w:rsidR="00C517A3" w:rsidRPr="009A2A5C" w:rsidRDefault="00DD71E8" w:rsidP="00D40C4D">
      <w:pPr>
        <w:pStyle w:val="Paragraphe"/>
        <w:spacing w:line="240" w:lineRule="auto"/>
        <w:rPr>
          <w:rFonts w:cs="Arial"/>
          <w:szCs w:val="24"/>
        </w:rPr>
      </w:pPr>
      <w:r w:rsidRPr="009A2A5C">
        <w:rPr>
          <w:rFonts w:cs="Arial"/>
          <w:szCs w:val="24"/>
        </w:rPr>
        <w:t>D’autres restrictions limitent le recours à l’emprisonnement dans la collectivité pour certains types d’infraction</w:t>
      </w:r>
      <w:r w:rsidR="00D420E2">
        <w:rPr>
          <w:rFonts w:cs="Arial"/>
          <w:szCs w:val="24"/>
        </w:rPr>
        <w:t>s</w:t>
      </w:r>
      <w:r w:rsidRPr="009A2A5C">
        <w:rPr>
          <w:rFonts w:cs="Arial"/>
          <w:szCs w:val="24"/>
        </w:rPr>
        <w:t>.</w:t>
      </w:r>
      <w:r w:rsidR="00AA7B28" w:rsidRPr="009A2A5C">
        <w:rPr>
          <w:rFonts w:cs="Arial"/>
          <w:szCs w:val="24"/>
        </w:rPr>
        <w:t xml:space="preserve"> </w:t>
      </w:r>
      <w:r w:rsidRPr="009A2A5C">
        <w:rPr>
          <w:rFonts w:cs="Arial"/>
          <w:szCs w:val="24"/>
        </w:rPr>
        <w:t>Notons</w:t>
      </w:r>
      <w:r w:rsidR="00FD7111" w:rsidRPr="009A2A5C">
        <w:rPr>
          <w:rFonts w:cs="Arial"/>
          <w:szCs w:val="24"/>
        </w:rPr>
        <w:t>,</w:t>
      </w:r>
      <w:r w:rsidRPr="009A2A5C">
        <w:rPr>
          <w:rFonts w:cs="Arial"/>
          <w:szCs w:val="24"/>
        </w:rPr>
        <w:t xml:space="preserve"> en ce qui nous concerne</w:t>
      </w:r>
      <w:r w:rsidR="00FD7111" w:rsidRPr="009A2A5C">
        <w:rPr>
          <w:rFonts w:cs="Arial"/>
          <w:szCs w:val="24"/>
        </w:rPr>
        <w:t>,</w:t>
      </w:r>
      <w:r w:rsidRPr="009A2A5C">
        <w:rPr>
          <w:rFonts w:cs="Arial"/>
          <w:szCs w:val="24"/>
        </w:rPr>
        <w:t xml:space="preserve"> que </w:t>
      </w:r>
      <w:r w:rsidR="00AA7B28" w:rsidRPr="009A2A5C">
        <w:rPr>
          <w:rFonts w:cs="Arial"/>
          <w:szCs w:val="24"/>
        </w:rPr>
        <w:t xml:space="preserve">cette peine </w:t>
      </w:r>
      <w:r w:rsidRPr="009A2A5C">
        <w:rPr>
          <w:rFonts w:cs="Arial"/>
          <w:szCs w:val="24"/>
        </w:rPr>
        <w:t xml:space="preserve">était, </w:t>
      </w:r>
      <w:r w:rsidR="00FD7111" w:rsidRPr="009A2A5C">
        <w:rPr>
          <w:rFonts w:cs="Arial"/>
          <w:szCs w:val="24"/>
        </w:rPr>
        <w:t xml:space="preserve">avant </w:t>
      </w:r>
      <w:r w:rsidR="00441559" w:rsidRPr="009A2A5C">
        <w:rPr>
          <w:rFonts w:cs="Arial"/>
          <w:szCs w:val="24"/>
        </w:rPr>
        <w:t xml:space="preserve">l’entrée en vigueur </w:t>
      </w:r>
      <w:r w:rsidR="00FD7111" w:rsidRPr="009A2A5C">
        <w:rPr>
          <w:rFonts w:cs="Arial"/>
          <w:szCs w:val="24"/>
        </w:rPr>
        <w:t>des modifications</w:t>
      </w:r>
      <w:r w:rsidR="00AA7B28" w:rsidRPr="009A2A5C">
        <w:rPr>
          <w:rFonts w:cs="Arial"/>
          <w:szCs w:val="24"/>
        </w:rPr>
        <w:t>,</w:t>
      </w:r>
      <w:r w:rsidR="00FD7111" w:rsidRPr="009A2A5C">
        <w:rPr>
          <w:rFonts w:cs="Arial"/>
          <w:szCs w:val="24"/>
        </w:rPr>
        <w:t xml:space="preserve"> </w:t>
      </w:r>
      <w:r w:rsidR="00441559" w:rsidRPr="009A2A5C">
        <w:rPr>
          <w:rFonts w:cs="Arial"/>
          <w:szCs w:val="24"/>
        </w:rPr>
        <w:t>non applicable</w:t>
      </w:r>
      <w:r w:rsidR="00FD7111" w:rsidRPr="009A2A5C">
        <w:rPr>
          <w:rFonts w:cs="Arial"/>
          <w:szCs w:val="24"/>
        </w:rPr>
        <w:t xml:space="preserve"> </w:t>
      </w:r>
      <w:r w:rsidR="00AA7B28" w:rsidRPr="009A2A5C">
        <w:rPr>
          <w:rFonts w:cs="Arial"/>
          <w:szCs w:val="24"/>
        </w:rPr>
        <w:t xml:space="preserve">sur </w:t>
      </w:r>
      <w:r w:rsidR="00D40C4D" w:rsidRPr="009A2A5C">
        <w:rPr>
          <w:rFonts w:cs="Arial"/>
          <w:szCs w:val="24"/>
        </w:rPr>
        <w:t>certains chefs, mais que l’ensemble des chefs est désormais assujetti à cette possibilité.</w:t>
      </w:r>
    </w:p>
    <w:p w:rsidR="00AA7B28" w:rsidRPr="00D40C4D" w:rsidRDefault="00DD71E8" w:rsidP="0010119E">
      <w:pPr>
        <w:pStyle w:val="Paragraphe"/>
        <w:spacing w:line="240" w:lineRule="auto"/>
        <w:rPr>
          <w:rFonts w:cs="Arial"/>
          <w:szCs w:val="24"/>
        </w:rPr>
      </w:pPr>
      <w:r w:rsidRPr="009A2A5C">
        <w:rPr>
          <w:rFonts w:cs="Arial"/>
          <w:szCs w:val="24"/>
        </w:rPr>
        <w:t>Or, ce</w:t>
      </w:r>
      <w:r w:rsidR="00A313EA" w:rsidRPr="009A2A5C">
        <w:rPr>
          <w:rFonts w:cs="Arial"/>
          <w:szCs w:val="24"/>
        </w:rPr>
        <w:t xml:space="preserve"> type de peine </w:t>
      </w:r>
      <w:r w:rsidRPr="009A2A5C">
        <w:rPr>
          <w:rFonts w:cs="Arial"/>
          <w:szCs w:val="24"/>
        </w:rPr>
        <w:t>trouve application en l’espèce</w:t>
      </w:r>
      <w:r w:rsidRPr="00D40C4D">
        <w:rPr>
          <w:rFonts w:cs="Arial"/>
          <w:szCs w:val="24"/>
        </w:rPr>
        <w:t xml:space="preserve"> puisqu’il appert que l’emprisonnement avec sursis peut être octroyé malgré le fait que les principes de dénonciation et de dissuasion doivent être privilégiés</w:t>
      </w:r>
      <w:r>
        <w:rPr>
          <w:rStyle w:val="Appelnotedebasdep"/>
          <w:rFonts w:cs="Arial"/>
          <w:szCs w:val="24"/>
        </w:rPr>
        <w:footnoteReference w:id="84"/>
      </w:r>
      <w:r w:rsidRPr="00D40C4D">
        <w:rPr>
          <w:rFonts w:cs="Arial"/>
          <w:szCs w:val="24"/>
        </w:rPr>
        <w:t>.</w:t>
      </w:r>
    </w:p>
    <w:p w:rsidR="00AA7B28" w:rsidRPr="00A313EA" w:rsidRDefault="00DD71E8" w:rsidP="00A313EA">
      <w:pPr>
        <w:pStyle w:val="Paragraphe"/>
        <w:spacing w:line="240" w:lineRule="auto"/>
        <w:rPr>
          <w:rFonts w:cs="Arial"/>
          <w:szCs w:val="24"/>
        </w:rPr>
      </w:pPr>
      <w:r>
        <w:rPr>
          <w:rFonts w:cs="Arial"/>
          <w:szCs w:val="24"/>
        </w:rPr>
        <w:t xml:space="preserve">Par ailleurs, la preuve révèle que l’accusé </w:t>
      </w:r>
      <w:r w:rsidR="00FC1F55">
        <w:rPr>
          <w:rFonts w:cs="Arial"/>
          <w:szCs w:val="24"/>
        </w:rPr>
        <w:t xml:space="preserve">ne représenterait aucunement un danger </w:t>
      </w:r>
      <w:r>
        <w:rPr>
          <w:rFonts w:cs="Arial"/>
          <w:szCs w:val="24"/>
        </w:rPr>
        <w:t>pour la société, et ce, p</w:t>
      </w:r>
      <w:r w:rsidR="00FC1F55">
        <w:rPr>
          <w:rFonts w:cs="Arial"/>
          <w:szCs w:val="24"/>
        </w:rPr>
        <w:t xml:space="preserve">our les raisons suivantes. </w:t>
      </w:r>
    </w:p>
    <w:p w:rsidR="00FC1F55" w:rsidRDefault="00DD71E8" w:rsidP="00FC1F55">
      <w:pPr>
        <w:pStyle w:val="Paragraphe"/>
        <w:spacing w:line="240" w:lineRule="auto"/>
        <w:rPr>
          <w:rFonts w:cs="Arial"/>
          <w:szCs w:val="24"/>
        </w:rPr>
      </w:pPr>
      <w:r>
        <w:rPr>
          <w:rFonts w:cs="Arial"/>
          <w:szCs w:val="24"/>
        </w:rPr>
        <w:t>Premièrement, il n’a aucun antécédent judiciaire</w:t>
      </w:r>
      <w:r w:rsidR="00AA7B28">
        <w:rPr>
          <w:rFonts w:cs="Arial"/>
          <w:szCs w:val="24"/>
        </w:rPr>
        <w:t>, il n’est donc pas un individu criminalisé</w:t>
      </w:r>
      <w:r>
        <w:rPr>
          <w:rFonts w:cs="Arial"/>
          <w:szCs w:val="24"/>
        </w:rPr>
        <w:t xml:space="preserve">. Deuxièmement, il bénéficie du soutien de sa famille. Troisièmement, il a su respecter ses conditions de mise en liberté depuis le début des procédures et finalement, il a coupé toute communication avec ses pairs qui ont exercé une mauvaise influence sur lui. </w:t>
      </w:r>
    </w:p>
    <w:p w:rsidR="0080011F" w:rsidRDefault="00DD71E8" w:rsidP="0080011F">
      <w:pPr>
        <w:pStyle w:val="Paragraphe"/>
        <w:spacing w:line="240" w:lineRule="auto"/>
        <w:rPr>
          <w:rFonts w:cs="Arial"/>
          <w:szCs w:val="24"/>
        </w:rPr>
      </w:pPr>
      <w:r>
        <w:rPr>
          <w:rFonts w:cs="Arial"/>
          <w:szCs w:val="24"/>
        </w:rPr>
        <w:t>En l’espèce, à la lumière des efforts entrepris par l’accusé pour se réhabiliter, l’agent de probation est d’avis qu’il serait apte à respecter les conditions qui pourraient lui être imposées par le Tribunal. Ceci est d’autant plus vrai considérant que l’accusé n’affiche aucune problématique psychosociale</w:t>
      </w:r>
      <w:r w:rsidR="00A313EA">
        <w:rPr>
          <w:rFonts w:cs="Arial"/>
          <w:szCs w:val="24"/>
        </w:rPr>
        <w:t>.</w:t>
      </w:r>
    </w:p>
    <w:p w:rsidR="00A313EA" w:rsidRDefault="00DD71E8" w:rsidP="008A7975">
      <w:pPr>
        <w:pStyle w:val="Paragraphe"/>
        <w:spacing w:line="240" w:lineRule="auto"/>
        <w:rPr>
          <w:rFonts w:cs="Arial"/>
          <w:szCs w:val="24"/>
        </w:rPr>
      </w:pPr>
      <w:r w:rsidRPr="00A313EA">
        <w:t xml:space="preserve">Par conséquent, tenant compte des </w:t>
      </w:r>
      <w:r w:rsidRPr="00A313EA">
        <w:rPr>
          <w:rFonts w:cs="Arial"/>
          <w:szCs w:val="24"/>
        </w:rPr>
        <w:t xml:space="preserve">circonstances liées à la commission </w:t>
      </w:r>
      <w:r>
        <w:rPr>
          <w:rFonts w:cs="Arial"/>
          <w:szCs w:val="24"/>
        </w:rPr>
        <w:t xml:space="preserve">des infractions, </w:t>
      </w:r>
      <w:r w:rsidRPr="00A313EA">
        <w:rPr>
          <w:rFonts w:cs="Arial"/>
          <w:szCs w:val="24"/>
        </w:rPr>
        <w:t>de la situation de l’accusé, des principes applicables en matière de détermination de la peine</w:t>
      </w:r>
      <w:r>
        <w:rPr>
          <w:rStyle w:val="Appelnotedebasdep"/>
          <w:rFonts w:cs="Arial"/>
          <w:szCs w:val="24"/>
        </w:rPr>
        <w:footnoteReference w:id="85"/>
      </w:r>
      <w:r w:rsidRPr="00A313EA">
        <w:rPr>
          <w:rFonts w:cs="Arial"/>
          <w:szCs w:val="24"/>
        </w:rPr>
        <w:t xml:space="preserve"> ainsi que de la jurisprudence pertinente, le Tribunal conclut qu’une </w:t>
      </w:r>
      <w:r w:rsidRPr="00F578FC">
        <w:rPr>
          <w:rFonts w:cs="Arial"/>
          <w:b/>
          <w:bCs/>
          <w:szCs w:val="24"/>
        </w:rPr>
        <w:t>peine de 2</w:t>
      </w:r>
      <w:r w:rsidR="000B1ED1">
        <w:rPr>
          <w:rFonts w:cs="Arial"/>
          <w:b/>
          <w:bCs/>
          <w:szCs w:val="24"/>
        </w:rPr>
        <w:t> </w:t>
      </w:r>
      <w:r w:rsidRPr="00F578FC">
        <w:rPr>
          <w:rFonts w:cs="Arial"/>
          <w:b/>
          <w:bCs/>
          <w:szCs w:val="24"/>
        </w:rPr>
        <w:t>ans moins un jour d’emprisonnement dans la collectivité</w:t>
      </w:r>
      <w:r>
        <w:rPr>
          <w:rFonts w:cs="Arial"/>
          <w:szCs w:val="24"/>
        </w:rPr>
        <w:t xml:space="preserve"> est de mise pour les chefs liés à la LRCDAS puisqu’ils comportent une gravité objective et subjective plus important</w:t>
      </w:r>
      <w:r w:rsidR="001D39F3">
        <w:rPr>
          <w:rFonts w:cs="Arial"/>
          <w:szCs w:val="24"/>
        </w:rPr>
        <w:t xml:space="preserve">e que les chefs liés à la </w:t>
      </w:r>
      <w:r w:rsidR="001D39F3" w:rsidRPr="00261248">
        <w:rPr>
          <w:rFonts w:cs="Arial"/>
          <w:i/>
          <w:iCs/>
          <w:szCs w:val="24"/>
        </w:rPr>
        <w:t>Loi sur le cannabis</w:t>
      </w:r>
      <w:r w:rsidR="001D39F3">
        <w:rPr>
          <w:rFonts w:cs="Arial"/>
          <w:szCs w:val="24"/>
        </w:rPr>
        <w:t>.</w:t>
      </w:r>
    </w:p>
    <w:p w:rsidR="00A313EA" w:rsidRPr="001D39F3" w:rsidRDefault="00DD71E8" w:rsidP="008A7975">
      <w:pPr>
        <w:pStyle w:val="Paragraphe"/>
        <w:spacing w:line="240" w:lineRule="auto"/>
        <w:rPr>
          <w:rFonts w:cs="Arial"/>
          <w:szCs w:val="24"/>
        </w:rPr>
      </w:pPr>
      <w:r>
        <w:rPr>
          <w:rFonts w:cs="Arial"/>
          <w:szCs w:val="24"/>
        </w:rPr>
        <w:t xml:space="preserve">Cette </w:t>
      </w:r>
      <w:r w:rsidR="001D39F3">
        <w:rPr>
          <w:rFonts w:cs="Arial"/>
          <w:szCs w:val="24"/>
        </w:rPr>
        <w:t xml:space="preserve">peine </w:t>
      </w:r>
      <w:r>
        <w:rPr>
          <w:rFonts w:cs="Arial"/>
          <w:szCs w:val="24"/>
        </w:rPr>
        <w:t xml:space="preserve">respecte les objectifs de la modification à la </w:t>
      </w:r>
      <w:r w:rsidR="000B1ED1">
        <w:rPr>
          <w:rFonts w:cs="Arial"/>
          <w:szCs w:val="24"/>
        </w:rPr>
        <w:t>l</w:t>
      </w:r>
      <w:r>
        <w:rPr>
          <w:rFonts w:cs="Arial"/>
          <w:szCs w:val="24"/>
        </w:rPr>
        <w:t xml:space="preserve">oi puisque l’accusé pourra ainsi conserver son emploi et demeurer un actif pour la société tout en continuant à s’occuper de son </w:t>
      </w:r>
      <w:r w:rsidRPr="001D39F3">
        <w:rPr>
          <w:rFonts w:cs="Arial"/>
          <w:szCs w:val="24"/>
        </w:rPr>
        <w:t>enfant.</w:t>
      </w:r>
    </w:p>
    <w:p w:rsidR="00DB2266" w:rsidRPr="001D39F3" w:rsidRDefault="00DD71E8" w:rsidP="00DB2266">
      <w:pPr>
        <w:pStyle w:val="Paragraphe"/>
        <w:spacing w:line="240" w:lineRule="auto"/>
        <w:rPr>
          <w:rFonts w:cs="Arial"/>
          <w:szCs w:val="24"/>
        </w:rPr>
      </w:pPr>
      <w:r w:rsidRPr="001D39F3">
        <w:rPr>
          <w:rFonts w:cs="Arial"/>
          <w:szCs w:val="24"/>
        </w:rPr>
        <w:t xml:space="preserve">En ce qui concerne les chefs </w:t>
      </w:r>
      <w:r w:rsidR="00D76030">
        <w:rPr>
          <w:rFonts w:cs="Arial"/>
          <w:szCs w:val="24"/>
        </w:rPr>
        <w:t xml:space="preserve">d'accusation </w:t>
      </w:r>
      <w:r w:rsidR="001D39F3">
        <w:rPr>
          <w:rFonts w:cs="Arial"/>
          <w:szCs w:val="24"/>
        </w:rPr>
        <w:t xml:space="preserve">et les faits </w:t>
      </w:r>
      <w:r w:rsidRPr="001D39F3">
        <w:rPr>
          <w:rFonts w:cs="Arial"/>
          <w:szCs w:val="24"/>
        </w:rPr>
        <w:t xml:space="preserve">liés à la </w:t>
      </w:r>
      <w:r w:rsidRPr="006E4315">
        <w:rPr>
          <w:rFonts w:cs="Arial"/>
          <w:i/>
          <w:iCs/>
          <w:szCs w:val="24"/>
        </w:rPr>
        <w:t>Loi sur le cannabis</w:t>
      </w:r>
      <w:r>
        <w:rPr>
          <w:rStyle w:val="Appelnotedebasdep"/>
          <w:rFonts w:cs="Arial"/>
          <w:szCs w:val="24"/>
        </w:rPr>
        <w:footnoteReference w:id="86"/>
      </w:r>
      <w:r w:rsidRPr="001D39F3">
        <w:rPr>
          <w:rFonts w:cs="Arial"/>
          <w:szCs w:val="24"/>
        </w:rPr>
        <w:t xml:space="preserve">, </w:t>
      </w:r>
      <w:r w:rsidR="001D39F3">
        <w:rPr>
          <w:rFonts w:cs="Arial"/>
          <w:szCs w:val="24"/>
        </w:rPr>
        <w:t xml:space="preserve">ils </w:t>
      </w:r>
      <w:r w:rsidR="00D76030">
        <w:rPr>
          <w:rFonts w:cs="Arial"/>
          <w:szCs w:val="24"/>
        </w:rPr>
        <w:t xml:space="preserve">comportent </w:t>
      </w:r>
      <w:r w:rsidR="001D39F3">
        <w:rPr>
          <w:rFonts w:cs="Arial"/>
          <w:szCs w:val="24"/>
        </w:rPr>
        <w:t xml:space="preserve">une </w:t>
      </w:r>
      <w:r w:rsidR="00F578FC" w:rsidRPr="001D39F3">
        <w:rPr>
          <w:rFonts w:cs="Arial"/>
          <w:szCs w:val="24"/>
        </w:rPr>
        <w:t xml:space="preserve">gravité </w:t>
      </w:r>
      <w:r w:rsidR="001D39F3">
        <w:rPr>
          <w:rFonts w:cs="Arial"/>
          <w:szCs w:val="24"/>
        </w:rPr>
        <w:t xml:space="preserve">objective et subjective </w:t>
      </w:r>
      <w:r w:rsidR="00F578FC" w:rsidRPr="001D39F3">
        <w:rPr>
          <w:rFonts w:cs="Arial"/>
          <w:szCs w:val="24"/>
        </w:rPr>
        <w:t>moindre</w:t>
      </w:r>
      <w:r w:rsidR="001D39F3">
        <w:rPr>
          <w:rFonts w:cs="Arial"/>
          <w:szCs w:val="24"/>
        </w:rPr>
        <w:t xml:space="preserve"> que ceux portés en vertu de la LRCDAS dans le cas </w:t>
      </w:r>
      <w:r w:rsidR="00D76030">
        <w:rPr>
          <w:rFonts w:cs="Arial"/>
          <w:szCs w:val="24"/>
        </w:rPr>
        <w:t>à l'</w:t>
      </w:r>
      <w:r w:rsidR="001D39F3">
        <w:rPr>
          <w:rFonts w:cs="Arial"/>
          <w:szCs w:val="24"/>
        </w:rPr>
        <w:t xml:space="preserve">étude. Dans ce contexte, </w:t>
      </w:r>
      <w:r w:rsidRPr="001D39F3">
        <w:rPr>
          <w:rFonts w:cs="Arial"/>
          <w:szCs w:val="24"/>
        </w:rPr>
        <w:t xml:space="preserve">le Tribunal impose à l’accusé une </w:t>
      </w:r>
      <w:r w:rsidRPr="001D39F3">
        <w:rPr>
          <w:rFonts w:cs="Arial"/>
          <w:b/>
          <w:bCs/>
          <w:szCs w:val="24"/>
        </w:rPr>
        <w:t>peine d’emprisonnement de 90</w:t>
      </w:r>
      <w:r w:rsidR="000B1ED1">
        <w:rPr>
          <w:rFonts w:cs="Arial"/>
          <w:b/>
          <w:bCs/>
          <w:szCs w:val="24"/>
        </w:rPr>
        <w:t> </w:t>
      </w:r>
      <w:r w:rsidRPr="001D39F3">
        <w:rPr>
          <w:rFonts w:cs="Arial"/>
          <w:b/>
          <w:bCs/>
          <w:szCs w:val="24"/>
        </w:rPr>
        <w:t>jours à être purgés de façon discontinue</w:t>
      </w:r>
      <w:r w:rsidRPr="001D39F3">
        <w:rPr>
          <w:rFonts w:cs="Arial"/>
          <w:szCs w:val="24"/>
        </w:rPr>
        <w:t>, et ce, pour les mêmes raisons que celles évoquées précédemment</w:t>
      </w:r>
      <w:r>
        <w:rPr>
          <w:rStyle w:val="Appelnotedebasdep"/>
          <w:rFonts w:cs="Arial"/>
          <w:szCs w:val="24"/>
        </w:rPr>
        <w:footnoteReference w:id="87"/>
      </w:r>
      <w:r w:rsidRPr="001D39F3">
        <w:rPr>
          <w:rFonts w:cs="Arial"/>
          <w:szCs w:val="24"/>
        </w:rPr>
        <w:t xml:space="preserve">.  </w:t>
      </w:r>
    </w:p>
    <w:p w:rsidR="00A313EA" w:rsidRPr="00A313EA" w:rsidRDefault="00DD71E8" w:rsidP="00A313EA">
      <w:pPr>
        <w:pStyle w:val="Paragraphe"/>
        <w:spacing w:line="240" w:lineRule="auto"/>
        <w:rPr>
          <w:rFonts w:cs="Arial"/>
          <w:szCs w:val="24"/>
        </w:rPr>
      </w:pPr>
      <w:r w:rsidRPr="001D39F3">
        <w:rPr>
          <w:rFonts w:cs="Arial"/>
          <w:szCs w:val="24"/>
        </w:rPr>
        <w:t>Cette combinaison de</w:t>
      </w:r>
      <w:r>
        <w:rPr>
          <w:rFonts w:cs="Arial"/>
          <w:szCs w:val="24"/>
        </w:rPr>
        <w:t xml:space="preserve"> peine</w:t>
      </w:r>
      <w:r w:rsidR="006E4315">
        <w:rPr>
          <w:rFonts w:cs="Arial"/>
          <w:szCs w:val="24"/>
        </w:rPr>
        <w:t>s</w:t>
      </w:r>
      <w:r>
        <w:rPr>
          <w:rFonts w:cs="Arial"/>
          <w:szCs w:val="24"/>
        </w:rPr>
        <w:t xml:space="preserve"> favorisera la réinsertion sociale de l’accusé, assurera la réparation des torts causés à la collectivité et suscitera la conscience de l’accusé quant à ses responsabilités. Certes, il évite ainsi l’emprisonnement ferme, mais n’évite pas la « punition » liée à cette mesure stricte. </w:t>
      </w:r>
    </w:p>
    <w:p w:rsidR="0073398D" w:rsidRPr="00194F4D" w:rsidRDefault="00DD71E8" w:rsidP="0073398D">
      <w:pPr>
        <w:pStyle w:val="Paragraphe"/>
        <w:numPr>
          <w:ilvl w:val="0"/>
          <w:numId w:val="0"/>
        </w:numPr>
        <w:spacing w:line="240" w:lineRule="auto"/>
        <w:rPr>
          <w:rStyle w:val="lawlabel"/>
          <w:rFonts w:cs="Arial"/>
          <w:b/>
          <w:szCs w:val="24"/>
        </w:rPr>
      </w:pPr>
      <w:r w:rsidRPr="00194F4D">
        <w:rPr>
          <w:rStyle w:val="lawlabel"/>
          <w:rFonts w:cs="Arial"/>
          <w:b/>
          <w:color w:val="000000"/>
        </w:rPr>
        <w:t xml:space="preserve">Le caractère concurrent ou consécutif des peines infligées </w:t>
      </w:r>
    </w:p>
    <w:p w:rsidR="0073398D" w:rsidRPr="00194F4D" w:rsidRDefault="00DD71E8" w:rsidP="00DA3918">
      <w:pPr>
        <w:pStyle w:val="Paragraphe"/>
        <w:spacing w:line="240" w:lineRule="auto"/>
        <w:rPr>
          <w:rFonts w:cs="Arial"/>
          <w:szCs w:val="24"/>
        </w:rPr>
      </w:pPr>
      <w:r w:rsidRPr="00194F4D">
        <w:rPr>
          <w:rFonts w:cs="Arial"/>
          <w:color w:val="000000"/>
        </w:rPr>
        <w:t xml:space="preserve">En règle générale, lorsque des infractions présentent un « lien étroit » ou font partie d’une même « opération criminelle », les peines devront être imposées de façon concurrente. Au contraire, les peines pourront être purgées de façon consécutive s’il s’agit de </w:t>
      </w:r>
      <w:r w:rsidR="00F93FF3" w:rsidRPr="00194F4D">
        <w:rPr>
          <w:rFonts w:cs="Arial"/>
          <w:color w:val="000000"/>
        </w:rPr>
        <w:t>«</w:t>
      </w:r>
      <w:r w:rsidR="000B1ED1">
        <w:rPr>
          <w:rFonts w:cs="Arial"/>
          <w:color w:val="000000"/>
        </w:rPr>
        <w:t> </w:t>
      </w:r>
      <w:r w:rsidRPr="00194F4D">
        <w:rPr>
          <w:rFonts w:cs="Arial"/>
          <w:color w:val="000000"/>
        </w:rPr>
        <w:t>transactions criminelles distinctes</w:t>
      </w:r>
      <w:r w:rsidR="00F93FF3" w:rsidRPr="00194F4D">
        <w:rPr>
          <w:rFonts w:cs="Arial"/>
          <w:color w:val="000000"/>
        </w:rPr>
        <w:t> »,</w:t>
      </w:r>
      <w:r w:rsidRPr="00194F4D">
        <w:rPr>
          <w:rFonts w:cs="Arial"/>
          <w:color w:val="000000"/>
        </w:rPr>
        <w:t xml:space="preserve"> ou encore s’il existe un</w:t>
      </w:r>
      <w:r w:rsidR="00F93FF3" w:rsidRPr="00194F4D">
        <w:rPr>
          <w:rFonts w:cs="Arial"/>
          <w:color w:val="000000"/>
        </w:rPr>
        <w:t>e circonstance aggravante</w:t>
      </w:r>
      <w:r w:rsidRPr="00194F4D">
        <w:rPr>
          <w:rFonts w:cs="Arial"/>
          <w:color w:val="000000"/>
        </w:rPr>
        <w:t xml:space="preserve"> justifiant l’imposition d’une peine consécutive</w:t>
      </w:r>
      <w:r>
        <w:rPr>
          <w:rStyle w:val="Appelnotedebasdep"/>
          <w:rFonts w:cs="Arial"/>
          <w:color w:val="000000"/>
        </w:rPr>
        <w:footnoteReference w:id="88"/>
      </w:r>
      <w:r w:rsidR="00F93FF3" w:rsidRPr="00194F4D">
        <w:rPr>
          <w:rFonts w:cs="Arial"/>
          <w:color w:val="000000"/>
        </w:rPr>
        <w:t>.</w:t>
      </w:r>
    </w:p>
    <w:p w:rsidR="00F93FF3" w:rsidRPr="00194F4D" w:rsidRDefault="00DD71E8" w:rsidP="00DA3918">
      <w:pPr>
        <w:pStyle w:val="Paragraphe"/>
        <w:spacing w:line="240" w:lineRule="auto"/>
        <w:rPr>
          <w:rFonts w:cs="Arial"/>
          <w:szCs w:val="24"/>
        </w:rPr>
      </w:pPr>
      <w:r w:rsidRPr="00194F4D">
        <w:rPr>
          <w:rFonts w:cs="Arial"/>
          <w:color w:val="000000"/>
        </w:rPr>
        <w:t>En l'espèce, le Tribunal considère que les crimes commis par l'accusé constituent une même opération criminelle. Des peines concurrentes sont donc de mise.</w:t>
      </w:r>
    </w:p>
    <w:p w:rsidR="00D41425" w:rsidRPr="00D41425" w:rsidRDefault="00DD71E8" w:rsidP="00D41425">
      <w:pPr>
        <w:pStyle w:val="Paragraphe"/>
        <w:numPr>
          <w:ilvl w:val="0"/>
          <w:numId w:val="0"/>
        </w:numPr>
        <w:spacing w:line="240" w:lineRule="auto"/>
        <w:rPr>
          <w:rFonts w:cs="Arial"/>
          <w:b/>
          <w:szCs w:val="24"/>
        </w:rPr>
      </w:pPr>
      <w:r>
        <w:rPr>
          <w:rFonts w:cs="Arial"/>
          <w:b/>
          <w:szCs w:val="24"/>
        </w:rPr>
        <w:t xml:space="preserve">L’encadrement </w:t>
      </w:r>
      <w:r w:rsidR="0065675A">
        <w:rPr>
          <w:rFonts w:cs="Arial"/>
          <w:b/>
          <w:szCs w:val="24"/>
        </w:rPr>
        <w:t xml:space="preserve">nécessaire de l'accusé </w:t>
      </w:r>
    </w:p>
    <w:p w:rsidR="0080011F" w:rsidRDefault="00DD71E8" w:rsidP="0080011F">
      <w:pPr>
        <w:pStyle w:val="Paragraphe"/>
        <w:spacing w:line="240" w:lineRule="auto"/>
        <w:rPr>
          <w:rFonts w:cs="Arial"/>
          <w:szCs w:val="24"/>
        </w:rPr>
      </w:pPr>
      <w:r>
        <w:rPr>
          <w:rFonts w:cs="Arial"/>
          <w:szCs w:val="24"/>
        </w:rPr>
        <w:t xml:space="preserve">Les parties s’entendent sur le fait que le </w:t>
      </w:r>
      <w:r w:rsidR="008B4CC5">
        <w:rPr>
          <w:rFonts w:cs="Arial"/>
          <w:szCs w:val="24"/>
        </w:rPr>
        <w:t xml:space="preserve">Tribunal </w:t>
      </w:r>
      <w:r>
        <w:rPr>
          <w:rFonts w:cs="Arial"/>
          <w:szCs w:val="24"/>
        </w:rPr>
        <w:t xml:space="preserve">doit </w:t>
      </w:r>
      <w:r w:rsidR="008B4CC5">
        <w:rPr>
          <w:rFonts w:cs="Arial"/>
          <w:szCs w:val="24"/>
        </w:rPr>
        <w:t>encadrer l’accusé en lui imposant une ordonnance de probation ainsi qu’un suivi probatoire.</w:t>
      </w:r>
      <w:r>
        <w:rPr>
          <w:rFonts w:cs="Arial"/>
          <w:szCs w:val="24"/>
        </w:rPr>
        <w:t xml:space="preserve"> L’accusé est également disposé à accepter cette aide additionnelle dont il pourrait assurément </w:t>
      </w:r>
      <w:r w:rsidR="00D76030">
        <w:rPr>
          <w:rFonts w:cs="Arial"/>
          <w:szCs w:val="24"/>
        </w:rPr>
        <w:t>en tirer profit</w:t>
      </w:r>
      <w:r>
        <w:rPr>
          <w:rFonts w:cs="Arial"/>
          <w:szCs w:val="24"/>
        </w:rPr>
        <w:t>.</w:t>
      </w:r>
    </w:p>
    <w:p w:rsidR="00F5440D" w:rsidRPr="00414973" w:rsidRDefault="00DD71E8" w:rsidP="00414973">
      <w:pPr>
        <w:pStyle w:val="Paragraphe"/>
        <w:spacing w:line="240" w:lineRule="auto"/>
        <w:rPr>
          <w:rFonts w:cs="Arial"/>
          <w:szCs w:val="24"/>
        </w:rPr>
      </w:pPr>
      <w:r>
        <w:rPr>
          <w:rFonts w:cs="Arial"/>
          <w:szCs w:val="24"/>
        </w:rPr>
        <w:t>Voilà pourquoi l</w:t>
      </w:r>
      <w:r w:rsidRPr="008B4CC5">
        <w:rPr>
          <w:rFonts w:cs="Arial"/>
          <w:szCs w:val="24"/>
        </w:rPr>
        <w:t>e Tribunal</w:t>
      </w:r>
      <w:r w:rsidR="0035385C" w:rsidRPr="008B4CC5">
        <w:rPr>
          <w:rFonts w:cs="Arial"/>
          <w:szCs w:val="24"/>
        </w:rPr>
        <w:t xml:space="preserve"> mettr</w:t>
      </w:r>
      <w:r>
        <w:rPr>
          <w:rFonts w:cs="Arial"/>
          <w:szCs w:val="24"/>
        </w:rPr>
        <w:t>a</w:t>
      </w:r>
      <w:r w:rsidR="0035385C" w:rsidRPr="008B4CC5">
        <w:rPr>
          <w:rFonts w:cs="Arial"/>
          <w:szCs w:val="24"/>
        </w:rPr>
        <w:t xml:space="preserve"> </w:t>
      </w:r>
      <w:r>
        <w:rPr>
          <w:rFonts w:cs="Arial"/>
          <w:szCs w:val="24"/>
        </w:rPr>
        <w:t xml:space="preserve">tout </w:t>
      </w:r>
      <w:r w:rsidR="0035385C" w:rsidRPr="008B4CC5">
        <w:rPr>
          <w:rFonts w:cs="Arial"/>
          <w:szCs w:val="24"/>
        </w:rPr>
        <w:t xml:space="preserve">en œuvre pour </w:t>
      </w:r>
      <w:r w:rsidR="008B4CC5">
        <w:rPr>
          <w:rFonts w:cs="Arial"/>
          <w:szCs w:val="24"/>
        </w:rPr>
        <w:t xml:space="preserve">favoriser pleinement la réhabilitation de l’accusé, non seulement en l’encourageant à continuer d’adopter </w:t>
      </w:r>
      <w:r w:rsidRPr="008B4CC5">
        <w:rPr>
          <w:rFonts w:cs="Arial"/>
          <w:szCs w:val="24"/>
        </w:rPr>
        <w:t xml:space="preserve">des comportements </w:t>
      </w:r>
      <w:r w:rsidR="008B4CC5">
        <w:rPr>
          <w:rFonts w:cs="Arial"/>
          <w:szCs w:val="24"/>
        </w:rPr>
        <w:t xml:space="preserve">réfléchis, intelligents et </w:t>
      </w:r>
      <w:r w:rsidRPr="008B4CC5">
        <w:rPr>
          <w:rFonts w:cs="Arial"/>
          <w:szCs w:val="24"/>
        </w:rPr>
        <w:t>respectueux des lois</w:t>
      </w:r>
      <w:r w:rsidR="008B4CC5">
        <w:rPr>
          <w:rFonts w:cs="Arial"/>
          <w:szCs w:val="24"/>
        </w:rPr>
        <w:t xml:space="preserve">, mais également en lui offrant </w:t>
      </w:r>
      <w:r w:rsidR="00414973">
        <w:rPr>
          <w:rFonts w:cs="Arial"/>
          <w:szCs w:val="24"/>
        </w:rPr>
        <w:t>des outils et du soutien professionnel encadrant.</w:t>
      </w:r>
    </w:p>
    <w:p w:rsidR="009457DE" w:rsidRPr="009457DE" w:rsidRDefault="00DD71E8" w:rsidP="009457DE">
      <w:pPr>
        <w:pStyle w:val="Paragraphe"/>
        <w:numPr>
          <w:ilvl w:val="0"/>
          <w:numId w:val="0"/>
        </w:numPr>
        <w:spacing w:line="240" w:lineRule="auto"/>
        <w:rPr>
          <w:rFonts w:cs="Arial"/>
          <w:b/>
          <w:szCs w:val="24"/>
        </w:rPr>
      </w:pPr>
      <w:r w:rsidRPr="009457DE">
        <w:rPr>
          <w:rFonts w:cs="Arial"/>
          <w:b/>
          <w:szCs w:val="24"/>
        </w:rPr>
        <w:t>La détention provisoire déjà purgée</w:t>
      </w:r>
    </w:p>
    <w:p w:rsidR="00A313EA" w:rsidRPr="00A313EA" w:rsidRDefault="00DD71E8" w:rsidP="005230D9">
      <w:pPr>
        <w:pStyle w:val="Paragraphe"/>
        <w:spacing w:line="240" w:lineRule="auto"/>
      </w:pPr>
      <w:r w:rsidRPr="00A313EA">
        <w:t xml:space="preserve">L’accusé </w:t>
      </w:r>
      <w:r w:rsidR="006571BA">
        <w:t>a</w:t>
      </w:r>
      <w:r w:rsidR="000B1ED1">
        <w:t xml:space="preserve"> </w:t>
      </w:r>
      <w:r w:rsidRPr="00A313EA">
        <w:t>comparu le 25</w:t>
      </w:r>
      <w:r w:rsidR="000B1ED1">
        <w:t> </w:t>
      </w:r>
      <w:r w:rsidRPr="00A313EA">
        <w:t>septembre 2019 et a été mis en liberté le lendemain.</w:t>
      </w:r>
    </w:p>
    <w:p w:rsidR="009F57CB" w:rsidRDefault="00DD71E8" w:rsidP="00A313EA">
      <w:pPr>
        <w:pStyle w:val="Paragraphe"/>
        <w:spacing w:line="240" w:lineRule="auto"/>
      </w:pPr>
      <w:r w:rsidRPr="00A313EA">
        <w:t>Il a donc passé une journée en détention provisoire. À</w:t>
      </w:r>
      <w:r w:rsidR="009D3CAA" w:rsidRPr="00A313EA">
        <w:t xml:space="preserve"> un ratio d’une journée et demie pour chaque journée passé</w:t>
      </w:r>
      <w:r w:rsidR="00026DFE" w:rsidRPr="00A313EA">
        <w:t>e</w:t>
      </w:r>
      <w:r w:rsidR="009D3CAA" w:rsidRPr="00A313EA">
        <w:t xml:space="preserve"> en détention, </w:t>
      </w:r>
      <w:r w:rsidRPr="00A313EA">
        <w:t>celle-ci équivaut</w:t>
      </w:r>
      <w:r w:rsidR="00F578FC">
        <w:t>, lorsqu’arrondi</w:t>
      </w:r>
      <w:r w:rsidR="00D76030">
        <w:t>e</w:t>
      </w:r>
      <w:r w:rsidR="00F578FC">
        <w:t>,</w:t>
      </w:r>
      <w:r w:rsidRPr="00A313EA">
        <w:t xml:space="preserve"> à </w:t>
      </w:r>
      <w:r w:rsidRPr="00F578FC">
        <w:rPr>
          <w:b/>
          <w:bCs/>
        </w:rPr>
        <w:t>2</w:t>
      </w:r>
      <w:r w:rsidR="00017CAE">
        <w:rPr>
          <w:b/>
          <w:bCs/>
        </w:rPr>
        <w:t> </w:t>
      </w:r>
      <w:r w:rsidRPr="00F578FC">
        <w:rPr>
          <w:b/>
          <w:bCs/>
        </w:rPr>
        <w:t>jours</w:t>
      </w:r>
      <w:r w:rsidRPr="00A313EA">
        <w:t xml:space="preserve"> qui doivent être retranchés de la peine.</w:t>
      </w:r>
    </w:p>
    <w:p w:rsidR="00D949E5" w:rsidRPr="0080011F" w:rsidRDefault="00DD71E8" w:rsidP="00017CAE">
      <w:pPr>
        <w:spacing w:before="120" w:after="120"/>
      </w:pPr>
      <w:r w:rsidRPr="0080011F">
        <w:rPr>
          <w:b/>
          <w:szCs w:val="24"/>
        </w:rPr>
        <w:t xml:space="preserve">POUR CES MOTIFS, LE TRIBUNAL : </w:t>
      </w:r>
    </w:p>
    <w:p w:rsidR="00B24EFC" w:rsidRDefault="00DD71E8" w:rsidP="00314AA6">
      <w:pPr>
        <w:pStyle w:val="Paragraphe"/>
        <w:spacing w:line="240" w:lineRule="auto"/>
        <w:rPr>
          <w:szCs w:val="24"/>
        </w:rPr>
      </w:pPr>
      <w:r w:rsidRPr="0080011F">
        <w:rPr>
          <w:b/>
          <w:szCs w:val="24"/>
        </w:rPr>
        <w:t>CONDAMNE</w:t>
      </w:r>
      <w:r w:rsidRPr="0080011F">
        <w:rPr>
          <w:szCs w:val="24"/>
        </w:rPr>
        <w:t xml:space="preserve"> l’accusé à purger une </w:t>
      </w:r>
      <w:r w:rsidR="00D949E5" w:rsidRPr="0080011F">
        <w:rPr>
          <w:szCs w:val="24"/>
        </w:rPr>
        <w:t xml:space="preserve">peine </w:t>
      </w:r>
      <w:r w:rsidRPr="0080011F">
        <w:rPr>
          <w:szCs w:val="24"/>
        </w:rPr>
        <w:t xml:space="preserve">de </w:t>
      </w:r>
      <w:r w:rsidR="00314AA6" w:rsidRPr="0080011F">
        <w:rPr>
          <w:b/>
          <w:szCs w:val="24"/>
        </w:rPr>
        <w:t>2</w:t>
      </w:r>
      <w:r w:rsidR="005451BF" w:rsidRPr="0080011F">
        <w:rPr>
          <w:b/>
          <w:szCs w:val="24"/>
        </w:rPr>
        <w:t> </w:t>
      </w:r>
      <w:r w:rsidR="00383E30" w:rsidRPr="0080011F">
        <w:rPr>
          <w:b/>
          <w:szCs w:val="24"/>
        </w:rPr>
        <w:t>ans</w:t>
      </w:r>
      <w:r w:rsidRPr="0080011F">
        <w:rPr>
          <w:b/>
          <w:szCs w:val="24"/>
        </w:rPr>
        <w:t xml:space="preserve"> </w:t>
      </w:r>
      <w:r w:rsidR="0080011F" w:rsidRPr="0080011F">
        <w:rPr>
          <w:b/>
          <w:szCs w:val="24"/>
        </w:rPr>
        <w:t xml:space="preserve">moins un jour </w:t>
      </w:r>
      <w:r w:rsidRPr="0080011F">
        <w:rPr>
          <w:b/>
          <w:szCs w:val="24"/>
        </w:rPr>
        <w:t>d’emprisonnement</w:t>
      </w:r>
      <w:r w:rsidR="00F3251D" w:rsidRPr="0080011F">
        <w:rPr>
          <w:b/>
          <w:szCs w:val="24"/>
        </w:rPr>
        <w:t xml:space="preserve"> </w:t>
      </w:r>
      <w:r w:rsidR="0080011F" w:rsidRPr="0080011F">
        <w:rPr>
          <w:b/>
          <w:szCs w:val="24"/>
        </w:rPr>
        <w:t>à être purgé</w:t>
      </w:r>
      <w:r w:rsidR="006571BA">
        <w:rPr>
          <w:b/>
          <w:szCs w:val="24"/>
        </w:rPr>
        <w:t>e</w:t>
      </w:r>
      <w:r w:rsidR="0080011F" w:rsidRPr="0080011F">
        <w:rPr>
          <w:b/>
          <w:szCs w:val="24"/>
        </w:rPr>
        <w:t xml:space="preserve"> dans la collectivité</w:t>
      </w:r>
      <w:r w:rsidR="0080011F" w:rsidRPr="0080011F">
        <w:rPr>
          <w:szCs w:val="24"/>
        </w:rPr>
        <w:t xml:space="preserve"> </w:t>
      </w:r>
      <w:r>
        <w:rPr>
          <w:szCs w:val="24"/>
        </w:rPr>
        <w:t>sur les chefs 3, 4 et 5;</w:t>
      </w:r>
    </w:p>
    <w:p w:rsidR="00B24EFC" w:rsidRPr="007A2B0E" w:rsidRDefault="00DD71E8" w:rsidP="00B24EFC">
      <w:pPr>
        <w:pStyle w:val="Paragraphe"/>
        <w:tabs>
          <w:tab w:val="clear" w:pos="360"/>
        </w:tabs>
        <w:spacing w:line="240" w:lineRule="auto"/>
        <w:rPr>
          <w:szCs w:val="24"/>
        </w:rPr>
      </w:pPr>
      <w:r w:rsidRPr="007C580A">
        <w:rPr>
          <w:b/>
          <w:szCs w:val="24"/>
        </w:rPr>
        <w:t xml:space="preserve">DÉTERMINE </w:t>
      </w:r>
      <w:r w:rsidRPr="007C580A">
        <w:rPr>
          <w:szCs w:val="24"/>
        </w:rPr>
        <w:t>que ces peines peuvent être purgées de façon concurrente</w:t>
      </w:r>
      <w:r>
        <w:rPr>
          <w:szCs w:val="24"/>
        </w:rPr>
        <w:t xml:space="preserve"> entre ces chefs</w:t>
      </w:r>
      <w:r w:rsidRPr="007C580A">
        <w:rPr>
          <w:szCs w:val="24"/>
        </w:rPr>
        <w:t>;</w:t>
      </w:r>
    </w:p>
    <w:p w:rsidR="0080011F" w:rsidRPr="004F2680" w:rsidRDefault="00DD71E8" w:rsidP="00454510">
      <w:pPr>
        <w:pStyle w:val="Paragraphe"/>
        <w:spacing w:line="240" w:lineRule="auto"/>
      </w:pPr>
      <w:r w:rsidRPr="004F2680">
        <w:rPr>
          <w:b/>
        </w:rPr>
        <w:t xml:space="preserve">IMPOSE LES CONDITIONS </w:t>
      </w:r>
      <w:r w:rsidR="004F2680" w:rsidRPr="004F2680">
        <w:rPr>
          <w:b/>
        </w:rPr>
        <w:t>SUIVANTES POUR LE SURSIS :</w:t>
      </w:r>
    </w:p>
    <w:p w:rsidR="004F2680" w:rsidRDefault="00DD71E8" w:rsidP="00AE75A7">
      <w:pPr>
        <w:pStyle w:val="Paragraphe"/>
        <w:numPr>
          <w:ilvl w:val="0"/>
          <w:numId w:val="13"/>
        </w:numPr>
        <w:spacing w:line="240" w:lineRule="auto"/>
        <w:ind w:left="1088" w:hanging="357"/>
      </w:pPr>
      <w:r>
        <w:t>ne pas troubler l’ordre public et avoir une bonne conduite;</w:t>
      </w:r>
    </w:p>
    <w:p w:rsidR="004F2680" w:rsidRDefault="00DD71E8" w:rsidP="004F2680">
      <w:pPr>
        <w:pStyle w:val="Paragraphe"/>
        <w:numPr>
          <w:ilvl w:val="0"/>
          <w:numId w:val="13"/>
        </w:numPr>
        <w:spacing w:line="240" w:lineRule="auto"/>
      </w:pPr>
      <w:r>
        <w:t>répondre aux convocations du tribunal;</w:t>
      </w:r>
    </w:p>
    <w:p w:rsidR="004F2680" w:rsidRPr="004F2680" w:rsidRDefault="00DD71E8" w:rsidP="004F2680">
      <w:pPr>
        <w:pStyle w:val="Paragraphe"/>
        <w:numPr>
          <w:ilvl w:val="0"/>
          <w:numId w:val="13"/>
        </w:numPr>
        <w:spacing w:line="240" w:lineRule="auto"/>
      </w:pPr>
      <w:r>
        <w:rPr>
          <w:rFonts w:cs="Arial"/>
          <w:color w:val="000000"/>
        </w:rPr>
        <w:t>se présenter à l’agent de surveillance dans les 72</w:t>
      </w:r>
      <w:r w:rsidR="00017CAE">
        <w:rPr>
          <w:rFonts w:cs="Arial"/>
          <w:color w:val="000000"/>
        </w:rPr>
        <w:t> </w:t>
      </w:r>
      <w:r>
        <w:rPr>
          <w:rFonts w:cs="Arial"/>
          <w:color w:val="000000"/>
        </w:rPr>
        <w:t>heures de la date du présent jugement et, par la suite, selon les modalités de temps et de forme fixées par l’agent de surveillance;</w:t>
      </w:r>
    </w:p>
    <w:p w:rsidR="007531FE" w:rsidRPr="004F2680" w:rsidRDefault="00DD71E8" w:rsidP="007531FE">
      <w:pPr>
        <w:pStyle w:val="Paragraphe"/>
        <w:numPr>
          <w:ilvl w:val="0"/>
          <w:numId w:val="13"/>
        </w:numPr>
        <w:spacing w:line="240" w:lineRule="auto"/>
      </w:pPr>
      <w:r>
        <w:rPr>
          <w:rFonts w:cs="Arial"/>
          <w:color w:val="000000"/>
        </w:rPr>
        <w:t xml:space="preserve">résider au </w:t>
      </w:r>
      <w:r w:rsidR="003679AA">
        <w:rPr>
          <w:rFonts w:cs="Arial"/>
          <w:color w:val="000000"/>
        </w:rPr>
        <w:t>[...]</w:t>
      </w:r>
      <w:r w:rsidR="00791678">
        <w:rPr>
          <w:rFonts w:cs="Arial"/>
          <w:color w:val="000000"/>
        </w:rPr>
        <w:t>, Saint-Alphonse-Rodriguez;</w:t>
      </w:r>
    </w:p>
    <w:p w:rsidR="004F2680" w:rsidRPr="004F2680" w:rsidRDefault="00DD71E8" w:rsidP="004F2680">
      <w:pPr>
        <w:pStyle w:val="Paragraphe"/>
        <w:numPr>
          <w:ilvl w:val="0"/>
          <w:numId w:val="13"/>
        </w:numPr>
        <w:spacing w:line="240" w:lineRule="auto"/>
      </w:pPr>
      <w:r>
        <w:rPr>
          <w:rFonts w:cs="Arial"/>
          <w:color w:val="000000"/>
        </w:rPr>
        <w:t>rester dans la province de Québec, sauf permission écrite d’en sortir donnée par le tribunal ou par l'agent de surveillance;</w:t>
      </w:r>
    </w:p>
    <w:p w:rsidR="004F2680" w:rsidRPr="00F544E4" w:rsidRDefault="00DD71E8" w:rsidP="004F2680">
      <w:pPr>
        <w:pStyle w:val="Paragraphe"/>
        <w:numPr>
          <w:ilvl w:val="0"/>
          <w:numId w:val="13"/>
        </w:numPr>
        <w:spacing w:line="240" w:lineRule="auto"/>
      </w:pPr>
      <w:r>
        <w:rPr>
          <w:rFonts w:cs="Arial"/>
          <w:color w:val="000000"/>
        </w:rPr>
        <w:t>prévenir la Cour du Québec, district de Montréal, ou l’agent de surveillance de ses changements d’adresse ou de nom et les aviser rapidement de ses changements d’emploi ou d’occupation;</w:t>
      </w:r>
    </w:p>
    <w:p w:rsidR="007531FE" w:rsidRPr="004F2680" w:rsidRDefault="00DD71E8" w:rsidP="007531FE">
      <w:pPr>
        <w:pStyle w:val="Paragraphe"/>
        <w:numPr>
          <w:ilvl w:val="0"/>
          <w:numId w:val="13"/>
        </w:numPr>
        <w:spacing w:line="240" w:lineRule="auto"/>
      </w:pPr>
      <w:r>
        <w:rPr>
          <w:rFonts w:cs="Arial"/>
          <w:color w:val="000000"/>
        </w:rPr>
        <w:t>être présent à sa résidence</w:t>
      </w:r>
      <w:r w:rsidR="00791678">
        <w:rPr>
          <w:rFonts w:cs="Arial"/>
          <w:color w:val="000000"/>
        </w:rPr>
        <w:t xml:space="preserve">, et ce, </w:t>
      </w:r>
      <w:r w:rsidRPr="00791678">
        <w:rPr>
          <w:rFonts w:cs="Arial"/>
          <w:color w:val="000000"/>
        </w:rPr>
        <w:t>24</w:t>
      </w:r>
      <w:r w:rsidR="00AE75A7">
        <w:rPr>
          <w:rFonts w:cs="Arial"/>
          <w:color w:val="000000"/>
        </w:rPr>
        <w:t> </w:t>
      </w:r>
      <w:r w:rsidRPr="00791678">
        <w:rPr>
          <w:rFonts w:cs="Arial"/>
          <w:color w:val="000000"/>
        </w:rPr>
        <w:t>h sur 24</w:t>
      </w:r>
      <w:r w:rsidR="00791678">
        <w:rPr>
          <w:rFonts w:cs="Arial"/>
          <w:color w:val="000000"/>
        </w:rPr>
        <w:t xml:space="preserve"> pour les 12</w:t>
      </w:r>
      <w:r w:rsidR="00AE75A7">
        <w:rPr>
          <w:rFonts w:cs="Arial"/>
          <w:color w:val="000000"/>
        </w:rPr>
        <w:t> </w:t>
      </w:r>
      <w:r w:rsidR="00791678">
        <w:rPr>
          <w:rFonts w:cs="Arial"/>
          <w:color w:val="000000"/>
        </w:rPr>
        <w:t>premiers mois et de 20</w:t>
      </w:r>
      <w:r w:rsidR="00AE75A7">
        <w:rPr>
          <w:rFonts w:cs="Arial"/>
          <w:color w:val="000000"/>
        </w:rPr>
        <w:t> </w:t>
      </w:r>
      <w:r w:rsidR="00791678">
        <w:rPr>
          <w:rFonts w:cs="Arial"/>
          <w:color w:val="000000"/>
        </w:rPr>
        <w:t>h à 8</w:t>
      </w:r>
      <w:r w:rsidR="00AE75A7">
        <w:rPr>
          <w:rFonts w:cs="Arial"/>
          <w:color w:val="000000"/>
        </w:rPr>
        <w:t> </w:t>
      </w:r>
      <w:r w:rsidR="00791678">
        <w:rPr>
          <w:rFonts w:cs="Arial"/>
          <w:color w:val="000000"/>
        </w:rPr>
        <w:t>h pour le reliquat de la peine</w:t>
      </w:r>
      <w:r>
        <w:rPr>
          <w:rFonts w:cs="Arial"/>
          <w:color w:val="000000"/>
        </w:rPr>
        <w:t xml:space="preserve">, </w:t>
      </w:r>
      <w:r w:rsidRPr="002B4485">
        <w:rPr>
          <w:rFonts w:cs="Arial"/>
          <w:color w:val="000000"/>
          <w:u w:val="single"/>
        </w:rPr>
        <w:t>sauf</w:t>
      </w:r>
      <w:r>
        <w:rPr>
          <w:rFonts w:cs="Arial"/>
          <w:color w:val="000000"/>
        </w:rPr>
        <w:t xml:space="preserve"> pour les raisons suivantes et, chaque fois, après en avoir dûment informé au préalable l’agent de surveillance:</w:t>
      </w:r>
    </w:p>
    <w:p w:rsidR="007531FE" w:rsidRPr="004F2680" w:rsidRDefault="00DD71E8" w:rsidP="007531FE">
      <w:pPr>
        <w:pStyle w:val="Paragraphe"/>
        <w:numPr>
          <w:ilvl w:val="0"/>
          <w:numId w:val="14"/>
        </w:numPr>
        <w:spacing w:line="240" w:lineRule="auto"/>
      </w:pPr>
      <w:r>
        <w:rPr>
          <w:rFonts w:cs="Arial"/>
          <w:color w:val="000000"/>
        </w:rPr>
        <w:t>pour rencontrer son agent de surveillance à la suite d’un rendez-vous préétabli;</w:t>
      </w:r>
    </w:p>
    <w:p w:rsidR="007531FE" w:rsidRPr="004F2680" w:rsidRDefault="00DD71E8" w:rsidP="007531FE">
      <w:pPr>
        <w:pStyle w:val="Paragraphe"/>
        <w:numPr>
          <w:ilvl w:val="0"/>
          <w:numId w:val="14"/>
        </w:numPr>
        <w:spacing w:line="240" w:lineRule="auto"/>
      </w:pPr>
      <w:r>
        <w:t>pour fins de travail légitime et rémunéré et à cette fin, il doit se rendre à son lieu de travail et en revenir directement et fournir au préalable à son agent de surveillance son horaire de travail détaillé;</w:t>
      </w:r>
    </w:p>
    <w:p w:rsidR="002B4485" w:rsidRPr="004F2680" w:rsidRDefault="00DD71E8" w:rsidP="002B4485">
      <w:pPr>
        <w:pStyle w:val="Paragraphe"/>
        <w:numPr>
          <w:ilvl w:val="0"/>
          <w:numId w:val="14"/>
        </w:numPr>
        <w:spacing w:line="240" w:lineRule="auto"/>
      </w:pPr>
      <w:r>
        <w:rPr>
          <w:rFonts w:cs="Arial"/>
          <w:color w:val="000000"/>
        </w:rPr>
        <w:t>pour traitement médical pour lui-même ou un membre de sa famille et en fournir la preuve sans délai à l’agent de surveillance;</w:t>
      </w:r>
    </w:p>
    <w:p w:rsidR="002B4485" w:rsidRDefault="00DD71E8" w:rsidP="007531FE">
      <w:pPr>
        <w:pStyle w:val="Paragraphe"/>
        <w:numPr>
          <w:ilvl w:val="0"/>
          <w:numId w:val="14"/>
        </w:numPr>
        <w:spacing w:line="240" w:lineRule="auto"/>
      </w:pPr>
      <w:r>
        <w:t>pour pourvoir à ses besoins alimentaires (ex</w:t>
      </w:r>
      <w:r w:rsidR="00D76030">
        <w:t>.</w:t>
      </w:r>
      <w:r>
        <w:t>: épicerie) et pour les choses nécessaires à la vie, et ce, à raison d’une fois par semaine :</w:t>
      </w:r>
    </w:p>
    <w:p w:rsidR="002B4485" w:rsidRDefault="00DD71E8" w:rsidP="00791678">
      <w:pPr>
        <w:pStyle w:val="Paragraphe"/>
        <w:numPr>
          <w:ilvl w:val="0"/>
          <w:numId w:val="23"/>
        </w:numPr>
        <w:spacing w:line="240" w:lineRule="auto"/>
      </w:pPr>
      <w:r>
        <w:t>les lundis de 12</w:t>
      </w:r>
      <w:r w:rsidR="00AE75A7">
        <w:t> </w:t>
      </w:r>
      <w:r>
        <w:t>h à 16</w:t>
      </w:r>
      <w:r w:rsidR="00AE75A7">
        <w:t> </w:t>
      </w:r>
      <w:r>
        <w:t>h, sauf pendant la période où la peine d’emprisonnement discontinu sera purgée. À ce moment, la période allouée sera les mercredis, de 12</w:t>
      </w:r>
      <w:r w:rsidR="00AE75A7">
        <w:t> </w:t>
      </w:r>
      <w:r>
        <w:t>h à 16</w:t>
      </w:r>
      <w:r w:rsidR="00AE75A7">
        <w:t> </w:t>
      </w:r>
      <w:r>
        <w:t xml:space="preserve">h. </w:t>
      </w:r>
    </w:p>
    <w:p w:rsidR="00ED6980" w:rsidRPr="00ED6980" w:rsidRDefault="00DD71E8" w:rsidP="002B4485">
      <w:pPr>
        <w:pStyle w:val="Paragraphe"/>
        <w:numPr>
          <w:ilvl w:val="0"/>
          <w:numId w:val="14"/>
        </w:numPr>
        <w:spacing w:line="240" w:lineRule="auto"/>
      </w:pPr>
      <w:r>
        <w:t>pour purger sa peine d’emprisonnement discontinu dans un centre de détention déterminé;</w:t>
      </w:r>
    </w:p>
    <w:p w:rsidR="007531FE" w:rsidRPr="004F2680" w:rsidRDefault="00DD71E8" w:rsidP="002B4485">
      <w:pPr>
        <w:pStyle w:val="Paragraphe"/>
        <w:numPr>
          <w:ilvl w:val="0"/>
          <w:numId w:val="14"/>
        </w:numPr>
        <w:spacing w:line="240" w:lineRule="auto"/>
      </w:pPr>
      <w:r>
        <w:rPr>
          <w:rFonts w:cs="Arial"/>
          <w:color w:val="000000"/>
        </w:rPr>
        <w:t xml:space="preserve">pour se </w:t>
      </w:r>
      <w:r w:rsidRPr="002B4485">
        <w:t>présenter</w:t>
      </w:r>
      <w:r>
        <w:rPr>
          <w:rFonts w:cs="Arial"/>
          <w:color w:val="000000"/>
        </w:rPr>
        <w:t xml:space="preserve"> au tribunal à titre de témoin ou de partie à un litige;</w:t>
      </w:r>
    </w:p>
    <w:p w:rsidR="007531FE" w:rsidRPr="004F2680" w:rsidRDefault="00DD71E8" w:rsidP="007531FE">
      <w:pPr>
        <w:pStyle w:val="Paragraphe"/>
        <w:numPr>
          <w:ilvl w:val="0"/>
          <w:numId w:val="14"/>
        </w:numPr>
        <w:spacing w:line="240" w:lineRule="auto"/>
      </w:pPr>
      <w:r>
        <w:rPr>
          <w:rFonts w:cs="Arial"/>
          <w:color w:val="000000"/>
        </w:rPr>
        <w:t>pour répondre à une convocation du tribunal dans le présent dossier;</w:t>
      </w:r>
    </w:p>
    <w:p w:rsidR="007531FE" w:rsidRPr="004F2680" w:rsidRDefault="00DD71E8" w:rsidP="007531FE">
      <w:pPr>
        <w:pStyle w:val="Paragraphe"/>
        <w:numPr>
          <w:ilvl w:val="0"/>
          <w:numId w:val="14"/>
        </w:numPr>
        <w:spacing w:line="240" w:lineRule="auto"/>
      </w:pPr>
      <w:r>
        <w:rPr>
          <w:rFonts w:cs="Arial"/>
          <w:color w:val="000000"/>
        </w:rPr>
        <w:t>pour tout autre motif sérieux avec l’autorisation écrite préalable de l’agent de surveillance qui peut en déterminer par écrit la nature, le lieu, le moment et la durée;</w:t>
      </w:r>
    </w:p>
    <w:p w:rsidR="00F544E4" w:rsidRPr="00F544E4" w:rsidRDefault="00DD71E8" w:rsidP="00AE75A7">
      <w:pPr>
        <w:pStyle w:val="Paragraphe"/>
        <w:numPr>
          <w:ilvl w:val="0"/>
          <w:numId w:val="13"/>
        </w:numPr>
        <w:spacing w:line="240" w:lineRule="auto"/>
        <w:ind w:left="1088" w:hanging="357"/>
      </w:pPr>
      <w:r>
        <w:rPr>
          <w:rFonts w:cs="Arial"/>
          <w:color w:val="000000"/>
        </w:rPr>
        <w:t>maintenir un emploi légitime</w:t>
      </w:r>
      <w:r w:rsidR="007531FE">
        <w:rPr>
          <w:rFonts w:cs="Arial"/>
          <w:color w:val="000000"/>
        </w:rPr>
        <w:t xml:space="preserve"> et stable</w:t>
      </w:r>
      <w:r>
        <w:rPr>
          <w:rFonts w:cs="Arial"/>
          <w:color w:val="000000"/>
        </w:rPr>
        <w:t>;</w:t>
      </w:r>
    </w:p>
    <w:p w:rsidR="00791678" w:rsidRPr="00AE75A7" w:rsidRDefault="00DD71E8" w:rsidP="00AE75A7">
      <w:pPr>
        <w:pStyle w:val="Paragraphe"/>
        <w:numPr>
          <w:ilvl w:val="0"/>
          <w:numId w:val="13"/>
        </w:numPr>
        <w:spacing w:line="240" w:lineRule="auto"/>
        <w:ind w:left="1088" w:hanging="357"/>
      </w:pPr>
      <w:r>
        <w:rPr>
          <w:rFonts w:cs="Arial"/>
          <w:color w:val="000000"/>
        </w:rPr>
        <w:t>m</w:t>
      </w:r>
      <w:r w:rsidR="004F2680">
        <w:rPr>
          <w:rFonts w:cs="Arial"/>
          <w:color w:val="000000"/>
        </w:rPr>
        <w:t>aintenir</w:t>
      </w:r>
      <w:r>
        <w:rPr>
          <w:rFonts w:cs="Arial"/>
          <w:color w:val="000000"/>
        </w:rPr>
        <w:t xml:space="preserve"> </w:t>
      </w:r>
      <w:r w:rsidR="004F2680">
        <w:rPr>
          <w:rFonts w:cs="Arial"/>
          <w:color w:val="000000"/>
        </w:rPr>
        <w:t>les services d’une ligne téléphonique fixe à sa résidence</w:t>
      </w:r>
      <w:r>
        <w:rPr>
          <w:rFonts w:cs="Arial"/>
          <w:color w:val="000000"/>
        </w:rPr>
        <w:t>;</w:t>
      </w:r>
    </w:p>
    <w:p w:rsidR="00791678" w:rsidRPr="00791678" w:rsidRDefault="00DD71E8" w:rsidP="00AE75A7">
      <w:pPr>
        <w:pStyle w:val="Paragraphe"/>
        <w:numPr>
          <w:ilvl w:val="0"/>
          <w:numId w:val="13"/>
        </w:numPr>
        <w:spacing w:line="240" w:lineRule="auto"/>
      </w:pPr>
      <w:r>
        <w:rPr>
          <w:rFonts w:cs="Arial"/>
          <w:color w:val="000000"/>
        </w:rPr>
        <w:t>c</w:t>
      </w:r>
      <w:r w:rsidR="004F2680">
        <w:rPr>
          <w:rFonts w:cs="Arial"/>
          <w:color w:val="000000"/>
        </w:rPr>
        <w:t xml:space="preserve">ommuniquer </w:t>
      </w:r>
      <w:r>
        <w:rPr>
          <w:rFonts w:cs="Arial"/>
          <w:color w:val="000000"/>
        </w:rPr>
        <w:t>dans un délai de 72</w:t>
      </w:r>
      <w:r w:rsidR="00AE75A7">
        <w:rPr>
          <w:rFonts w:cs="Arial"/>
          <w:color w:val="000000"/>
        </w:rPr>
        <w:t> </w:t>
      </w:r>
      <w:r>
        <w:rPr>
          <w:rFonts w:cs="Arial"/>
          <w:color w:val="000000"/>
        </w:rPr>
        <w:t>h</w:t>
      </w:r>
      <w:r w:rsidR="004F2680">
        <w:rPr>
          <w:rFonts w:cs="Arial"/>
          <w:color w:val="000000"/>
        </w:rPr>
        <w:t xml:space="preserve"> le numéro à l’agent de surveillance</w:t>
      </w:r>
      <w:r>
        <w:rPr>
          <w:rFonts w:cs="Arial"/>
          <w:color w:val="000000"/>
        </w:rPr>
        <w:t>;</w:t>
      </w:r>
    </w:p>
    <w:p w:rsidR="004F2680" w:rsidRPr="004F2680" w:rsidRDefault="00DD71E8" w:rsidP="00AE75A7">
      <w:pPr>
        <w:pStyle w:val="Paragraphe"/>
        <w:numPr>
          <w:ilvl w:val="0"/>
          <w:numId w:val="13"/>
        </w:numPr>
        <w:spacing w:line="240" w:lineRule="auto"/>
        <w:ind w:left="1088" w:hanging="357"/>
      </w:pPr>
      <w:r>
        <w:rPr>
          <w:rFonts w:cs="Arial"/>
          <w:color w:val="000000"/>
        </w:rPr>
        <w:t xml:space="preserve">répondre à tous les appels téléphoniques provenant de l’agent de surveillance durant </w:t>
      </w:r>
      <w:r w:rsidR="007531FE">
        <w:rPr>
          <w:rFonts w:cs="Arial"/>
          <w:color w:val="000000"/>
        </w:rPr>
        <w:t xml:space="preserve">la période </w:t>
      </w:r>
      <w:r>
        <w:rPr>
          <w:rFonts w:cs="Arial"/>
          <w:color w:val="000000"/>
        </w:rPr>
        <w:t>d’assignation à résidence</w:t>
      </w:r>
      <w:r w:rsidR="00791678">
        <w:rPr>
          <w:rFonts w:cs="Arial"/>
          <w:color w:val="000000"/>
        </w:rPr>
        <w:t xml:space="preserve"> et lors de l’application du couvre-feu</w:t>
      </w:r>
      <w:r>
        <w:rPr>
          <w:rFonts w:cs="Arial"/>
          <w:color w:val="000000"/>
        </w:rPr>
        <w:t>;</w:t>
      </w:r>
    </w:p>
    <w:p w:rsidR="007531FE" w:rsidRPr="007531FE" w:rsidRDefault="00DD71E8" w:rsidP="00476BB9">
      <w:pPr>
        <w:pStyle w:val="Paragraphe"/>
        <w:numPr>
          <w:ilvl w:val="0"/>
          <w:numId w:val="13"/>
        </w:numPr>
        <w:spacing w:line="240" w:lineRule="auto"/>
      </w:pPr>
      <w:r>
        <w:rPr>
          <w:rFonts w:cs="Arial"/>
          <w:color w:val="000000"/>
        </w:rPr>
        <w:t>s’abstenir d’adhérer à un service de transfert automatique d’appel;</w:t>
      </w:r>
    </w:p>
    <w:p w:rsidR="004F2680" w:rsidRPr="007531FE" w:rsidRDefault="00DD71E8" w:rsidP="00476BB9">
      <w:pPr>
        <w:pStyle w:val="Paragraphe"/>
        <w:numPr>
          <w:ilvl w:val="0"/>
          <w:numId w:val="13"/>
        </w:numPr>
        <w:spacing w:line="240" w:lineRule="auto"/>
      </w:pPr>
      <w:r>
        <w:rPr>
          <w:rFonts w:cs="Arial"/>
          <w:color w:val="000000"/>
        </w:rPr>
        <w:t>a</w:t>
      </w:r>
      <w:r w:rsidRPr="00791678">
        <w:rPr>
          <w:rFonts w:cs="Arial"/>
          <w:color w:val="000000"/>
        </w:rPr>
        <w:t>viser sans délai l’agent de surveillance de tout changement de numéro de téléphone;</w:t>
      </w:r>
    </w:p>
    <w:p w:rsidR="007531FE" w:rsidRPr="007531FE" w:rsidRDefault="00DD71E8" w:rsidP="00476BB9">
      <w:pPr>
        <w:pStyle w:val="Paragraphe"/>
        <w:numPr>
          <w:ilvl w:val="0"/>
          <w:numId w:val="13"/>
        </w:numPr>
        <w:spacing w:line="240" w:lineRule="auto"/>
      </w:pPr>
      <w:r>
        <w:rPr>
          <w:rFonts w:cs="Arial"/>
          <w:color w:val="000000"/>
        </w:rPr>
        <w:t xml:space="preserve">en tout temps, laisser libre accès à sa résidence à son agent de surveillance </w:t>
      </w:r>
      <w:r w:rsidR="00791678">
        <w:rPr>
          <w:rFonts w:cs="Arial"/>
          <w:color w:val="000000"/>
        </w:rPr>
        <w:t>avec un préavis raisonnable;</w:t>
      </w:r>
    </w:p>
    <w:p w:rsidR="007531FE" w:rsidRPr="00AF7925" w:rsidRDefault="00DD71E8" w:rsidP="00476BB9">
      <w:pPr>
        <w:pStyle w:val="Paragraphe"/>
        <w:numPr>
          <w:ilvl w:val="0"/>
          <w:numId w:val="13"/>
        </w:numPr>
        <w:spacing w:line="240" w:lineRule="auto"/>
        <w:rPr>
          <w:szCs w:val="24"/>
        </w:rPr>
      </w:pPr>
      <w:r>
        <w:rPr>
          <w:szCs w:val="24"/>
        </w:rPr>
        <w:t>i</w:t>
      </w:r>
      <w:r w:rsidRPr="00AF7925">
        <w:rPr>
          <w:szCs w:val="24"/>
        </w:rPr>
        <w:t>nter</w:t>
      </w:r>
      <w:r w:rsidRPr="00AF7925">
        <w:rPr>
          <w:rFonts w:cs="Arial"/>
          <w:color w:val="000000"/>
          <w:szCs w:val="24"/>
        </w:rPr>
        <w:t xml:space="preserve">diction de communiquer avec des personnes qui, à sa connaissance, ont des </w:t>
      </w:r>
      <w:r w:rsidRPr="00F544E4">
        <w:rPr>
          <w:rFonts w:cs="Arial"/>
          <w:color w:val="000000"/>
        </w:rPr>
        <w:t>antécédents</w:t>
      </w:r>
      <w:r w:rsidRPr="00AF7925">
        <w:rPr>
          <w:rFonts w:cs="Arial"/>
          <w:color w:val="000000"/>
          <w:szCs w:val="24"/>
        </w:rPr>
        <w:t xml:space="preserve"> judiciaires ou des causes pendantes;</w:t>
      </w:r>
    </w:p>
    <w:p w:rsidR="007531FE" w:rsidRPr="00AF7925" w:rsidRDefault="00DD71E8" w:rsidP="00AE75A7">
      <w:pPr>
        <w:pStyle w:val="Paragraphe"/>
        <w:numPr>
          <w:ilvl w:val="0"/>
          <w:numId w:val="13"/>
        </w:numPr>
        <w:spacing w:line="240" w:lineRule="auto"/>
        <w:ind w:left="1088" w:hanging="357"/>
        <w:rPr>
          <w:rFonts w:cs="Arial"/>
          <w:color w:val="000000"/>
          <w:szCs w:val="24"/>
          <w:lang w:eastAsia="fr-CA"/>
        </w:rPr>
      </w:pPr>
      <w:r>
        <w:rPr>
          <w:rFonts w:cs="Arial"/>
          <w:color w:val="000000"/>
          <w:szCs w:val="24"/>
        </w:rPr>
        <w:t>i</w:t>
      </w:r>
      <w:r w:rsidRPr="00AF7925">
        <w:rPr>
          <w:rFonts w:cs="Arial"/>
          <w:color w:val="000000"/>
          <w:szCs w:val="24"/>
        </w:rPr>
        <w:t>nterdiction de posséder toute substance dont la possession est interdite par la loi</w:t>
      </w:r>
      <w:r w:rsidR="00791678">
        <w:rPr>
          <w:rFonts w:cs="Arial"/>
          <w:color w:val="000000"/>
          <w:szCs w:val="24"/>
        </w:rPr>
        <w:t>, incluant le cannabis;</w:t>
      </w:r>
    </w:p>
    <w:p w:rsidR="007531FE" w:rsidRDefault="00DD71E8" w:rsidP="00AE75A7">
      <w:pPr>
        <w:pStyle w:val="Paragraphe"/>
        <w:numPr>
          <w:ilvl w:val="0"/>
          <w:numId w:val="13"/>
        </w:numPr>
        <w:spacing w:line="240" w:lineRule="auto"/>
        <w:ind w:left="1088" w:hanging="357"/>
        <w:rPr>
          <w:rFonts w:cs="Arial"/>
          <w:color w:val="000000"/>
          <w:szCs w:val="24"/>
          <w:lang w:eastAsia="fr-CA"/>
        </w:rPr>
      </w:pPr>
      <w:r>
        <w:rPr>
          <w:rFonts w:cs="Arial"/>
          <w:color w:val="000000"/>
          <w:szCs w:val="24"/>
        </w:rPr>
        <w:t>i</w:t>
      </w:r>
      <w:r w:rsidRPr="00AF7925">
        <w:rPr>
          <w:rFonts w:cs="Arial"/>
          <w:color w:val="000000"/>
          <w:szCs w:val="24"/>
        </w:rPr>
        <w:t>nterdiction de communiquer directement ou indirectement avec les co-</w:t>
      </w:r>
      <w:r w:rsidRPr="00AF7925">
        <w:rPr>
          <w:rFonts w:cs="Arial"/>
          <w:color w:val="000000"/>
          <w:szCs w:val="24"/>
          <w:lang w:eastAsia="fr-CA"/>
        </w:rPr>
        <w:t>accusés</w:t>
      </w:r>
      <w:r w:rsidR="00791678">
        <w:rPr>
          <w:rFonts w:cs="Arial"/>
          <w:color w:val="000000"/>
          <w:szCs w:val="24"/>
        </w:rPr>
        <w:t xml:space="preserve">: </w:t>
      </w:r>
    </w:p>
    <w:p w:rsidR="00A773DE" w:rsidRDefault="00DD71E8" w:rsidP="00A773DE">
      <w:pPr>
        <w:pStyle w:val="Paragraphe"/>
        <w:numPr>
          <w:ilvl w:val="0"/>
          <w:numId w:val="23"/>
        </w:numPr>
        <w:spacing w:before="0" w:after="0" w:line="240" w:lineRule="auto"/>
        <w:ind w:left="2546" w:hanging="357"/>
        <w:rPr>
          <w:rFonts w:cs="Arial"/>
          <w:color w:val="000000"/>
          <w:szCs w:val="24"/>
          <w:lang w:eastAsia="fr-CA"/>
        </w:rPr>
      </w:pPr>
      <w:r>
        <w:rPr>
          <w:rFonts w:cs="Arial"/>
          <w:color w:val="000000"/>
          <w:szCs w:val="24"/>
          <w:lang w:eastAsia="fr-CA"/>
        </w:rPr>
        <w:t>Pierre André Blais</w:t>
      </w:r>
    </w:p>
    <w:p w:rsidR="00A773DE" w:rsidRDefault="00DD71E8" w:rsidP="00A773DE">
      <w:pPr>
        <w:pStyle w:val="Paragraphe"/>
        <w:numPr>
          <w:ilvl w:val="0"/>
          <w:numId w:val="23"/>
        </w:numPr>
        <w:spacing w:before="0" w:after="0" w:line="240" w:lineRule="auto"/>
        <w:ind w:left="2546" w:hanging="357"/>
        <w:rPr>
          <w:rFonts w:cs="Arial"/>
          <w:color w:val="000000"/>
          <w:szCs w:val="24"/>
          <w:lang w:eastAsia="fr-CA"/>
        </w:rPr>
      </w:pPr>
      <w:r>
        <w:rPr>
          <w:rFonts w:cs="Arial"/>
          <w:color w:val="000000"/>
          <w:szCs w:val="24"/>
          <w:lang w:eastAsia="fr-CA"/>
        </w:rPr>
        <w:t>Jean-Marc Thibodeau</w:t>
      </w:r>
    </w:p>
    <w:p w:rsidR="00A773DE" w:rsidRDefault="00DD71E8" w:rsidP="00A773DE">
      <w:pPr>
        <w:pStyle w:val="Paragraphe"/>
        <w:numPr>
          <w:ilvl w:val="0"/>
          <w:numId w:val="23"/>
        </w:numPr>
        <w:spacing w:before="0" w:after="0" w:line="240" w:lineRule="auto"/>
        <w:ind w:left="2546" w:hanging="357"/>
        <w:rPr>
          <w:rFonts w:cs="Arial"/>
          <w:color w:val="000000"/>
          <w:szCs w:val="24"/>
          <w:lang w:eastAsia="fr-CA"/>
        </w:rPr>
      </w:pPr>
      <w:r>
        <w:rPr>
          <w:rFonts w:cs="Arial"/>
          <w:color w:val="000000"/>
          <w:szCs w:val="24"/>
          <w:lang w:eastAsia="fr-CA"/>
        </w:rPr>
        <w:t>André Bolduc</w:t>
      </w:r>
    </w:p>
    <w:p w:rsidR="00A773DE" w:rsidRDefault="00DD71E8" w:rsidP="00A773DE">
      <w:pPr>
        <w:pStyle w:val="Paragraphe"/>
        <w:numPr>
          <w:ilvl w:val="0"/>
          <w:numId w:val="23"/>
        </w:numPr>
        <w:spacing w:before="0" w:after="0" w:line="240" w:lineRule="auto"/>
        <w:ind w:left="2546" w:hanging="357"/>
        <w:rPr>
          <w:rFonts w:cs="Arial"/>
          <w:color w:val="000000"/>
          <w:szCs w:val="24"/>
          <w:lang w:eastAsia="fr-CA"/>
        </w:rPr>
      </w:pPr>
      <w:r>
        <w:rPr>
          <w:rFonts w:cs="Arial"/>
          <w:color w:val="000000"/>
          <w:szCs w:val="24"/>
          <w:lang w:eastAsia="fr-CA"/>
        </w:rPr>
        <w:t>Véronique Trudeau</w:t>
      </w:r>
    </w:p>
    <w:p w:rsidR="00A773DE" w:rsidRDefault="00DD71E8" w:rsidP="00A773DE">
      <w:pPr>
        <w:pStyle w:val="Paragraphe"/>
        <w:numPr>
          <w:ilvl w:val="0"/>
          <w:numId w:val="23"/>
        </w:numPr>
        <w:spacing w:before="0" w:after="0" w:line="240" w:lineRule="auto"/>
        <w:ind w:left="2546" w:hanging="357"/>
        <w:rPr>
          <w:rFonts w:cs="Arial"/>
          <w:color w:val="000000"/>
          <w:szCs w:val="24"/>
          <w:lang w:eastAsia="fr-CA"/>
        </w:rPr>
      </w:pPr>
      <w:r>
        <w:rPr>
          <w:rFonts w:cs="Arial"/>
          <w:color w:val="000000"/>
          <w:szCs w:val="24"/>
          <w:lang w:eastAsia="fr-CA"/>
        </w:rPr>
        <w:t>Nadine Potelle</w:t>
      </w:r>
    </w:p>
    <w:p w:rsidR="00A773DE" w:rsidRDefault="00DD71E8" w:rsidP="00A773DE">
      <w:pPr>
        <w:pStyle w:val="Paragraphe"/>
        <w:numPr>
          <w:ilvl w:val="0"/>
          <w:numId w:val="23"/>
        </w:numPr>
        <w:spacing w:before="0" w:after="0" w:line="240" w:lineRule="auto"/>
        <w:ind w:left="2546" w:hanging="357"/>
        <w:rPr>
          <w:rFonts w:cs="Arial"/>
          <w:color w:val="000000"/>
          <w:szCs w:val="24"/>
          <w:lang w:eastAsia="fr-CA"/>
        </w:rPr>
      </w:pPr>
      <w:r>
        <w:rPr>
          <w:rFonts w:cs="Arial"/>
          <w:color w:val="000000"/>
          <w:szCs w:val="24"/>
          <w:lang w:eastAsia="fr-CA"/>
        </w:rPr>
        <w:t>Myrlande Boivin</w:t>
      </w:r>
    </w:p>
    <w:p w:rsidR="00A773DE" w:rsidRDefault="00DD71E8" w:rsidP="00A773DE">
      <w:pPr>
        <w:pStyle w:val="Paragraphe"/>
        <w:numPr>
          <w:ilvl w:val="0"/>
          <w:numId w:val="23"/>
        </w:numPr>
        <w:spacing w:before="0" w:after="0" w:line="240" w:lineRule="auto"/>
        <w:ind w:left="2546" w:hanging="357"/>
        <w:rPr>
          <w:rFonts w:cs="Arial"/>
          <w:color w:val="000000"/>
          <w:szCs w:val="24"/>
          <w:lang w:eastAsia="fr-CA"/>
        </w:rPr>
      </w:pPr>
      <w:r>
        <w:rPr>
          <w:rFonts w:cs="Arial"/>
          <w:color w:val="000000"/>
          <w:szCs w:val="24"/>
          <w:lang w:eastAsia="fr-CA"/>
        </w:rPr>
        <w:t>Patrick St-Laurent-Thibault</w:t>
      </w:r>
    </w:p>
    <w:p w:rsidR="00A773DE" w:rsidRDefault="00DD71E8" w:rsidP="00A773DE">
      <w:pPr>
        <w:pStyle w:val="Paragraphe"/>
        <w:numPr>
          <w:ilvl w:val="0"/>
          <w:numId w:val="23"/>
        </w:numPr>
        <w:spacing w:before="0" w:after="0" w:line="240" w:lineRule="auto"/>
        <w:ind w:left="2546" w:hanging="357"/>
        <w:rPr>
          <w:rFonts w:cs="Arial"/>
          <w:color w:val="000000"/>
          <w:szCs w:val="24"/>
          <w:lang w:eastAsia="fr-CA"/>
        </w:rPr>
      </w:pPr>
      <w:r>
        <w:rPr>
          <w:rFonts w:cs="Arial"/>
          <w:color w:val="000000"/>
          <w:szCs w:val="24"/>
          <w:lang w:eastAsia="fr-CA"/>
        </w:rPr>
        <w:t>Patricia Ducharme</w:t>
      </w:r>
    </w:p>
    <w:p w:rsidR="00A773DE" w:rsidRDefault="00DD71E8" w:rsidP="00A773DE">
      <w:pPr>
        <w:pStyle w:val="Paragraphe"/>
        <w:numPr>
          <w:ilvl w:val="0"/>
          <w:numId w:val="23"/>
        </w:numPr>
        <w:spacing w:before="0" w:after="0" w:line="240" w:lineRule="auto"/>
        <w:ind w:left="2546" w:hanging="357"/>
        <w:rPr>
          <w:rFonts w:cs="Arial"/>
          <w:color w:val="000000"/>
          <w:szCs w:val="24"/>
          <w:lang w:eastAsia="fr-CA"/>
        </w:rPr>
      </w:pPr>
      <w:r>
        <w:rPr>
          <w:rFonts w:cs="Arial"/>
          <w:color w:val="000000"/>
          <w:szCs w:val="24"/>
          <w:lang w:eastAsia="fr-CA"/>
        </w:rPr>
        <w:t>Sandra Ducharme</w:t>
      </w:r>
    </w:p>
    <w:p w:rsidR="007531FE" w:rsidRPr="002B4485" w:rsidRDefault="00DD71E8" w:rsidP="002B4485">
      <w:pPr>
        <w:pStyle w:val="Paragraphe"/>
        <w:numPr>
          <w:ilvl w:val="0"/>
          <w:numId w:val="13"/>
        </w:numPr>
        <w:spacing w:line="240" w:lineRule="auto"/>
      </w:pPr>
      <w:r>
        <w:rPr>
          <w:rFonts w:cs="Arial"/>
          <w:color w:val="000000"/>
        </w:rPr>
        <w:t>suivre toute directive écrite de l’agent de surveillance relative à l’application des conditions de l’ordonnance d’emprisonnement avec sursis;</w:t>
      </w:r>
    </w:p>
    <w:p w:rsidR="00F544E4" w:rsidRPr="004F2680" w:rsidRDefault="00DD71E8" w:rsidP="00F4393B">
      <w:pPr>
        <w:pStyle w:val="Paragraphe"/>
        <w:spacing w:line="240" w:lineRule="auto"/>
      </w:pPr>
      <w:r w:rsidRPr="007531FE">
        <w:rPr>
          <w:rFonts w:cs="Arial"/>
          <w:b/>
          <w:bCs/>
          <w:color w:val="000000"/>
        </w:rPr>
        <w:t>INFORME</w:t>
      </w:r>
      <w:r w:rsidR="00AE75A7">
        <w:rPr>
          <w:rFonts w:cs="Arial"/>
          <w:b/>
          <w:bCs/>
          <w:color w:val="000000"/>
        </w:rPr>
        <w:t xml:space="preserve"> </w:t>
      </w:r>
      <w:r w:rsidRPr="007531FE">
        <w:rPr>
          <w:rFonts w:cs="Arial"/>
          <w:color w:val="000000"/>
        </w:rPr>
        <w:t>l’accusé que tout manquement aux conditions de l’ordonnance peut faire l’objet de mesures prévues à l’article</w:t>
      </w:r>
      <w:r w:rsidR="00AE75A7">
        <w:rPr>
          <w:rFonts w:cs="Arial"/>
          <w:color w:val="000000"/>
        </w:rPr>
        <w:t> </w:t>
      </w:r>
      <w:r w:rsidRPr="007531FE">
        <w:rPr>
          <w:rFonts w:cs="Arial"/>
          <w:color w:val="000000"/>
        </w:rPr>
        <w:t>742.6 C.cr.;</w:t>
      </w:r>
    </w:p>
    <w:p w:rsidR="00F544E4" w:rsidRDefault="00DD71E8" w:rsidP="00F544E4">
      <w:pPr>
        <w:pStyle w:val="Paragraphe"/>
        <w:spacing w:line="240" w:lineRule="auto"/>
        <w:rPr>
          <w:szCs w:val="24"/>
        </w:rPr>
      </w:pPr>
      <w:r w:rsidRPr="0080011F">
        <w:rPr>
          <w:b/>
          <w:szCs w:val="24"/>
        </w:rPr>
        <w:t>CONDAMNE</w:t>
      </w:r>
      <w:r w:rsidRPr="0080011F">
        <w:rPr>
          <w:szCs w:val="24"/>
        </w:rPr>
        <w:t xml:space="preserve"> l’accusé à purger</w:t>
      </w:r>
      <w:r w:rsidR="002B4485">
        <w:rPr>
          <w:szCs w:val="24"/>
        </w:rPr>
        <w:t>, sur le</w:t>
      </w:r>
      <w:r w:rsidR="00002AAB">
        <w:rPr>
          <w:szCs w:val="24"/>
        </w:rPr>
        <w:t>s</w:t>
      </w:r>
      <w:r w:rsidR="002B4485">
        <w:rPr>
          <w:szCs w:val="24"/>
        </w:rPr>
        <w:t xml:space="preserve"> chef</w:t>
      </w:r>
      <w:r w:rsidR="00002AAB">
        <w:rPr>
          <w:szCs w:val="24"/>
        </w:rPr>
        <w:t>s 6 et</w:t>
      </w:r>
      <w:r w:rsidR="002B4485">
        <w:rPr>
          <w:szCs w:val="24"/>
        </w:rPr>
        <w:t xml:space="preserve"> 11</w:t>
      </w:r>
      <w:r w:rsidR="00002AAB">
        <w:rPr>
          <w:szCs w:val="24"/>
        </w:rPr>
        <w:t xml:space="preserve"> (soit ceux relatifs à la </w:t>
      </w:r>
      <w:r w:rsidR="00002AAB" w:rsidRPr="006571BA">
        <w:rPr>
          <w:i/>
          <w:iCs/>
          <w:szCs w:val="24"/>
        </w:rPr>
        <w:t>Loi sur le cannabis</w:t>
      </w:r>
      <w:r w:rsidR="00002AAB">
        <w:rPr>
          <w:szCs w:val="24"/>
        </w:rPr>
        <w:t xml:space="preserve"> de gravité objective moindre)</w:t>
      </w:r>
      <w:r w:rsidR="002B4485">
        <w:rPr>
          <w:szCs w:val="24"/>
        </w:rPr>
        <w:t xml:space="preserve">, </w:t>
      </w:r>
      <w:r w:rsidRPr="0080011F">
        <w:rPr>
          <w:szCs w:val="24"/>
        </w:rPr>
        <w:t xml:space="preserve">une peine de </w:t>
      </w:r>
      <w:r w:rsidR="002B4485" w:rsidRPr="00ED6980">
        <w:rPr>
          <w:b/>
          <w:bCs/>
          <w:szCs w:val="24"/>
        </w:rPr>
        <w:t>90</w:t>
      </w:r>
      <w:r w:rsidR="00AE75A7">
        <w:rPr>
          <w:b/>
          <w:bCs/>
          <w:szCs w:val="24"/>
        </w:rPr>
        <w:t> </w:t>
      </w:r>
      <w:r w:rsidR="002B4485" w:rsidRPr="00ED6980">
        <w:rPr>
          <w:b/>
          <w:bCs/>
          <w:szCs w:val="24"/>
        </w:rPr>
        <w:t>jours d’emprisonnement discontinu</w:t>
      </w:r>
      <w:r w:rsidR="00002AAB">
        <w:rPr>
          <w:b/>
          <w:bCs/>
          <w:szCs w:val="24"/>
        </w:rPr>
        <w:t xml:space="preserve"> </w:t>
      </w:r>
      <w:r w:rsidR="00002AAB" w:rsidRPr="00002AAB">
        <w:rPr>
          <w:szCs w:val="24"/>
        </w:rPr>
        <w:t>(cette peine est</w:t>
      </w:r>
      <w:r w:rsidR="00002AAB">
        <w:rPr>
          <w:b/>
          <w:bCs/>
          <w:szCs w:val="24"/>
        </w:rPr>
        <w:t xml:space="preserve"> </w:t>
      </w:r>
      <w:r w:rsidR="00ED6980">
        <w:rPr>
          <w:szCs w:val="24"/>
        </w:rPr>
        <w:t xml:space="preserve">concurrente </w:t>
      </w:r>
      <w:r w:rsidR="00002AAB">
        <w:rPr>
          <w:szCs w:val="24"/>
        </w:rPr>
        <w:t xml:space="preserve">entre ces deux chefs et concurrente aux </w:t>
      </w:r>
      <w:r w:rsidR="00ED6980">
        <w:rPr>
          <w:szCs w:val="24"/>
        </w:rPr>
        <w:t>autres chefs</w:t>
      </w:r>
      <w:r w:rsidR="00002AAB">
        <w:rPr>
          <w:szCs w:val="24"/>
        </w:rPr>
        <w:t xml:space="preserve"> 3, 4 et 5)</w:t>
      </w:r>
      <w:r w:rsidRPr="00F544E4">
        <w:rPr>
          <w:szCs w:val="24"/>
        </w:rPr>
        <w:t>;</w:t>
      </w:r>
    </w:p>
    <w:p w:rsidR="00ED6980" w:rsidRPr="00C011AB" w:rsidRDefault="00DD71E8" w:rsidP="00ED6980">
      <w:pPr>
        <w:pStyle w:val="Paragraphe"/>
        <w:spacing w:line="240" w:lineRule="auto"/>
      </w:pPr>
      <w:r w:rsidRPr="00C011AB">
        <w:rPr>
          <w:b/>
        </w:rPr>
        <w:t xml:space="preserve">PREND ACTE </w:t>
      </w:r>
      <w:r w:rsidRPr="00C011AB">
        <w:t xml:space="preserve">de la période de </w:t>
      </w:r>
      <w:r>
        <w:t>1</w:t>
      </w:r>
      <w:r w:rsidR="00AE75A7">
        <w:t> </w:t>
      </w:r>
      <w:r w:rsidRPr="00C011AB">
        <w:t xml:space="preserve">jour </w:t>
      </w:r>
      <w:r>
        <w:t xml:space="preserve">réel </w:t>
      </w:r>
      <w:r w:rsidRPr="00C011AB">
        <w:t xml:space="preserve">de détention provisoire déjà purgée </w:t>
      </w:r>
      <w:r w:rsidR="00E45CED" w:rsidRPr="006571BA">
        <w:t xml:space="preserve">auquel </w:t>
      </w:r>
      <w:r w:rsidRPr="00C011AB">
        <w:t xml:space="preserve">le Tribunal </w:t>
      </w:r>
      <w:r w:rsidRPr="00C011AB">
        <w:rPr>
          <w:b/>
        </w:rPr>
        <w:t>ACCORDE,</w:t>
      </w:r>
      <w:r w:rsidRPr="00C011AB">
        <w:t xml:space="preserve"> en vertu de l’article</w:t>
      </w:r>
      <w:r w:rsidR="00E45CED">
        <w:t> </w:t>
      </w:r>
      <w:r w:rsidRPr="00C011AB">
        <w:t xml:space="preserve">719(3.1) C.cr., un crédit de </w:t>
      </w:r>
      <w:r>
        <w:t>2</w:t>
      </w:r>
      <w:r w:rsidR="00E45CED">
        <w:t> </w:t>
      </w:r>
      <w:r>
        <w:t>jours</w:t>
      </w:r>
      <w:r w:rsidRPr="00C011AB">
        <w:t>;</w:t>
      </w:r>
    </w:p>
    <w:p w:rsidR="00ED6980" w:rsidRPr="00B24EFC" w:rsidRDefault="00DD71E8" w:rsidP="00ED6980">
      <w:pPr>
        <w:pStyle w:val="Paragraphe"/>
        <w:spacing w:line="240" w:lineRule="auto"/>
      </w:pPr>
      <w:r w:rsidRPr="00C011AB">
        <w:rPr>
          <w:rFonts w:cs="Arial"/>
          <w:b/>
          <w:szCs w:val="24"/>
        </w:rPr>
        <w:t xml:space="preserve">CONDAMNE </w:t>
      </w:r>
      <w:r w:rsidRPr="00C011AB">
        <w:rPr>
          <w:rFonts w:cs="Arial"/>
          <w:szCs w:val="24"/>
        </w:rPr>
        <w:t xml:space="preserve">donc l’accusé à purger une peine de </w:t>
      </w:r>
      <w:r w:rsidRPr="00ED6980">
        <w:rPr>
          <w:rFonts w:cs="Arial"/>
          <w:b/>
          <w:bCs/>
          <w:szCs w:val="24"/>
        </w:rPr>
        <w:t>88 jours</w:t>
      </w:r>
      <w:r w:rsidRPr="0065675A">
        <w:rPr>
          <w:rFonts w:cs="Arial"/>
          <w:b/>
          <w:bCs/>
          <w:szCs w:val="24"/>
        </w:rPr>
        <w:t xml:space="preserve"> d'emprisonnement </w:t>
      </w:r>
      <w:r w:rsidR="00002AAB">
        <w:rPr>
          <w:rFonts w:cs="Arial"/>
          <w:b/>
          <w:bCs/>
          <w:szCs w:val="24"/>
        </w:rPr>
        <w:t>discontinu</w:t>
      </w:r>
      <w:r>
        <w:rPr>
          <w:rFonts w:cs="Arial"/>
          <w:szCs w:val="24"/>
        </w:rPr>
        <w:t xml:space="preserve"> </w:t>
      </w:r>
      <w:r w:rsidRPr="00C011AB">
        <w:rPr>
          <w:rFonts w:cs="Arial"/>
          <w:szCs w:val="24"/>
        </w:rPr>
        <w:t>à compter de ce jour;</w:t>
      </w:r>
    </w:p>
    <w:p w:rsidR="00B24EFC" w:rsidRPr="00F3251D" w:rsidRDefault="00DD71E8" w:rsidP="00ED6980">
      <w:pPr>
        <w:pStyle w:val="Paragraphe"/>
        <w:spacing w:line="240" w:lineRule="auto"/>
      </w:pPr>
      <w:r>
        <w:rPr>
          <w:rFonts w:cs="Arial"/>
          <w:b/>
          <w:szCs w:val="24"/>
        </w:rPr>
        <w:t xml:space="preserve">DÉTERMINE </w:t>
      </w:r>
      <w:r>
        <w:rPr>
          <w:rFonts w:cs="Arial"/>
          <w:bCs/>
          <w:szCs w:val="24"/>
        </w:rPr>
        <w:t xml:space="preserve">que ces peines </w:t>
      </w:r>
      <w:r w:rsidRPr="007C580A">
        <w:rPr>
          <w:szCs w:val="24"/>
        </w:rPr>
        <w:t>peuvent être purgées de façon concurrente</w:t>
      </w:r>
      <w:r>
        <w:rPr>
          <w:szCs w:val="24"/>
        </w:rPr>
        <w:t xml:space="preserve"> entre ces chefs</w:t>
      </w:r>
      <w:r w:rsidR="00D35D44">
        <w:rPr>
          <w:szCs w:val="24"/>
        </w:rPr>
        <w:t xml:space="preserve"> (6 et 11) et entre les chefs 3, 4 et 5;</w:t>
      </w:r>
    </w:p>
    <w:p w:rsidR="00EF30AF" w:rsidRPr="00F544E4" w:rsidRDefault="00DD71E8" w:rsidP="00454510">
      <w:pPr>
        <w:pStyle w:val="Paragraphe"/>
        <w:spacing w:line="240" w:lineRule="auto"/>
      </w:pPr>
      <w:r w:rsidRPr="00F544E4">
        <w:rPr>
          <w:b/>
          <w:szCs w:val="24"/>
        </w:rPr>
        <w:t>PRONONCE</w:t>
      </w:r>
      <w:r w:rsidRPr="00F544E4">
        <w:rPr>
          <w:szCs w:val="24"/>
        </w:rPr>
        <w:t xml:space="preserve">, </w:t>
      </w:r>
      <w:r w:rsidRPr="00F544E4">
        <w:rPr>
          <w:rFonts w:cs="Arial"/>
          <w:szCs w:val="24"/>
        </w:rPr>
        <w:t>conformément</w:t>
      </w:r>
      <w:r w:rsidRPr="00F544E4">
        <w:rPr>
          <w:szCs w:val="24"/>
        </w:rPr>
        <w:t xml:space="preserve"> à l’article</w:t>
      </w:r>
      <w:r w:rsidR="00E45CED">
        <w:rPr>
          <w:szCs w:val="24"/>
        </w:rPr>
        <w:t> </w:t>
      </w:r>
      <w:r w:rsidRPr="00F544E4">
        <w:rPr>
          <w:szCs w:val="24"/>
        </w:rPr>
        <w:t>731</w:t>
      </w:r>
      <w:r w:rsidR="00C118FD" w:rsidRPr="00F544E4">
        <w:rPr>
          <w:szCs w:val="24"/>
        </w:rPr>
        <w:t>(1)b) C.cr.</w:t>
      </w:r>
      <w:r w:rsidRPr="00F544E4">
        <w:rPr>
          <w:szCs w:val="24"/>
        </w:rPr>
        <w:t xml:space="preserve">, une ordonnance de probation d’une durée de </w:t>
      </w:r>
      <w:r w:rsidR="00F544E4" w:rsidRPr="00F544E4">
        <w:rPr>
          <w:b/>
          <w:bCs/>
          <w:szCs w:val="24"/>
        </w:rPr>
        <w:t>2</w:t>
      </w:r>
      <w:r w:rsidR="00B44725" w:rsidRPr="00F544E4">
        <w:rPr>
          <w:b/>
          <w:szCs w:val="24"/>
        </w:rPr>
        <w:t> </w:t>
      </w:r>
      <w:r w:rsidRPr="00F544E4">
        <w:rPr>
          <w:b/>
          <w:szCs w:val="24"/>
        </w:rPr>
        <w:t>ans</w:t>
      </w:r>
      <w:r w:rsidRPr="00F544E4">
        <w:t xml:space="preserve">, </w:t>
      </w:r>
      <w:r w:rsidR="009D2580" w:rsidRPr="00F544E4">
        <w:t>avec</w:t>
      </w:r>
      <w:r w:rsidR="002D6B46" w:rsidRPr="00F544E4">
        <w:t xml:space="preserve"> un </w:t>
      </w:r>
      <w:r w:rsidR="009D2580" w:rsidRPr="00F544E4">
        <w:t xml:space="preserve">suivi probatoire de </w:t>
      </w:r>
      <w:r w:rsidR="00B77EF8" w:rsidRPr="00F544E4">
        <w:rPr>
          <w:b/>
          <w:bCs/>
        </w:rPr>
        <w:t>2</w:t>
      </w:r>
      <w:r w:rsidR="00B44725" w:rsidRPr="00F544E4">
        <w:rPr>
          <w:b/>
          <w:bCs/>
        </w:rPr>
        <w:t> </w:t>
      </w:r>
      <w:r w:rsidR="009D2580" w:rsidRPr="00F544E4">
        <w:rPr>
          <w:b/>
          <w:bCs/>
        </w:rPr>
        <w:t>a</w:t>
      </w:r>
      <w:r w:rsidR="009D2580" w:rsidRPr="00F544E4">
        <w:rPr>
          <w:b/>
        </w:rPr>
        <w:t>ns</w:t>
      </w:r>
      <w:r w:rsidR="009D2580" w:rsidRPr="00F544E4">
        <w:t xml:space="preserve">, </w:t>
      </w:r>
      <w:r w:rsidRPr="00F544E4">
        <w:t>assortie, en plus des conditions obligatoires</w:t>
      </w:r>
      <w:r>
        <w:rPr>
          <w:rStyle w:val="Appelnotedebasdep"/>
        </w:rPr>
        <w:footnoteReference w:id="89"/>
      </w:r>
      <w:r w:rsidRPr="00F544E4">
        <w:t>, de celles qui suivent :</w:t>
      </w:r>
      <w:r w:rsidR="00A773DE">
        <w:t xml:space="preserve"> </w:t>
      </w:r>
    </w:p>
    <w:p w:rsidR="00EF30AF" w:rsidRPr="00AF7925" w:rsidRDefault="00DD71E8" w:rsidP="00E45CED">
      <w:pPr>
        <w:pStyle w:val="Paragraphe"/>
        <w:numPr>
          <w:ilvl w:val="0"/>
          <w:numId w:val="2"/>
        </w:numPr>
        <w:tabs>
          <w:tab w:val="num" w:pos="1276"/>
        </w:tabs>
        <w:spacing w:before="0" w:line="240" w:lineRule="auto"/>
        <w:ind w:left="1088" w:hanging="357"/>
        <w:rPr>
          <w:lang w:eastAsia="fr-CA"/>
        </w:rPr>
      </w:pPr>
      <w:r w:rsidRPr="00AF7925">
        <w:t>se présenter à l’agent de probation, dans un délai de 72</w:t>
      </w:r>
      <w:r w:rsidR="00B44725" w:rsidRPr="00AF7925">
        <w:t> </w:t>
      </w:r>
      <w:r w:rsidRPr="00AF7925">
        <w:t>heures et, par la suite, selon les modalités de temps et de forme fixées par l’agent</w:t>
      </w:r>
      <w:r w:rsidRPr="00AF7925">
        <w:rPr>
          <w:lang w:eastAsia="fr-CA"/>
        </w:rPr>
        <w:t>;</w:t>
      </w:r>
    </w:p>
    <w:p w:rsidR="00EF30AF" w:rsidRPr="00AF7925" w:rsidRDefault="00DD71E8" w:rsidP="00E45CED">
      <w:pPr>
        <w:pStyle w:val="Paragraphe"/>
        <w:numPr>
          <w:ilvl w:val="0"/>
          <w:numId w:val="2"/>
        </w:numPr>
        <w:tabs>
          <w:tab w:val="num" w:pos="1276"/>
        </w:tabs>
        <w:spacing w:before="0" w:line="240" w:lineRule="auto"/>
        <w:ind w:left="1088" w:hanging="357"/>
      </w:pPr>
      <w:r w:rsidRPr="00AF7925">
        <w:t>suivre toutes les recommandations de l’agent de probation concernant tout traitement ou thérapie qu’il jugera approprié relativement à toute problématique nécessitant une intervention</w:t>
      </w:r>
      <w:r w:rsidR="00454510" w:rsidRPr="00AF7925">
        <w:t xml:space="preserve">, et ce, </w:t>
      </w:r>
      <w:r w:rsidRPr="00AF7925">
        <w:t>afin de favoriser sa réhabilitation;</w:t>
      </w:r>
    </w:p>
    <w:p w:rsidR="00AF7925" w:rsidRPr="00580DD3" w:rsidRDefault="00DD71E8" w:rsidP="00E45CED">
      <w:pPr>
        <w:pStyle w:val="Paragraphe"/>
        <w:numPr>
          <w:ilvl w:val="0"/>
          <w:numId w:val="2"/>
        </w:numPr>
        <w:tabs>
          <w:tab w:val="num" w:pos="1276"/>
        </w:tabs>
        <w:spacing w:before="0" w:line="240" w:lineRule="auto"/>
        <w:ind w:left="1088" w:hanging="357"/>
        <w:rPr>
          <w:szCs w:val="24"/>
        </w:rPr>
      </w:pPr>
      <w:r w:rsidRPr="00AF7925">
        <w:rPr>
          <w:szCs w:val="24"/>
        </w:rPr>
        <w:t>inter</w:t>
      </w:r>
      <w:r w:rsidRPr="00AF7925">
        <w:rPr>
          <w:rFonts w:cs="Arial"/>
          <w:color w:val="000000"/>
          <w:szCs w:val="24"/>
        </w:rPr>
        <w:t xml:space="preserve">diction de communiquer </w:t>
      </w:r>
      <w:r w:rsidR="00580DD3">
        <w:rPr>
          <w:rFonts w:cs="Arial"/>
          <w:color w:val="000000"/>
          <w:szCs w:val="24"/>
        </w:rPr>
        <w:t xml:space="preserve">ou de tenter de communiquer </w:t>
      </w:r>
      <w:r w:rsidRPr="00AF7925">
        <w:rPr>
          <w:rFonts w:cs="Arial"/>
          <w:color w:val="000000"/>
          <w:szCs w:val="24"/>
        </w:rPr>
        <w:t>avec des personnes qui, à sa connaissance, ont des antécédents judiciaires ou des causes pendantes;</w:t>
      </w:r>
    </w:p>
    <w:p w:rsidR="00580DD3" w:rsidRPr="00AF7925" w:rsidRDefault="00DD71E8" w:rsidP="00E45CED">
      <w:pPr>
        <w:pStyle w:val="Paragraphe"/>
        <w:numPr>
          <w:ilvl w:val="0"/>
          <w:numId w:val="2"/>
        </w:numPr>
        <w:tabs>
          <w:tab w:val="num" w:pos="1276"/>
        </w:tabs>
        <w:spacing w:before="0" w:line="240" w:lineRule="auto"/>
        <w:ind w:left="1088" w:hanging="357"/>
        <w:rPr>
          <w:szCs w:val="24"/>
        </w:rPr>
      </w:pPr>
      <w:r>
        <w:rPr>
          <w:rFonts w:cs="Arial"/>
          <w:color w:val="000000"/>
          <w:szCs w:val="24"/>
        </w:rPr>
        <w:t>interdiction de communiquer ou de tenter de communiquer avec des personnes faisant usage de drogues ou la vente ou le trafic ou qui en ont en leur possession;</w:t>
      </w:r>
    </w:p>
    <w:p w:rsidR="00AF7925" w:rsidRPr="00AF7925" w:rsidRDefault="00DD71E8" w:rsidP="00E45CED">
      <w:pPr>
        <w:pStyle w:val="Paragraphe"/>
        <w:numPr>
          <w:ilvl w:val="0"/>
          <w:numId w:val="2"/>
        </w:numPr>
        <w:tabs>
          <w:tab w:val="num" w:pos="1276"/>
        </w:tabs>
        <w:spacing w:before="0" w:line="240" w:lineRule="auto"/>
        <w:ind w:left="1088" w:hanging="357"/>
        <w:rPr>
          <w:rFonts w:cs="Arial"/>
          <w:color w:val="000000"/>
          <w:szCs w:val="24"/>
          <w:lang w:eastAsia="fr-CA"/>
        </w:rPr>
      </w:pPr>
      <w:r w:rsidRPr="00AF7925">
        <w:rPr>
          <w:rFonts w:cs="Arial"/>
          <w:color w:val="000000"/>
          <w:szCs w:val="24"/>
        </w:rPr>
        <w:t>interdiction de posséder toute substance dont la possession est interdite par la loi</w:t>
      </w:r>
      <w:r w:rsidR="00A773DE">
        <w:rPr>
          <w:rFonts w:cs="Arial"/>
          <w:color w:val="000000"/>
          <w:szCs w:val="24"/>
        </w:rPr>
        <w:t>, incluant le cannabis;</w:t>
      </w:r>
    </w:p>
    <w:p w:rsidR="00AF7925" w:rsidRDefault="00DD71E8" w:rsidP="00E45CED">
      <w:pPr>
        <w:pStyle w:val="Paragraphe"/>
        <w:numPr>
          <w:ilvl w:val="0"/>
          <w:numId w:val="2"/>
        </w:numPr>
        <w:tabs>
          <w:tab w:val="num" w:pos="1276"/>
        </w:tabs>
        <w:spacing w:before="0" w:line="240" w:lineRule="auto"/>
        <w:ind w:left="1088" w:hanging="357"/>
        <w:rPr>
          <w:rFonts w:cs="Arial"/>
          <w:color w:val="000000"/>
          <w:szCs w:val="24"/>
          <w:lang w:eastAsia="fr-CA"/>
        </w:rPr>
      </w:pPr>
      <w:r w:rsidRPr="00AF7925">
        <w:rPr>
          <w:rFonts w:cs="Arial"/>
          <w:color w:val="000000"/>
          <w:szCs w:val="24"/>
        </w:rPr>
        <w:t xml:space="preserve">interdiction de communiquer </w:t>
      </w:r>
      <w:r w:rsidR="00580DD3">
        <w:rPr>
          <w:rFonts w:cs="Arial"/>
          <w:color w:val="000000"/>
          <w:szCs w:val="24"/>
        </w:rPr>
        <w:t xml:space="preserve">ou de tenter de communiquer </w:t>
      </w:r>
      <w:r w:rsidRPr="00AF7925">
        <w:rPr>
          <w:rFonts w:cs="Arial"/>
          <w:color w:val="000000"/>
          <w:szCs w:val="24"/>
        </w:rPr>
        <w:t>directement ou indirectement avec les co-accusés</w:t>
      </w:r>
      <w:r w:rsidR="00A773DE">
        <w:rPr>
          <w:rFonts w:cs="Arial"/>
          <w:color w:val="000000"/>
          <w:szCs w:val="24"/>
        </w:rPr>
        <w:t xml:space="preserve"> (voir la condition</w:t>
      </w:r>
      <w:r w:rsidR="00E45CED">
        <w:rPr>
          <w:rFonts w:cs="Arial"/>
          <w:color w:val="000000"/>
          <w:szCs w:val="24"/>
        </w:rPr>
        <w:t> </w:t>
      </w:r>
      <w:r w:rsidR="00A773DE">
        <w:rPr>
          <w:rFonts w:cs="Arial"/>
          <w:color w:val="000000"/>
          <w:szCs w:val="24"/>
        </w:rPr>
        <w:t>17 du sursis)</w:t>
      </w:r>
      <w:r w:rsidRPr="00AF7925">
        <w:rPr>
          <w:rFonts w:cs="Arial"/>
          <w:color w:val="000000"/>
          <w:szCs w:val="24"/>
        </w:rPr>
        <w:t>;</w:t>
      </w:r>
    </w:p>
    <w:p w:rsidR="00454510" w:rsidRPr="00F544E4" w:rsidRDefault="00DD71E8" w:rsidP="00E45CED">
      <w:pPr>
        <w:pStyle w:val="Paragraphe"/>
        <w:numPr>
          <w:ilvl w:val="0"/>
          <w:numId w:val="2"/>
        </w:numPr>
        <w:tabs>
          <w:tab w:val="num" w:pos="1276"/>
        </w:tabs>
        <w:spacing w:before="0" w:line="240" w:lineRule="auto"/>
        <w:ind w:left="1088" w:hanging="357"/>
      </w:pPr>
      <w:r w:rsidRPr="00F544E4">
        <w:rPr>
          <w:rFonts w:cs="Arial"/>
          <w:color w:val="000000"/>
          <w:szCs w:val="24"/>
        </w:rPr>
        <w:t>maintenir un emploi légitime</w:t>
      </w:r>
      <w:r w:rsidR="00A773DE">
        <w:rPr>
          <w:rFonts w:cs="Arial"/>
          <w:color w:val="000000"/>
          <w:szCs w:val="24"/>
        </w:rPr>
        <w:t xml:space="preserve"> et stable</w:t>
      </w:r>
      <w:r>
        <w:rPr>
          <w:rFonts w:cs="Arial"/>
          <w:color w:val="000000"/>
          <w:szCs w:val="24"/>
        </w:rPr>
        <w:t>.</w:t>
      </w:r>
    </w:p>
    <w:p w:rsidR="00ED6980" w:rsidRDefault="00DD71E8" w:rsidP="00ED6980">
      <w:pPr>
        <w:pStyle w:val="Paragraphe"/>
        <w:spacing w:line="240" w:lineRule="auto"/>
        <w:rPr>
          <w:rFonts w:cs="Arial"/>
          <w:szCs w:val="24"/>
        </w:rPr>
      </w:pPr>
      <w:r w:rsidRPr="00ED6980">
        <w:rPr>
          <w:b/>
          <w:bCs/>
          <w:szCs w:val="24"/>
        </w:rPr>
        <w:t>INTERDIT</w:t>
      </w:r>
      <w:r>
        <w:rPr>
          <w:rFonts w:cs="Arial"/>
          <w:szCs w:val="24"/>
        </w:rPr>
        <w:t xml:space="preserve"> </w:t>
      </w:r>
      <w:r w:rsidRPr="00BD36B7">
        <w:rPr>
          <w:rFonts w:cs="Arial"/>
          <w:szCs w:val="24"/>
        </w:rPr>
        <w:t xml:space="preserve">à l’accusé, </w:t>
      </w:r>
      <w:r>
        <w:rPr>
          <w:rFonts w:cs="Arial"/>
          <w:szCs w:val="24"/>
        </w:rPr>
        <w:t>conformément à</w:t>
      </w:r>
      <w:r w:rsidRPr="00BD36B7">
        <w:rPr>
          <w:rFonts w:cs="Arial"/>
          <w:szCs w:val="24"/>
        </w:rPr>
        <w:t xml:space="preserve"> l’article</w:t>
      </w:r>
      <w:r>
        <w:rPr>
          <w:rFonts w:cs="Arial"/>
          <w:szCs w:val="24"/>
        </w:rPr>
        <w:t> </w:t>
      </w:r>
      <w:r w:rsidRPr="00BD36B7">
        <w:rPr>
          <w:rFonts w:cs="Arial"/>
          <w:szCs w:val="24"/>
        </w:rPr>
        <w:t>109(2)a)</w:t>
      </w:r>
      <w:r>
        <w:rPr>
          <w:rFonts w:cs="Arial"/>
          <w:szCs w:val="24"/>
        </w:rPr>
        <w:t> </w:t>
      </w:r>
      <w:r w:rsidRPr="00BD36B7">
        <w:rPr>
          <w:rFonts w:cs="Arial"/>
          <w:szCs w:val="24"/>
        </w:rPr>
        <w:t xml:space="preserve">C.cr. d’avoir en sa possession des </w:t>
      </w:r>
      <w:r w:rsidRPr="00AF10BF">
        <w:rPr>
          <w:b/>
          <w:szCs w:val="24"/>
        </w:rPr>
        <w:t>armes</w:t>
      </w:r>
      <w:r w:rsidRPr="00BD36B7">
        <w:rPr>
          <w:rFonts w:cs="Arial"/>
          <w:szCs w:val="24"/>
        </w:rPr>
        <w:t xml:space="preserve"> à feu, arbalètes, armes à autorisation restreinte, mu</w:t>
      </w:r>
      <w:r>
        <w:rPr>
          <w:rFonts w:cs="Arial"/>
          <w:szCs w:val="24"/>
        </w:rPr>
        <w:t xml:space="preserve">nitions et substances explosives pour une période de </w:t>
      </w:r>
      <w:r w:rsidRPr="005F7108">
        <w:rPr>
          <w:rFonts w:cs="Arial"/>
          <w:b/>
          <w:szCs w:val="24"/>
        </w:rPr>
        <w:t>10</w:t>
      </w:r>
      <w:r w:rsidR="00E45CED">
        <w:rPr>
          <w:rFonts w:cs="Arial"/>
          <w:b/>
          <w:szCs w:val="24"/>
        </w:rPr>
        <w:t> </w:t>
      </w:r>
      <w:r w:rsidRPr="005F7108">
        <w:rPr>
          <w:rFonts w:cs="Arial"/>
          <w:b/>
          <w:szCs w:val="24"/>
        </w:rPr>
        <w:t>ans</w:t>
      </w:r>
      <w:r>
        <w:rPr>
          <w:rFonts w:cs="Arial"/>
          <w:szCs w:val="24"/>
        </w:rPr>
        <w:t xml:space="preserve"> et, en vertu de l’article</w:t>
      </w:r>
      <w:r>
        <w:t> </w:t>
      </w:r>
      <w:r>
        <w:rPr>
          <w:rFonts w:cs="Arial"/>
          <w:szCs w:val="24"/>
        </w:rPr>
        <w:t>109(2)b) C.cr., qu’il lui soit interdit d’avoir en sa possession des</w:t>
      </w:r>
      <w:r w:rsidRPr="00BD36B7">
        <w:rPr>
          <w:rFonts w:cs="Arial"/>
          <w:szCs w:val="24"/>
        </w:rPr>
        <w:t xml:space="preserve"> armes à feu prohibées, armes à feu à autorisation restreinte, armes prohibées, dispositifs p</w:t>
      </w:r>
      <w:r>
        <w:rPr>
          <w:rFonts w:cs="Arial"/>
          <w:szCs w:val="24"/>
        </w:rPr>
        <w:t xml:space="preserve">rohibés et munitions prohibées </w:t>
      </w:r>
      <w:r w:rsidRPr="00BD36B7">
        <w:rPr>
          <w:rFonts w:cs="Arial"/>
          <w:szCs w:val="24"/>
        </w:rPr>
        <w:t xml:space="preserve">à </w:t>
      </w:r>
      <w:r w:rsidRPr="005F7108">
        <w:rPr>
          <w:rFonts w:cs="Arial"/>
          <w:b/>
          <w:szCs w:val="24"/>
        </w:rPr>
        <w:t>perpétuité</w:t>
      </w:r>
      <w:r>
        <w:rPr>
          <w:rFonts w:cs="Arial"/>
          <w:szCs w:val="24"/>
        </w:rPr>
        <w:t xml:space="preserve"> (sur tous les chefs)</w:t>
      </w:r>
    </w:p>
    <w:p w:rsidR="00F0746E" w:rsidRDefault="00DD71E8" w:rsidP="00F365BE">
      <w:pPr>
        <w:pStyle w:val="Paragraphe"/>
        <w:spacing w:after="960" w:line="240" w:lineRule="auto"/>
        <w:rPr>
          <w:szCs w:val="24"/>
        </w:rPr>
      </w:pPr>
      <w:r w:rsidRPr="00F365BE">
        <w:rPr>
          <w:b/>
          <w:szCs w:val="24"/>
        </w:rPr>
        <w:t>ORDONNE</w:t>
      </w:r>
      <w:r w:rsidRPr="00F365BE">
        <w:rPr>
          <w:szCs w:val="24"/>
        </w:rPr>
        <w:t xml:space="preserve"> que la somme de 1</w:t>
      </w:r>
      <w:r w:rsidR="00E45CED">
        <w:rPr>
          <w:szCs w:val="24"/>
        </w:rPr>
        <w:t> </w:t>
      </w:r>
      <w:r w:rsidR="00F544E4" w:rsidRPr="00F365BE">
        <w:rPr>
          <w:szCs w:val="24"/>
        </w:rPr>
        <w:t>790</w:t>
      </w:r>
      <w:r w:rsidR="00E45CED">
        <w:rPr>
          <w:szCs w:val="24"/>
        </w:rPr>
        <w:t> </w:t>
      </w:r>
      <w:r w:rsidRPr="00F365BE">
        <w:rPr>
          <w:szCs w:val="24"/>
        </w:rPr>
        <w:t>$</w:t>
      </w:r>
      <w:r>
        <w:rPr>
          <w:rStyle w:val="Appelnotedebasdep"/>
          <w:szCs w:val="24"/>
        </w:rPr>
        <w:footnoteReference w:id="90"/>
      </w:r>
      <w:r w:rsidR="00383E30" w:rsidRPr="00F365BE">
        <w:rPr>
          <w:szCs w:val="24"/>
        </w:rPr>
        <w:t xml:space="preserve"> </w:t>
      </w:r>
      <w:r w:rsidRPr="00F365BE">
        <w:rPr>
          <w:szCs w:val="24"/>
        </w:rPr>
        <w:t xml:space="preserve">soit </w:t>
      </w:r>
      <w:r w:rsidR="00F544E4" w:rsidRPr="00F365BE">
        <w:rPr>
          <w:szCs w:val="24"/>
        </w:rPr>
        <w:t xml:space="preserve">confisquée et remise au </w:t>
      </w:r>
      <w:r w:rsidR="00F365BE">
        <w:rPr>
          <w:szCs w:val="24"/>
        </w:rPr>
        <w:t xml:space="preserve">profit du </w:t>
      </w:r>
      <w:r w:rsidR="00F544E4" w:rsidRPr="00F365BE">
        <w:rPr>
          <w:szCs w:val="24"/>
        </w:rPr>
        <w:t>Procureur général du Québec</w:t>
      </w:r>
      <w:r w:rsidR="00B141B0">
        <w:rPr>
          <w:szCs w:val="24"/>
        </w:rPr>
        <w:t>.</w:t>
      </w:r>
    </w:p>
    <w:tbl>
      <w:tblPr>
        <w:tblW w:w="9705" w:type="dxa"/>
        <w:tblLayout w:type="fixed"/>
        <w:tblCellMar>
          <w:left w:w="0" w:type="dxa"/>
          <w:right w:w="0" w:type="dxa"/>
        </w:tblCellMar>
        <w:tblLook w:val="0000" w:firstRow="0" w:lastRow="0" w:firstColumn="0" w:lastColumn="0" w:noHBand="0" w:noVBand="0"/>
      </w:tblPr>
      <w:tblGrid>
        <w:gridCol w:w="2268"/>
        <w:gridCol w:w="2799"/>
        <w:gridCol w:w="4638"/>
      </w:tblGrid>
      <w:tr w:rsidR="001B1CC8" w:rsidTr="00E14D3E">
        <w:trPr>
          <w:cantSplit/>
        </w:trPr>
        <w:tc>
          <w:tcPr>
            <w:tcW w:w="5067" w:type="dxa"/>
            <w:gridSpan w:val="2"/>
          </w:tcPr>
          <w:p w:rsidR="004F7699" w:rsidRPr="00C011AB" w:rsidRDefault="004F7699" w:rsidP="00285C20"/>
        </w:tc>
        <w:tc>
          <w:tcPr>
            <w:tcW w:w="4638" w:type="dxa"/>
          </w:tcPr>
          <w:p w:rsidR="004F7699" w:rsidRPr="00C011AB" w:rsidRDefault="00DD71E8">
            <w:pPr>
              <w:pStyle w:val="zSoquijdatSignature3Juge"/>
            </w:pPr>
            <w:r w:rsidRPr="00C011AB">
              <w:t>__________________________________</w:t>
            </w:r>
          </w:p>
          <w:p w:rsidR="004F7699" w:rsidRPr="00C011AB" w:rsidRDefault="00DD71E8" w:rsidP="00B44725">
            <w:pPr>
              <w:pStyle w:val="zSoquijdatSignature3Juge"/>
              <w:ind w:left="601"/>
            </w:pPr>
            <w:r w:rsidRPr="00C011AB">
              <w:rPr>
                <w:b/>
              </w:rPr>
              <w:t>GUYLAINE RIVEST, J.C.Q.</w:t>
            </w:r>
          </w:p>
        </w:tc>
      </w:tr>
      <w:tr w:rsidR="001B1CC8" w:rsidTr="00E14D3E">
        <w:trPr>
          <w:cantSplit/>
        </w:trPr>
        <w:tc>
          <w:tcPr>
            <w:tcW w:w="5067" w:type="dxa"/>
            <w:gridSpan w:val="2"/>
          </w:tcPr>
          <w:p w:rsidR="00E14D3E" w:rsidRPr="00DC4431" w:rsidRDefault="00E14D3E" w:rsidP="00285C20">
            <w:pPr>
              <w:rPr>
                <w:highlight w:val="yellow"/>
              </w:rPr>
            </w:pPr>
          </w:p>
        </w:tc>
        <w:tc>
          <w:tcPr>
            <w:tcW w:w="4638" w:type="dxa"/>
          </w:tcPr>
          <w:p w:rsidR="00E14D3E" w:rsidRPr="00DC4431" w:rsidRDefault="00E14D3E">
            <w:pPr>
              <w:pStyle w:val="zSoquijdatSignature3Juge"/>
              <w:rPr>
                <w:highlight w:val="yellow"/>
              </w:rPr>
            </w:pPr>
          </w:p>
        </w:tc>
      </w:tr>
      <w:tr w:rsidR="001B1CC8" w:rsidTr="00E14D3E">
        <w:tblPrEx>
          <w:tblCellMar>
            <w:left w:w="70" w:type="dxa"/>
            <w:right w:w="70" w:type="dxa"/>
          </w:tblCellMar>
        </w:tblPrEx>
        <w:tc>
          <w:tcPr>
            <w:tcW w:w="9705" w:type="dxa"/>
            <w:gridSpan w:val="3"/>
          </w:tcPr>
          <w:p w:rsidR="004F7699" w:rsidRPr="00DC4431" w:rsidRDefault="004F7699">
            <w:pPr>
              <w:rPr>
                <w:highlight w:val="yellow"/>
              </w:rPr>
            </w:pPr>
          </w:p>
        </w:tc>
      </w:tr>
      <w:tr w:rsidR="001B1CC8" w:rsidTr="00E14D3E">
        <w:tblPrEx>
          <w:tblCellMar>
            <w:left w:w="70" w:type="dxa"/>
            <w:right w:w="70" w:type="dxa"/>
          </w:tblCellMar>
        </w:tblPrEx>
        <w:trPr>
          <w:cantSplit/>
        </w:trPr>
        <w:tc>
          <w:tcPr>
            <w:tcW w:w="9705" w:type="dxa"/>
            <w:gridSpan w:val="3"/>
          </w:tcPr>
          <w:p w:rsidR="004F7699" w:rsidRPr="00C011AB" w:rsidRDefault="00DD71E8" w:rsidP="00C011AB">
            <w:pPr>
              <w:pStyle w:val="zSoquijdatNomProcureurDem"/>
            </w:pPr>
            <w:r w:rsidRPr="00C011AB">
              <w:t>Maître</w:t>
            </w:r>
            <w:r w:rsidR="0071356C">
              <w:t xml:space="preserve">s Anne Joncas et </w:t>
            </w:r>
            <w:r w:rsidR="00F365BE">
              <w:t>Éric</w:t>
            </w:r>
            <w:r w:rsidRPr="00C011AB">
              <w:t xml:space="preserve"> </w:t>
            </w:r>
            <w:r w:rsidR="0071356C">
              <w:t>Poudrier</w:t>
            </w:r>
          </w:p>
        </w:tc>
      </w:tr>
      <w:tr w:rsidR="001B1CC8" w:rsidTr="00E14D3E">
        <w:tblPrEx>
          <w:tblCellMar>
            <w:left w:w="70" w:type="dxa"/>
            <w:right w:w="70" w:type="dxa"/>
          </w:tblCellMar>
        </w:tblPrEx>
        <w:trPr>
          <w:cantSplit/>
        </w:trPr>
        <w:tc>
          <w:tcPr>
            <w:tcW w:w="9705" w:type="dxa"/>
            <w:gridSpan w:val="3"/>
          </w:tcPr>
          <w:p w:rsidR="004F7699" w:rsidRPr="00C011AB" w:rsidRDefault="00DD71E8" w:rsidP="00C011AB">
            <w:pPr>
              <w:pStyle w:val="zSoquijdatCabinetProcureurDem"/>
              <w:rPr>
                <w:i/>
              </w:rPr>
            </w:pPr>
            <w:r w:rsidRPr="00C011AB">
              <w:rPr>
                <w:i/>
              </w:rPr>
              <w:t xml:space="preserve">Directeur des </w:t>
            </w:r>
            <w:r w:rsidR="00A16CE6" w:rsidRPr="00C011AB">
              <w:rPr>
                <w:i/>
              </w:rPr>
              <w:t>poursuites criminelles et pénales</w:t>
            </w:r>
          </w:p>
        </w:tc>
      </w:tr>
      <w:tr w:rsidR="001B1CC8" w:rsidTr="00E14D3E">
        <w:tblPrEx>
          <w:tblCellMar>
            <w:left w:w="70" w:type="dxa"/>
            <w:right w:w="70" w:type="dxa"/>
          </w:tblCellMar>
        </w:tblPrEx>
        <w:trPr>
          <w:cantSplit/>
        </w:trPr>
        <w:tc>
          <w:tcPr>
            <w:tcW w:w="9705" w:type="dxa"/>
            <w:gridSpan w:val="3"/>
          </w:tcPr>
          <w:p w:rsidR="004F7699" w:rsidRPr="00C011AB" w:rsidRDefault="00DD71E8" w:rsidP="00C011AB">
            <w:pPr>
              <w:pStyle w:val="zSoquijlblProcureurDem"/>
            </w:pPr>
            <w:r w:rsidRPr="00C011AB">
              <w:t>Pour l</w:t>
            </w:r>
            <w:r w:rsidR="00C011AB" w:rsidRPr="00C011AB">
              <w:t>e poursuivant</w:t>
            </w:r>
          </w:p>
        </w:tc>
      </w:tr>
      <w:tr w:rsidR="001B1CC8" w:rsidTr="00E14D3E">
        <w:tblPrEx>
          <w:tblCellMar>
            <w:left w:w="70" w:type="dxa"/>
            <w:right w:w="70" w:type="dxa"/>
          </w:tblCellMar>
        </w:tblPrEx>
        <w:trPr>
          <w:cantSplit/>
        </w:trPr>
        <w:tc>
          <w:tcPr>
            <w:tcW w:w="9705" w:type="dxa"/>
            <w:gridSpan w:val="3"/>
          </w:tcPr>
          <w:p w:rsidR="00E14D3E" w:rsidRPr="00DC4431" w:rsidRDefault="00E14D3E">
            <w:pPr>
              <w:rPr>
                <w:highlight w:val="yellow"/>
              </w:rPr>
            </w:pPr>
          </w:p>
        </w:tc>
      </w:tr>
      <w:tr w:rsidR="001B1CC8" w:rsidTr="00E14D3E">
        <w:tblPrEx>
          <w:tblCellMar>
            <w:left w:w="70" w:type="dxa"/>
            <w:right w:w="70" w:type="dxa"/>
          </w:tblCellMar>
        </w:tblPrEx>
        <w:trPr>
          <w:cantSplit/>
        </w:trPr>
        <w:tc>
          <w:tcPr>
            <w:tcW w:w="9705" w:type="dxa"/>
            <w:gridSpan w:val="3"/>
          </w:tcPr>
          <w:p w:rsidR="004F7699" w:rsidRPr="0071356C" w:rsidRDefault="00DD71E8" w:rsidP="003D7E58">
            <w:pPr>
              <w:pStyle w:val="zSoquijdatNomProcureurDef"/>
            </w:pPr>
            <w:r w:rsidRPr="0071356C">
              <w:t>Maître</w:t>
            </w:r>
            <w:r w:rsidR="0071356C" w:rsidRPr="0071356C">
              <w:t>s Yves Ménard et Clara Daviault</w:t>
            </w:r>
          </w:p>
          <w:p w:rsidR="003D7E58" w:rsidRPr="003D7E58" w:rsidRDefault="00DD71E8" w:rsidP="003D7E58">
            <w:pPr>
              <w:pStyle w:val="zSoquijdatNomProcureurDef"/>
              <w:rPr>
                <w:i/>
                <w:lang w:val="en-CA"/>
              </w:rPr>
            </w:pPr>
            <w:r w:rsidRPr="002316D2">
              <w:rPr>
                <w:i/>
                <w:lang w:val="en-CA"/>
              </w:rPr>
              <w:t>Yves Ménard Avocats</w:t>
            </w:r>
          </w:p>
        </w:tc>
      </w:tr>
      <w:tr w:rsidR="001B1CC8" w:rsidTr="00E14D3E">
        <w:tblPrEx>
          <w:tblCellMar>
            <w:left w:w="70" w:type="dxa"/>
            <w:right w:w="70" w:type="dxa"/>
          </w:tblCellMar>
        </w:tblPrEx>
        <w:trPr>
          <w:cantSplit/>
        </w:trPr>
        <w:tc>
          <w:tcPr>
            <w:tcW w:w="9705" w:type="dxa"/>
            <w:gridSpan w:val="3"/>
          </w:tcPr>
          <w:p w:rsidR="00566475" w:rsidRPr="003D7E58" w:rsidRDefault="00DD71E8" w:rsidP="003A472C">
            <w:pPr>
              <w:pStyle w:val="zSoquijdatNomProcureurDef"/>
            </w:pPr>
            <w:r w:rsidRPr="003D7E58">
              <w:t>Pour l’accusé</w:t>
            </w:r>
          </w:p>
        </w:tc>
      </w:tr>
      <w:tr w:rsidR="001B1CC8" w:rsidTr="00E14D3E">
        <w:tblPrEx>
          <w:tblCellMar>
            <w:left w:w="70" w:type="dxa"/>
            <w:right w:w="70" w:type="dxa"/>
          </w:tblCellMar>
        </w:tblPrEx>
        <w:trPr>
          <w:cantSplit/>
        </w:trPr>
        <w:tc>
          <w:tcPr>
            <w:tcW w:w="9705" w:type="dxa"/>
            <w:gridSpan w:val="3"/>
          </w:tcPr>
          <w:p w:rsidR="004F7699" w:rsidRPr="00DC4431" w:rsidRDefault="004F7699">
            <w:pPr>
              <w:pStyle w:val="zSoquijlblProcureurDef"/>
              <w:rPr>
                <w:highlight w:val="yellow"/>
              </w:rPr>
            </w:pPr>
          </w:p>
        </w:tc>
      </w:tr>
      <w:tr w:rsidR="001B1CC8" w:rsidTr="00E14D3E">
        <w:tblPrEx>
          <w:tblCellMar>
            <w:left w:w="70" w:type="dxa"/>
            <w:right w:w="70" w:type="dxa"/>
          </w:tblCellMar>
        </w:tblPrEx>
        <w:tc>
          <w:tcPr>
            <w:tcW w:w="9705" w:type="dxa"/>
            <w:gridSpan w:val="3"/>
          </w:tcPr>
          <w:p w:rsidR="004F7699" w:rsidRPr="00DC4431" w:rsidRDefault="004F7699">
            <w:pPr>
              <w:rPr>
                <w:highlight w:val="yellow"/>
              </w:rPr>
            </w:pPr>
          </w:p>
        </w:tc>
      </w:tr>
      <w:tr w:rsidR="001B1CC8" w:rsidTr="00E14D3E">
        <w:tblPrEx>
          <w:tblCellMar>
            <w:left w:w="70" w:type="dxa"/>
            <w:right w:w="70" w:type="dxa"/>
          </w:tblCellMar>
        </w:tblPrEx>
        <w:tc>
          <w:tcPr>
            <w:tcW w:w="2268" w:type="dxa"/>
          </w:tcPr>
          <w:p w:rsidR="004F7699" w:rsidRPr="003D7E58" w:rsidRDefault="00DD71E8">
            <w:pPr>
              <w:pStyle w:val="zSoquijlblDateAudience"/>
            </w:pPr>
            <w:r w:rsidRPr="003D7E58">
              <w:t>Date</w:t>
            </w:r>
            <w:r w:rsidR="00E14D3E" w:rsidRPr="003D7E58">
              <w:t>s</w:t>
            </w:r>
            <w:r w:rsidRPr="003D7E58">
              <w:t xml:space="preserve"> d’audience :</w:t>
            </w:r>
          </w:p>
        </w:tc>
        <w:tc>
          <w:tcPr>
            <w:tcW w:w="7437" w:type="dxa"/>
            <w:gridSpan w:val="2"/>
          </w:tcPr>
          <w:p w:rsidR="0087120B" w:rsidRDefault="00DD71E8" w:rsidP="003D7E58">
            <w:pPr>
              <w:pStyle w:val="zSoquijdatDateAudience"/>
            </w:pPr>
            <w:r>
              <w:t>18 novembre 2021</w:t>
            </w:r>
          </w:p>
          <w:p w:rsidR="00A773DE" w:rsidRDefault="00DD71E8" w:rsidP="003D7E58">
            <w:pPr>
              <w:pStyle w:val="zSoquijdatDateAudience"/>
            </w:pPr>
            <w:r>
              <w:t>25 avril 2022</w:t>
            </w:r>
          </w:p>
          <w:p w:rsidR="00A773DE" w:rsidRDefault="00DD71E8" w:rsidP="003D7E58">
            <w:pPr>
              <w:pStyle w:val="zSoquijdatDateAudience"/>
            </w:pPr>
            <w:r>
              <w:t>21 septembre 2022</w:t>
            </w:r>
          </w:p>
          <w:p w:rsidR="00A773DE" w:rsidRPr="003D7E58" w:rsidRDefault="00DD71E8" w:rsidP="003D7E58">
            <w:pPr>
              <w:pStyle w:val="zSoquijdatDateAudience"/>
            </w:pPr>
            <w:r>
              <w:t>25 novembre 2022</w:t>
            </w:r>
          </w:p>
        </w:tc>
      </w:tr>
    </w:tbl>
    <w:p w:rsidR="00EF5343" w:rsidRDefault="00EF5343" w:rsidP="002E3604">
      <w:pPr>
        <w:pStyle w:val="Paragraphe"/>
        <w:numPr>
          <w:ilvl w:val="0"/>
          <w:numId w:val="0"/>
        </w:numPr>
        <w:spacing w:line="240" w:lineRule="auto"/>
      </w:pPr>
    </w:p>
    <w:sectPr w:rsidR="00EF5343" w:rsidSect="00164DC2">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2" w:h="15842" w:code="1"/>
      <w:pgMar w:top="1440" w:right="1009" w:bottom="1440" w:left="1871" w:header="1440" w:footer="79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EC3" w:rsidRDefault="00DD71E8">
      <w:r>
        <w:separator/>
      </w:r>
    </w:p>
  </w:endnote>
  <w:endnote w:type="continuationSeparator" w:id="0">
    <w:p w:rsidR="00922EC3" w:rsidRDefault="00DD7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634" w:rsidRDefault="00DD71E8">
    <w:pPr>
      <w:framePr w:wrap="around" w:vAnchor="text" w:hAnchor="margin" w:xAlign="right" w:y="1"/>
    </w:pPr>
    <w:r>
      <w:fldChar w:fldCharType="begin"/>
    </w:r>
    <w:r>
      <w:instrText xml:space="preserve">PAGE  </w:instrText>
    </w:r>
    <w:r>
      <w:fldChar w:fldCharType="end"/>
    </w:r>
  </w:p>
  <w:p w:rsidR="00E52634" w:rsidRDefault="00E52634">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6F0" w:rsidRDefault="00E916F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6F0" w:rsidRDefault="00E916F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EA6" w:rsidRDefault="00DD71E8">
      <w:r>
        <w:separator/>
      </w:r>
    </w:p>
  </w:footnote>
  <w:footnote w:type="continuationSeparator" w:id="0">
    <w:p w:rsidR="004E0EA6" w:rsidRDefault="00DD71E8">
      <w:r>
        <w:continuationSeparator/>
      </w:r>
    </w:p>
  </w:footnote>
  <w:footnote w:id="1">
    <w:p w:rsidR="00DE7C60" w:rsidRPr="00326891" w:rsidRDefault="00DD71E8">
      <w:pPr>
        <w:pStyle w:val="Notedebasdepage"/>
      </w:pPr>
      <w:r>
        <w:rPr>
          <w:rStyle w:val="Appelnotedebasdep"/>
        </w:rPr>
        <w:footnoteRef/>
      </w:r>
      <w:r w:rsidRPr="00326891">
        <w:t xml:space="preserve"> </w:t>
      </w:r>
      <w:r w:rsidRPr="00326891">
        <w:tab/>
      </w:r>
      <w:r w:rsidR="000816E3" w:rsidRPr="009D790D">
        <w:rPr>
          <w:color w:val="000000"/>
          <w:shd w:val="clear" w:color="auto" w:fill="FFFFFF"/>
        </w:rPr>
        <w:t>Transcription révisée d’un jugement rendu oralement le 2</w:t>
      </w:r>
      <w:r w:rsidR="000816E3">
        <w:rPr>
          <w:color w:val="000000"/>
          <w:shd w:val="clear" w:color="auto" w:fill="FFFFFF"/>
        </w:rPr>
        <w:t>5</w:t>
      </w:r>
      <w:r w:rsidR="00367270">
        <w:rPr>
          <w:color w:val="000000"/>
          <w:shd w:val="clear" w:color="auto" w:fill="FFFFFF"/>
        </w:rPr>
        <w:t> </w:t>
      </w:r>
      <w:r w:rsidR="000816E3">
        <w:rPr>
          <w:color w:val="000000"/>
          <w:shd w:val="clear" w:color="auto" w:fill="FFFFFF"/>
        </w:rPr>
        <w:t>novembre 2022</w:t>
      </w:r>
      <w:r w:rsidR="000816E3" w:rsidRPr="009D790D">
        <w:rPr>
          <w:color w:val="000000"/>
          <w:shd w:val="clear" w:color="auto" w:fill="FFFFFF"/>
        </w:rPr>
        <w:t>. Les motifs ont été remaniés uniquement pour en améliorer la présentation et la compréhension (</w:t>
      </w:r>
      <w:r w:rsidR="000816E3" w:rsidRPr="009D790D">
        <w:rPr>
          <w:i/>
          <w:color w:val="000000"/>
          <w:shd w:val="clear" w:color="auto" w:fill="FFFFFF"/>
        </w:rPr>
        <w:t>Kellogg’s</w:t>
      </w:r>
      <w:r w:rsidR="000816E3" w:rsidRPr="009D790D">
        <w:rPr>
          <w:i/>
          <w:iCs/>
          <w:color w:val="000000"/>
          <w:shd w:val="clear" w:color="auto" w:fill="FFFFFF"/>
        </w:rPr>
        <w:t> Company of Canada</w:t>
      </w:r>
      <w:r w:rsidR="000816E3" w:rsidRPr="009D790D">
        <w:rPr>
          <w:color w:val="000000"/>
          <w:shd w:val="clear" w:color="auto" w:fill="FFFFFF"/>
        </w:rPr>
        <w:t> c. </w:t>
      </w:r>
      <w:r w:rsidR="000816E3" w:rsidRPr="009D790D">
        <w:rPr>
          <w:i/>
          <w:iCs/>
          <w:color w:val="000000"/>
          <w:shd w:val="clear" w:color="auto" w:fill="FFFFFF"/>
        </w:rPr>
        <w:t>P.G. du Québec</w:t>
      </w:r>
      <w:r w:rsidR="000816E3" w:rsidRPr="009D790D">
        <w:rPr>
          <w:color w:val="000000"/>
          <w:shd w:val="clear" w:color="auto" w:fill="FFFFFF"/>
        </w:rPr>
        <w:t>, </w:t>
      </w:r>
      <w:r w:rsidR="000816E3" w:rsidRPr="009D790D">
        <w:rPr>
          <w:rStyle w:val="reflex3-alt"/>
          <w:rFonts w:eastAsiaTheme="minorHAnsi"/>
          <w:color w:val="000000"/>
          <w:shd w:val="clear" w:color="auto" w:fill="FFFFFF"/>
        </w:rPr>
        <w:t>[1978] C.A. 258</w:t>
      </w:r>
      <w:r w:rsidR="000816E3" w:rsidRPr="009D790D">
        <w:rPr>
          <w:color w:val="000000"/>
          <w:shd w:val="clear" w:color="auto" w:fill="FFFFFF"/>
        </w:rPr>
        <w:t>, p. 259-260</w:t>
      </w:r>
      <w:r w:rsidR="000816E3">
        <w:rPr>
          <w:color w:val="000000"/>
          <w:shd w:val="clear" w:color="auto" w:fill="FFFFFF"/>
        </w:rPr>
        <w:t>)</w:t>
      </w:r>
      <w:r w:rsidR="004B2537" w:rsidRPr="00326891">
        <w:t>.</w:t>
      </w:r>
    </w:p>
  </w:footnote>
  <w:footnote w:id="2">
    <w:p w:rsidR="00DE7C60" w:rsidRPr="00CF3EB8" w:rsidRDefault="00DD71E8">
      <w:pPr>
        <w:pStyle w:val="Notedebasdepage"/>
        <w:rPr>
          <w:lang w:val="en-CA"/>
        </w:rPr>
      </w:pPr>
      <w:r>
        <w:rPr>
          <w:rStyle w:val="Appelnotedebasdep"/>
        </w:rPr>
        <w:footnoteRef/>
      </w:r>
      <w:r w:rsidRPr="00CF3EB8">
        <w:rPr>
          <w:lang w:val="en-CA"/>
        </w:rPr>
        <w:t xml:space="preserve"> </w:t>
      </w:r>
      <w:r w:rsidRPr="00CF3EB8">
        <w:rPr>
          <w:lang w:val="en-CA"/>
        </w:rPr>
        <w:tab/>
      </w:r>
      <w:r w:rsidR="00DB2266" w:rsidRPr="00CF3EB8">
        <w:rPr>
          <w:lang w:val="en-CA"/>
        </w:rPr>
        <w:t xml:space="preserve">L.C. 1996, ch.19 (LRCDAS). </w:t>
      </w:r>
    </w:p>
  </w:footnote>
  <w:footnote w:id="3">
    <w:p w:rsidR="00170937" w:rsidRPr="00CF3EB8" w:rsidRDefault="00DD71E8">
      <w:pPr>
        <w:pStyle w:val="Notedebasdepage"/>
        <w:rPr>
          <w:lang w:val="en-CA"/>
        </w:rPr>
      </w:pPr>
      <w:r>
        <w:rPr>
          <w:rStyle w:val="Appelnotedebasdep"/>
        </w:rPr>
        <w:footnoteRef/>
      </w:r>
      <w:r w:rsidRPr="00CF3EB8">
        <w:rPr>
          <w:lang w:val="en-CA"/>
        </w:rPr>
        <w:t xml:space="preserve"> </w:t>
      </w:r>
      <w:r w:rsidRPr="00CF3EB8">
        <w:rPr>
          <w:lang w:val="en-CA"/>
        </w:rPr>
        <w:tab/>
        <w:t xml:space="preserve">Art. 5(1)(3)a) </w:t>
      </w:r>
      <w:r w:rsidR="00DB2266" w:rsidRPr="00CF3EB8">
        <w:rPr>
          <w:lang w:val="en-CA"/>
        </w:rPr>
        <w:t>LRCDAS</w:t>
      </w:r>
      <w:r w:rsidRPr="00CF3EB8">
        <w:rPr>
          <w:lang w:val="en-CA"/>
        </w:rPr>
        <w:t>.</w:t>
      </w:r>
    </w:p>
  </w:footnote>
  <w:footnote w:id="4">
    <w:p w:rsidR="00E42207" w:rsidRPr="00A773DE" w:rsidRDefault="00DD71E8">
      <w:pPr>
        <w:pStyle w:val="Notedebasdepage"/>
        <w:rPr>
          <w:lang w:val="en-CA"/>
        </w:rPr>
      </w:pPr>
      <w:r>
        <w:rPr>
          <w:rStyle w:val="Appelnotedebasdep"/>
        </w:rPr>
        <w:footnoteRef/>
      </w:r>
      <w:r w:rsidRPr="00A773DE">
        <w:rPr>
          <w:lang w:val="en-CA"/>
        </w:rPr>
        <w:t xml:space="preserve"> </w:t>
      </w:r>
      <w:r w:rsidRPr="00A773DE">
        <w:rPr>
          <w:lang w:val="en-CA"/>
        </w:rPr>
        <w:tab/>
      </w:r>
      <w:r w:rsidR="00170937" w:rsidRPr="00A773DE">
        <w:rPr>
          <w:lang w:val="en-CA"/>
        </w:rPr>
        <w:t>Art. 5(2)(3)a) LRCDAS.</w:t>
      </w:r>
    </w:p>
  </w:footnote>
  <w:footnote w:id="5">
    <w:p w:rsidR="00170937" w:rsidRPr="00F80003" w:rsidRDefault="00DD71E8">
      <w:pPr>
        <w:pStyle w:val="Notedebasdepage"/>
        <w:rPr>
          <w:lang w:val="en-CA"/>
        </w:rPr>
      </w:pPr>
      <w:r>
        <w:rPr>
          <w:rStyle w:val="Appelnotedebasdep"/>
        </w:rPr>
        <w:footnoteRef/>
      </w:r>
      <w:r w:rsidRPr="00F80003">
        <w:rPr>
          <w:lang w:val="en-CA"/>
        </w:rPr>
        <w:t xml:space="preserve"> </w:t>
      </w:r>
      <w:r w:rsidRPr="00F80003">
        <w:rPr>
          <w:lang w:val="en-CA"/>
        </w:rPr>
        <w:tab/>
        <w:t>Art. 5(2)(3)b)i) LRCDAS.</w:t>
      </w:r>
    </w:p>
  </w:footnote>
  <w:footnote w:id="6">
    <w:p w:rsidR="00064547" w:rsidRPr="00A33866" w:rsidRDefault="00DD71E8">
      <w:pPr>
        <w:pStyle w:val="Notedebasdepage"/>
      </w:pPr>
      <w:r>
        <w:rPr>
          <w:rStyle w:val="Appelnotedebasdep"/>
        </w:rPr>
        <w:footnoteRef/>
      </w:r>
      <w:r w:rsidRPr="00A33866">
        <w:t xml:space="preserve"> </w:t>
      </w:r>
      <w:r w:rsidRPr="00A33866">
        <w:tab/>
        <w:t xml:space="preserve">Art. 10(1)a)(5)a) </w:t>
      </w:r>
      <w:r w:rsidRPr="00A33866">
        <w:rPr>
          <w:i/>
          <w:iCs/>
        </w:rPr>
        <w:t>Loi sur le cannabis</w:t>
      </w:r>
      <w:r w:rsidRPr="00A33866">
        <w:t xml:space="preserve"> (</w:t>
      </w:r>
      <w:r w:rsidR="00DB2266" w:rsidRPr="00A33866">
        <w:t>L.C. 2018, ch. 16).</w:t>
      </w:r>
    </w:p>
  </w:footnote>
  <w:footnote w:id="7">
    <w:p w:rsidR="00064547" w:rsidRPr="00A33866" w:rsidRDefault="00DD71E8">
      <w:pPr>
        <w:pStyle w:val="Notedebasdepage"/>
      </w:pPr>
      <w:r>
        <w:rPr>
          <w:rStyle w:val="Appelnotedebasdep"/>
        </w:rPr>
        <w:footnoteRef/>
      </w:r>
      <w:r w:rsidRPr="00A33866">
        <w:t xml:space="preserve"> </w:t>
      </w:r>
      <w:r w:rsidRPr="00A33866">
        <w:tab/>
        <w:t xml:space="preserve">Art. 10(2)(5)b) </w:t>
      </w:r>
      <w:r w:rsidRPr="00A33866">
        <w:rPr>
          <w:i/>
          <w:iCs/>
        </w:rPr>
        <w:t>Loi sur le cannabis</w:t>
      </w:r>
      <w:r w:rsidRPr="00A33866">
        <w:t>.</w:t>
      </w:r>
    </w:p>
  </w:footnote>
  <w:footnote w:id="8">
    <w:p w:rsidR="006D2B8B" w:rsidRPr="006D2B8B" w:rsidRDefault="00DD71E8">
      <w:pPr>
        <w:pStyle w:val="Notedebasdepage"/>
      </w:pPr>
      <w:r>
        <w:rPr>
          <w:rStyle w:val="Appelnotedebasdep"/>
        </w:rPr>
        <w:footnoteRef/>
      </w:r>
      <w:r w:rsidRPr="006D2B8B">
        <w:t xml:space="preserve"> </w:t>
      </w:r>
      <w:r w:rsidRPr="006D2B8B">
        <w:tab/>
      </w:r>
      <w:r w:rsidR="00CF3EB8" w:rsidRPr="00CF3EB8">
        <w:rPr>
          <w:i/>
          <w:iCs/>
        </w:rPr>
        <w:t>R.</w:t>
      </w:r>
      <w:r w:rsidR="00CF3EB8">
        <w:t xml:space="preserve"> c. </w:t>
      </w:r>
      <w:r w:rsidR="00CF3EB8" w:rsidRPr="00CF3EB8">
        <w:rPr>
          <w:i/>
          <w:iCs/>
        </w:rPr>
        <w:t>Middleton</w:t>
      </w:r>
      <w:r w:rsidR="00CF3EB8">
        <w:t>, 2009 CSC 21.</w:t>
      </w:r>
      <w:r w:rsidRPr="006D2B8B">
        <w:rPr>
          <w:highlight w:val="yellow"/>
        </w:rPr>
        <w:t xml:space="preserve"> </w:t>
      </w:r>
    </w:p>
  </w:footnote>
  <w:footnote w:id="9">
    <w:p w:rsidR="008D2835" w:rsidRDefault="00DD71E8" w:rsidP="00A808B0">
      <w:pPr>
        <w:pStyle w:val="Notedebasdepage"/>
      </w:pPr>
      <w:r>
        <w:rPr>
          <w:rStyle w:val="Appelnotedebasdep"/>
        </w:rPr>
        <w:footnoteRef/>
      </w:r>
      <w:r>
        <w:t xml:space="preserve"> </w:t>
      </w:r>
      <w:r>
        <w:tab/>
      </w:r>
      <w:r w:rsidR="00A808B0" w:rsidRPr="005A2437">
        <w:rPr>
          <w:smallCaps/>
        </w:rPr>
        <w:t>Canada, Chambre des communes</w:t>
      </w:r>
      <w:r w:rsidR="00A808B0">
        <w:t xml:space="preserve">, </w:t>
      </w:r>
      <w:r w:rsidR="00A808B0" w:rsidRPr="005A2437">
        <w:rPr>
          <w:i/>
          <w:iCs/>
        </w:rPr>
        <w:t>Débats de la Chambre des communes</w:t>
      </w:r>
      <w:r w:rsidR="00A808B0" w:rsidRPr="00861B46">
        <w:t>,</w:t>
      </w:r>
      <w:r w:rsidR="00A808B0" w:rsidRPr="00991CC4">
        <w:rPr>
          <w:i/>
          <w:iCs/>
        </w:rPr>
        <w:t xml:space="preserve"> Compte rendu officiel</w:t>
      </w:r>
      <w:r w:rsidR="00A808B0">
        <w:t>, Vol. 151, No. 16, 1</w:t>
      </w:r>
      <w:r w:rsidR="00A808B0" w:rsidRPr="00991CC4">
        <w:rPr>
          <w:vertAlign w:val="superscript"/>
        </w:rPr>
        <w:t>ère</w:t>
      </w:r>
      <w:r w:rsidR="00A808B0">
        <w:t xml:space="preserve"> sess., 44</w:t>
      </w:r>
      <w:r w:rsidR="00A808B0" w:rsidRPr="00991CC4">
        <w:rPr>
          <w:vertAlign w:val="superscript"/>
        </w:rPr>
        <w:t>ème</w:t>
      </w:r>
      <w:r w:rsidR="00A808B0">
        <w:t xml:space="preserve"> légis., 13 décembre 2021, p. 1034.</w:t>
      </w:r>
    </w:p>
  </w:footnote>
  <w:footnote w:id="10">
    <w:p w:rsidR="008D2835" w:rsidRDefault="00DD71E8" w:rsidP="008D2835">
      <w:pPr>
        <w:pStyle w:val="Notedebasdepage"/>
      </w:pPr>
      <w:r>
        <w:rPr>
          <w:rStyle w:val="Appelnotedebasdep"/>
        </w:rPr>
        <w:footnoteRef/>
      </w:r>
      <w:r>
        <w:t xml:space="preserve"> </w:t>
      </w:r>
      <w:r>
        <w:tab/>
        <w:t>La défense réfère au discours du ministre Lametti du 21</w:t>
      </w:r>
      <w:r w:rsidR="00814E57">
        <w:t> </w:t>
      </w:r>
      <w:r>
        <w:t>septembre 2022, dans lequel il affirme que « […] le projet de loi C-5 permet un recours accru aux ordonnances de sursis dans certains cas, ce qui donne aux juges le pouvoir discrétionnaire d’infliger des peines efficaces qui s’attaquent aux causes profondes des infractions. Ainsi, un plus grand nombre de petits délinquants ne présentant aucun risque pour la sécurité publique pourront purger leur peine dans la collectivité, sous stricte surveillance ».</w:t>
      </w:r>
    </w:p>
  </w:footnote>
  <w:footnote w:id="11">
    <w:p w:rsidR="00692D3C" w:rsidRDefault="00DD71E8">
      <w:pPr>
        <w:pStyle w:val="Notedebasdepage"/>
      </w:pPr>
      <w:r>
        <w:rPr>
          <w:rStyle w:val="Appelnotedebasdep"/>
        </w:rPr>
        <w:footnoteRef/>
      </w:r>
      <w:r>
        <w:t xml:space="preserve"> </w:t>
      </w:r>
      <w:r>
        <w:tab/>
        <w:t>À la lumière des dates indiquées aux chefs d’accusation.</w:t>
      </w:r>
    </w:p>
  </w:footnote>
  <w:footnote w:id="12">
    <w:p w:rsidR="00692D3C" w:rsidRDefault="00DD71E8">
      <w:pPr>
        <w:pStyle w:val="Notedebasdepage"/>
      </w:pPr>
      <w:r>
        <w:rPr>
          <w:rStyle w:val="Appelnotedebasdep"/>
        </w:rPr>
        <w:footnoteRef/>
      </w:r>
      <w:r>
        <w:t xml:space="preserve"> </w:t>
      </w:r>
      <w:r>
        <w:tab/>
        <w:t>En fonction notamment des objets saisis, soit des documents de comptabilité et un cartable de règlements. Le poursuivant ne plaide néanmoins pas qu’il s’agit d’une organisation criminelle au sens d</w:t>
      </w:r>
      <w:r w:rsidR="000816E3">
        <w:t>e l’art.</w:t>
      </w:r>
      <w:r>
        <w:t xml:space="preserve"> 467.1(1) C.cr.</w:t>
      </w:r>
    </w:p>
  </w:footnote>
  <w:footnote w:id="13">
    <w:p w:rsidR="007160F9" w:rsidRDefault="00DD71E8">
      <w:pPr>
        <w:pStyle w:val="Notedebasdepage"/>
      </w:pPr>
      <w:r>
        <w:rPr>
          <w:rStyle w:val="Appelnotedebasdep"/>
        </w:rPr>
        <w:footnoteRef/>
      </w:r>
      <w:r>
        <w:t xml:space="preserve"> </w:t>
      </w:r>
      <w:r>
        <w:tab/>
      </w:r>
      <w:r w:rsidR="000816E3">
        <w:t>S</w:t>
      </w:r>
      <w:r w:rsidR="000816E3" w:rsidRPr="004B64DE">
        <w:t>ans néanmoins banaliser ces infractions</w:t>
      </w:r>
      <w:r w:rsidR="000816E3">
        <w:t>, l</w:t>
      </w:r>
      <w:r>
        <w:t xml:space="preserve">e poursuivant concède que la peine pourrait cependant être moindre </w:t>
      </w:r>
      <w:r w:rsidRPr="004B64DE">
        <w:t xml:space="preserve">sur </w:t>
      </w:r>
      <w:r w:rsidR="002D22D6" w:rsidRPr="004B64DE">
        <w:t>l</w:t>
      </w:r>
      <w:r w:rsidRPr="004B64DE">
        <w:t xml:space="preserve">es chefs concernant la </w:t>
      </w:r>
      <w:r w:rsidRPr="006571BA">
        <w:rPr>
          <w:i/>
          <w:iCs/>
        </w:rPr>
        <w:t>Loi sur le cannabis</w:t>
      </w:r>
      <w:r w:rsidRPr="004B64DE">
        <w:t xml:space="preserve"> (chefs 6 et 11) en raison de leur gravité objective </w:t>
      </w:r>
      <w:r w:rsidR="004B64DE">
        <w:t>moins élevée</w:t>
      </w:r>
      <w:r w:rsidRPr="004B64DE">
        <w:t>.</w:t>
      </w:r>
    </w:p>
  </w:footnote>
  <w:footnote w:id="14">
    <w:p w:rsidR="004B79F8" w:rsidRPr="00EB007B" w:rsidRDefault="00DD71E8" w:rsidP="004B79F8">
      <w:pPr>
        <w:pStyle w:val="Notedebasdepage"/>
      </w:pPr>
      <w:r>
        <w:rPr>
          <w:rStyle w:val="Appelnotedebasdep"/>
        </w:rPr>
        <w:footnoteRef/>
      </w:r>
      <w:r w:rsidRPr="00EB007B">
        <w:t xml:space="preserve"> </w:t>
      </w:r>
      <w:r w:rsidRPr="00EB007B">
        <w:tab/>
      </w:r>
      <w:r w:rsidRPr="00EB007B">
        <w:rPr>
          <w:i/>
          <w:iCs/>
        </w:rPr>
        <w:t>R.</w:t>
      </w:r>
      <w:r w:rsidRPr="00EB007B">
        <w:t xml:space="preserve"> c. </w:t>
      </w:r>
      <w:r w:rsidRPr="00EB007B">
        <w:rPr>
          <w:i/>
          <w:iCs/>
        </w:rPr>
        <w:t>Laforgia</w:t>
      </w:r>
      <w:r w:rsidRPr="00EB007B">
        <w:t xml:space="preserve">, 2021 QCCQ 7788. Le poursuivant </w:t>
      </w:r>
      <w:r>
        <w:t xml:space="preserve">concède cependant que la trame factuelle dans cette affaire est différente </w:t>
      </w:r>
      <w:r w:rsidR="00814E57" w:rsidRPr="009364F8">
        <w:t>de</w:t>
      </w:r>
      <w:r w:rsidR="00814E57">
        <w:t xml:space="preserve"> </w:t>
      </w:r>
      <w:r>
        <w:t>celle liée au dossier à l’étude.</w:t>
      </w:r>
    </w:p>
  </w:footnote>
  <w:footnote w:id="15">
    <w:p w:rsidR="00807A69" w:rsidRPr="00807A69" w:rsidRDefault="00DD71E8">
      <w:pPr>
        <w:pStyle w:val="Notedebasdepage"/>
      </w:pPr>
      <w:r>
        <w:rPr>
          <w:rStyle w:val="Appelnotedebasdep"/>
        </w:rPr>
        <w:footnoteRef/>
      </w:r>
      <w:r w:rsidRPr="00807A69">
        <w:t xml:space="preserve"> </w:t>
      </w:r>
      <w:r w:rsidRPr="00807A69">
        <w:tab/>
        <w:t>Il s’</w:t>
      </w:r>
      <w:r>
        <w:t>a</w:t>
      </w:r>
      <w:r w:rsidRPr="00807A69">
        <w:t>gi</w:t>
      </w:r>
      <w:r>
        <w:t>t du principe de modération (</w:t>
      </w:r>
      <w:r w:rsidRPr="00807A69">
        <w:rPr>
          <w:i/>
          <w:iCs/>
        </w:rPr>
        <w:t>Bachou</w:t>
      </w:r>
      <w:r>
        <w:t xml:space="preserve"> c. </w:t>
      </w:r>
      <w:r w:rsidRPr="00807A69">
        <w:rPr>
          <w:i/>
          <w:iCs/>
        </w:rPr>
        <w:t>R.</w:t>
      </w:r>
      <w:r>
        <w:t xml:space="preserve">, 2022 QCCA 1145, par. 38 et suiv.). </w:t>
      </w:r>
    </w:p>
  </w:footnote>
  <w:footnote w:id="16">
    <w:p w:rsidR="00E52634" w:rsidRPr="00F80003" w:rsidRDefault="00DD71E8" w:rsidP="000869B2">
      <w:pPr>
        <w:pStyle w:val="Notedebasdepage"/>
        <w:rPr>
          <w:iCs/>
          <w:sz w:val="18"/>
          <w:szCs w:val="18"/>
          <w:lang w:val="en-CA"/>
        </w:rPr>
      </w:pPr>
      <w:r w:rsidRPr="00CD4233">
        <w:rPr>
          <w:rStyle w:val="Appelnotedebasdep"/>
          <w:sz w:val="18"/>
          <w:szCs w:val="18"/>
        </w:rPr>
        <w:footnoteRef/>
      </w:r>
      <w:r w:rsidRPr="00F80003">
        <w:rPr>
          <w:sz w:val="18"/>
          <w:szCs w:val="18"/>
          <w:lang w:val="en-CA"/>
        </w:rPr>
        <w:t xml:space="preserve"> </w:t>
      </w:r>
      <w:r w:rsidRPr="00F80003">
        <w:rPr>
          <w:sz w:val="18"/>
          <w:szCs w:val="18"/>
          <w:lang w:val="en-CA"/>
        </w:rPr>
        <w:tab/>
      </w:r>
      <w:r w:rsidR="00FD7B05" w:rsidRPr="00F80003">
        <w:rPr>
          <w:sz w:val="18"/>
          <w:szCs w:val="18"/>
          <w:lang w:val="en-CA"/>
        </w:rPr>
        <w:t xml:space="preserve">Art. </w:t>
      </w:r>
      <w:r w:rsidRPr="00F80003">
        <w:rPr>
          <w:lang w:val="en-CA"/>
        </w:rPr>
        <w:t>718.1 </w:t>
      </w:r>
      <w:r w:rsidRPr="00F80003">
        <w:rPr>
          <w:iCs/>
          <w:lang w:val="en-CA"/>
        </w:rPr>
        <w:t>C.cr.</w:t>
      </w:r>
      <w:r w:rsidRPr="00F80003">
        <w:rPr>
          <w:iCs/>
          <w:sz w:val="18"/>
          <w:szCs w:val="18"/>
          <w:lang w:val="en-CA"/>
        </w:rPr>
        <w:t xml:space="preserve"> </w:t>
      </w:r>
    </w:p>
  </w:footnote>
  <w:footnote w:id="17">
    <w:p w:rsidR="004B64DE" w:rsidRPr="00B304DB" w:rsidRDefault="00DD71E8" w:rsidP="004B64DE">
      <w:pPr>
        <w:pStyle w:val="Notedebasdepage"/>
      </w:pPr>
      <w:r>
        <w:rPr>
          <w:rStyle w:val="Appelnotedebasdep"/>
        </w:rPr>
        <w:footnoteRef/>
      </w:r>
      <w:r w:rsidRPr="00923423">
        <w:rPr>
          <w:lang w:val="en-CA"/>
        </w:rPr>
        <w:t xml:space="preserve">  </w:t>
      </w:r>
      <w:r w:rsidRPr="00923423">
        <w:rPr>
          <w:lang w:val="en-CA"/>
        </w:rPr>
        <w:tab/>
      </w:r>
      <w:r w:rsidRPr="00923423">
        <w:rPr>
          <w:i/>
          <w:lang w:val="en-CA"/>
        </w:rPr>
        <w:t>R. c. Moreira</w:t>
      </w:r>
      <w:r w:rsidRPr="00923423">
        <w:rPr>
          <w:lang w:val="en-CA"/>
        </w:rPr>
        <w:t>, 2011 QCCA 1828.</w:t>
      </w:r>
      <w:r w:rsidR="00B304DB" w:rsidRPr="00923423">
        <w:rPr>
          <w:lang w:val="en-CA"/>
        </w:rPr>
        <w:t xml:space="preserve"> </w:t>
      </w:r>
      <w:r w:rsidR="00B304DB" w:rsidRPr="00B304DB">
        <w:t xml:space="preserve">Récemment, dans </w:t>
      </w:r>
      <w:r w:rsidR="00B304DB" w:rsidRPr="00B304DB">
        <w:rPr>
          <w:i/>
          <w:iCs/>
        </w:rPr>
        <w:t>Claveau</w:t>
      </w:r>
      <w:r w:rsidR="00B304DB" w:rsidRPr="00B304DB">
        <w:t xml:space="preserve"> c.</w:t>
      </w:r>
      <w:r w:rsidR="00B304DB">
        <w:t xml:space="preserve"> </w:t>
      </w:r>
      <w:r w:rsidR="00B304DB" w:rsidRPr="00B304DB">
        <w:rPr>
          <w:i/>
          <w:iCs/>
        </w:rPr>
        <w:t>R.</w:t>
      </w:r>
      <w:r w:rsidR="00B304DB">
        <w:t xml:space="preserve">, 2022 QCCA 90, par. 40, notre Cour d’appel, faisant référence à l’arrêt </w:t>
      </w:r>
      <w:r w:rsidR="00B304DB" w:rsidRPr="00B304DB">
        <w:rPr>
          <w:i/>
          <w:iCs/>
        </w:rPr>
        <w:t>R.</w:t>
      </w:r>
      <w:r w:rsidR="00B304DB">
        <w:t xml:space="preserve"> c. </w:t>
      </w:r>
      <w:r w:rsidR="00B304DB" w:rsidRPr="00B304DB">
        <w:rPr>
          <w:i/>
          <w:iCs/>
        </w:rPr>
        <w:t>Parranto</w:t>
      </w:r>
      <w:r w:rsidR="00B304DB">
        <w:t xml:space="preserve">, 2021 CSC 46, rappelle la gravité afférente aux crimes reliés au trafic de stupéfiants. </w:t>
      </w:r>
      <w:r w:rsidR="00F61791">
        <w:t>Elle affirme également</w:t>
      </w:r>
      <w:r w:rsidR="00B304DB">
        <w:t xml:space="preserve"> dans </w:t>
      </w:r>
      <w:r w:rsidR="00B304DB" w:rsidRPr="00F61791">
        <w:rPr>
          <w:i/>
          <w:iCs/>
        </w:rPr>
        <w:t>Rochette</w:t>
      </w:r>
      <w:r w:rsidR="00B304DB">
        <w:t xml:space="preserve"> c. </w:t>
      </w:r>
      <w:r w:rsidR="00B304DB" w:rsidRPr="00F61791">
        <w:rPr>
          <w:i/>
          <w:iCs/>
        </w:rPr>
        <w:t>R.</w:t>
      </w:r>
      <w:r w:rsidR="00B304DB">
        <w:t>, 2022 QCCA 58</w:t>
      </w:r>
      <w:r w:rsidR="00F61791">
        <w:t>, par. 51, que « [l]es conséquences du trafic de drogues sur la société ne peuvent être ignorées ».</w:t>
      </w:r>
      <w:r w:rsidR="00B304DB">
        <w:t xml:space="preserve"> </w:t>
      </w:r>
    </w:p>
  </w:footnote>
  <w:footnote w:id="18">
    <w:p w:rsidR="00963FBE" w:rsidRDefault="00DD71E8" w:rsidP="00963FBE">
      <w:pPr>
        <w:pStyle w:val="Notedebasdepage"/>
      </w:pPr>
      <w:r>
        <w:rPr>
          <w:rStyle w:val="Appelnotedebasdep"/>
        </w:rPr>
        <w:footnoteRef/>
      </w:r>
      <w:r>
        <w:t xml:space="preserve"> </w:t>
      </w:r>
      <w:r>
        <w:tab/>
      </w:r>
      <w:r w:rsidRPr="00963FBE">
        <w:rPr>
          <w:i/>
        </w:rPr>
        <w:t>R. c. Moreira</w:t>
      </w:r>
      <w:r w:rsidRPr="00963FBE">
        <w:t>, 2011 QCCA 1828</w:t>
      </w:r>
      <w:r>
        <w:t xml:space="preserve">, </w:t>
      </w:r>
      <w:r w:rsidRPr="00BD293B">
        <w:t>par.</w:t>
      </w:r>
      <w:r>
        <w:t xml:space="preserve"> 18.</w:t>
      </w:r>
      <w:r w:rsidRPr="00BD293B">
        <w:t xml:space="preserve"> </w:t>
      </w:r>
      <w:r>
        <w:t xml:space="preserve"> </w:t>
      </w:r>
    </w:p>
  </w:footnote>
  <w:footnote w:id="19">
    <w:p w:rsidR="00963FBE" w:rsidRPr="00232F1A" w:rsidRDefault="00DD71E8" w:rsidP="00963FBE">
      <w:pPr>
        <w:pStyle w:val="Notedebasdepage"/>
      </w:pPr>
      <w:r>
        <w:rPr>
          <w:rStyle w:val="Appelnotedebasdep"/>
        </w:rPr>
        <w:footnoteRef/>
      </w:r>
      <w:r w:rsidRPr="00BD293B">
        <w:t xml:space="preserve"> </w:t>
      </w:r>
      <w:r w:rsidRPr="00BD293B">
        <w:tab/>
      </w:r>
      <w:r w:rsidRPr="00BD293B">
        <w:rPr>
          <w:i/>
        </w:rPr>
        <w:t xml:space="preserve">R. </w:t>
      </w:r>
      <w:r w:rsidRPr="00171A16">
        <w:t>c.</w:t>
      </w:r>
      <w:r w:rsidRPr="00BD293B">
        <w:rPr>
          <w:i/>
        </w:rPr>
        <w:t xml:space="preserve"> Stevens</w:t>
      </w:r>
      <w:r w:rsidRPr="00BD293B">
        <w:t xml:space="preserve">, </w:t>
      </w:r>
      <w:r>
        <w:t xml:space="preserve">2014 QCCA 444, </w:t>
      </w:r>
      <w:r w:rsidRPr="00BD293B">
        <w:t>par.</w:t>
      </w:r>
      <w:r>
        <w:t xml:space="preserve"> 34; </w:t>
      </w:r>
      <w:r w:rsidRPr="00BD293B">
        <w:rPr>
          <w:i/>
        </w:rPr>
        <w:t>R</w:t>
      </w:r>
      <w:r w:rsidRPr="00BD293B">
        <w:t xml:space="preserve">. c. </w:t>
      </w:r>
      <w:r w:rsidRPr="00BD293B">
        <w:rPr>
          <w:i/>
        </w:rPr>
        <w:t>Duhaime</w:t>
      </w:r>
      <w:r w:rsidRPr="00BD293B">
        <w:t xml:space="preserve">, 2015 QCCA 685, par. </w:t>
      </w:r>
      <w:r>
        <w:t>12</w:t>
      </w:r>
      <w:r w:rsidR="00760AF0">
        <w:t xml:space="preserve">; </w:t>
      </w:r>
      <w:r w:rsidR="00760AF0" w:rsidRPr="00B00F8F">
        <w:rPr>
          <w:i/>
          <w:iCs/>
        </w:rPr>
        <w:t>R.</w:t>
      </w:r>
      <w:r w:rsidR="00760AF0" w:rsidRPr="00B00F8F">
        <w:t xml:space="preserve"> c. </w:t>
      </w:r>
      <w:r w:rsidR="00760AF0" w:rsidRPr="00B00F8F">
        <w:rPr>
          <w:i/>
          <w:iCs/>
        </w:rPr>
        <w:t>Laforgia</w:t>
      </w:r>
      <w:r w:rsidR="00760AF0" w:rsidRPr="00B00F8F">
        <w:t>, 2021</w:t>
      </w:r>
      <w:r w:rsidR="008E4FC0">
        <w:t> </w:t>
      </w:r>
      <w:r w:rsidR="00760AF0" w:rsidRPr="00B00F8F">
        <w:t>QCCQ 7788, par. 27</w:t>
      </w:r>
      <w:r w:rsidR="00760AF0">
        <w:t xml:space="preserve"> (peines entre 6 et 24</w:t>
      </w:r>
      <w:r w:rsidR="008E4FC0">
        <w:t> </w:t>
      </w:r>
      <w:r w:rsidR="00760AF0">
        <w:t>mois d’emprisonnement).</w:t>
      </w:r>
    </w:p>
  </w:footnote>
  <w:footnote w:id="20">
    <w:p w:rsidR="00963FBE" w:rsidRDefault="00DD71E8" w:rsidP="00963FBE">
      <w:pPr>
        <w:pStyle w:val="Notedebasdepage"/>
      </w:pPr>
      <w:r>
        <w:rPr>
          <w:rStyle w:val="Appelnotedebasdep"/>
        </w:rPr>
        <w:footnoteRef/>
      </w:r>
      <w:r>
        <w:t xml:space="preserve"> </w:t>
      </w:r>
      <w:r>
        <w:tab/>
      </w:r>
      <w:r w:rsidRPr="00BD293B">
        <w:rPr>
          <w:i/>
        </w:rPr>
        <w:t xml:space="preserve">R. </w:t>
      </w:r>
      <w:r w:rsidRPr="001C35BE">
        <w:t>c.</w:t>
      </w:r>
      <w:r w:rsidRPr="00BD293B">
        <w:rPr>
          <w:i/>
        </w:rPr>
        <w:t xml:space="preserve"> Stevens,</w:t>
      </w:r>
      <w:r w:rsidRPr="00BD293B">
        <w:t xml:space="preserve"> </w:t>
      </w:r>
      <w:r>
        <w:t xml:space="preserve">2014 QCCA 444, </w:t>
      </w:r>
      <w:r w:rsidRPr="00BD293B">
        <w:t>par. 35</w:t>
      </w:r>
      <w:r>
        <w:t xml:space="preserve">. </w:t>
      </w:r>
    </w:p>
  </w:footnote>
  <w:footnote w:id="21">
    <w:p w:rsidR="00963FBE" w:rsidRPr="00B42C10" w:rsidRDefault="00DD71E8" w:rsidP="00963FBE">
      <w:pPr>
        <w:pStyle w:val="Notedebasdepage"/>
      </w:pPr>
      <w:r>
        <w:rPr>
          <w:rStyle w:val="Appelnotedebasdep"/>
        </w:rPr>
        <w:footnoteRef/>
      </w:r>
      <w:r w:rsidRPr="00ED1028">
        <w:t xml:space="preserve"> </w:t>
      </w:r>
      <w:r w:rsidRPr="00ED1028">
        <w:tab/>
      </w:r>
      <w:r w:rsidRPr="00ED1028">
        <w:rPr>
          <w:i/>
        </w:rPr>
        <w:t>R</w:t>
      </w:r>
      <w:r w:rsidRPr="00ED1028">
        <w:t xml:space="preserve">. c. </w:t>
      </w:r>
      <w:r w:rsidRPr="00ED1028">
        <w:rPr>
          <w:i/>
        </w:rPr>
        <w:t>Ricard,</w:t>
      </w:r>
      <w:r w:rsidRPr="00ED1028">
        <w:t xml:space="preserve"> 2014 QCCA 1160, </w:t>
      </w:r>
      <w:r>
        <w:t>par.</w:t>
      </w:r>
      <w:r w:rsidRPr="00ED1028">
        <w:t xml:space="preserve"> </w:t>
      </w:r>
      <w:r w:rsidRPr="00B42C10">
        <w:t xml:space="preserve">19; </w:t>
      </w:r>
      <w:r w:rsidRPr="00B42C10">
        <w:rPr>
          <w:i/>
        </w:rPr>
        <w:t>R</w:t>
      </w:r>
      <w:r w:rsidRPr="00B42C10">
        <w:t xml:space="preserve">. c. </w:t>
      </w:r>
      <w:r w:rsidRPr="00B42C10">
        <w:rPr>
          <w:i/>
        </w:rPr>
        <w:t>Duhaime</w:t>
      </w:r>
      <w:r>
        <w:t xml:space="preserve">, 2015 QCCA 685, par. 12. </w:t>
      </w:r>
    </w:p>
  </w:footnote>
  <w:footnote w:id="22">
    <w:p w:rsidR="00DB4DAE" w:rsidRDefault="00DD71E8" w:rsidP="00DB4DAE">
      <w:pPr>
        <w:pStyle w:val="Notedebasdepage"/>
      </w:pPr>
      <w:r>
        <w:rPr>
          <w:rStyle w:val="Appelnotedebasdep"/>
        </w:rPr>
        <w:footnoteRef/>
      </w:r>
      <w:r>
        <w:t xml:space="preserve"> </w:t>
      </w:r>
      <w:r>
        <w:tab/>
      </w:r>
      <w:r w:rsidRPr="00040389">
        <w:rPr>
          <w:i/>
        </w:rPr>
        <w:t>R</w:t>
      </w:r>
      <w:r>
        <w:t xml:space="preserve">. c. </w:t>
      </w:r>
      <w:r w:rsidRPr="00040389">
        <w:rPr>
          <w:i/>
        </w:rPr>
        <w:t>Parranto</w:t>
      </w:r>
      <w:r>
        <w:t>, 2021 CSC 46, par. 25.</w:t>
      </w:r>
    </w:p>
  </w:footnote>
  <w:footnote w:id="23">
    <w:p w:rsidR="00963FBE" w:rsidRDefault="00DD71E8" w:rsidP="00963FBE">
      <w:pPr>
        <w:pStyle w:val="Notedebasdepage"/>
      </w:pPr>
      <w:r>
        <w:rPr>
          <w:rStyle w:val="Appelnotedebasdep"/>
        </w:rPr>
        <w:footnoteRef/>
      </w:r>
      <w:r w:rsidRPr="002123A3">
        <w:t xml:space="preserve"> </w:t>
      </w:r>
      <w:r w:rsidRPr="002123A3">
        <w:tab/>
      </w:r>
      <w:r w:rsidRPr="00B44AC6">
        <w:rPr>
          <w:i/>
        </w:rPr>
        <w:t xml:space="preserve">R. </w:t>
      </w:r>
      <w:r w:rsidRPr="00B44AC6">
        <w:t xml:space="preserve">c. </w:t>
      </w:r>
      <w:r w:rsidRPr="00B44AC6">
        <w:rPr>
          <w:i/>
        </w:rPr>
        <w:t>Galarneau</w:t>
      </w:r>
      <w:r w:rsidRPr="00B44AC6">
        <w:t xml:space="preserve">, 2017 QCCQ 5250, </w:t>
      </w:r>
      <w:r>
        <w:t>par.</w:t>
      </w:r>
      <w:r w:rsidRPr="00B44AC6">
        <w:t xml:space="preserve"> </w:t>
      </w:r>
      <w:r w:rsidRPr="00137D85">
        <w:t>27</w:t>
      </w:r>
      <w:r>
        <w:t xml:space="preserve">; </w:t>
      </w:r>
      <w:r w:rsidRPr="00334171">
        <w:rPr>
          <w:i/>
        </w:rPr>
        <w:t>Serra</w:t>
      </w:r>
      <w:r w:rsidRPr="002123A3">
        <w:rPr>
          <w:i/>
        </w:rPr>
        <w:t xml:space="preserve"> </w:t>
      </w:r>
      <w:r w:rsidRPr="002123A3">
        <w:t xml:space="preserve">c. </w:t>
      </w:r>
      <w:r w:rsidRPr="002123A3">
        <w:rPr>
          <w:i/>
        </w:rPr>
        <w:t>R</w:t>
      </w:r>
      <w:r w:rsidRPr="002123A3">
        <w:t xml:space="preserve">., 2014 QCCA 1894, </w:t>
      </w:r>
      <w:r>
        <w:t>par.</w:t>
      </w:r>
      <w:r w:rsidRPr="002123A3">
        <w:t xml:space="preserve"> </w:t>
      </w:r>
      <w:r w:rsidRPr="007D4993">
        <w:t xml:space="preserve">25; </w:t>
      </w:r>
      <w:r w:rsidRPr="007D4993">
        <w:rPr>
          <w:i/>
        </w:rPr>
        <w:t>Larouche</w:t>
      </w:r>
      <w:r w:rsidRPr="007D4993">
        <w:t xml:space="preserve"> c. </w:t>
      </w:r>
      <w:r w:rsidRPr="007D4993">
        <w:rPr>
          <w:i/>
        </w:rPr>
        <w:t>R.</w:t>
      </w:r>
      <w:r w:rsidRPr="007D4993">
        <w:t xml:space="preserve">, 2012 QCCA 2272, </w:t>
      </w:r>
      <w:r>
        <w:t>par.</w:t>
      </w:r>
      <w:r w:rsidRPr="007D4993">
        <w:t xml:space="preserve"> </w:t>
      </w:r>
      <w:r w:rsidRPr="00490740">
        <w:t xml:space="preserve">34; </w:t>
      </w:r>
      <w:r w:rsidRPr="000665C4">
        <w:rPr>
          <w:i/>
        </w:rPr>
        <w:t>R</w:t>
      </w:r>
      <w:r>
        <w:t xml:space="preserve">. c. </w:t>
      </w:r>
      <w:r w:rsidRPr="000665C4">
        <w:rPr>
          <w:i/>
        </w:rPr>
        <w:t>Muongholvilay</w:t>
      </w:r>
      <w:r>
        <w:t>, 2016 QCCA 232, par. 26.</w:t>
      </w:r>
    </w:p>
  </w:footnote>
  <w:footnote w:id="24">
    <w:p w:rsidR="00AE4509" w:rsidRDefault="00DD71E8">
      <w:pPr>
        <w:pStyle w:val="Notedebasdepage"/>
      </w:pPr>
      <w:r>
        <w:rPr>
          <w:rStyle w:val="Appelnotedebasdep"/>
        </w:rPr>
        <w:footnoteRef/>
      </w:r>
      <w:r>
        <w:t xml:space="preserve"> </w:t>
      </w:r>
      <w:r>
        <w:tab/>
        <w:t>La dénonciation fut assermentée le 25 septembre 2019 et les plaidoyers de culpabilité ont été enregistré</w:t>
      </w:r>
      <w:r w:rsidR="00D76030">
        <w:t>s</w:t>
      </w:r>
      <w:r>
        <w:t xml:space="preserve"> le 18 novembre 2021.</w:t>
      </w:r>
    </w:p>
  </w:footnote>
  <w:footnote w:id="25">
    <w:p w:rsidR="00AE4509" w:rsidRDefault="00DD71E8" w:rsidP="00AE4509">
      <w:pPr>
        <w:pStyle w:val="Notedebasdepage"/>
      </w:pPr>
      <w:r>
        <w:rPr>
          <w:rStyle w:val="Appelnotedebasdep"/>
        </w:rPr>
        <w:footnoteRef/>
      </w:r>
      <w:r>
        <w:t xml:space="preserve"> </w:t>
      </w:r>
      <w:r>
        <w:tab/>
      </w:r>
      <w:r w:rsidRPr="00662758">
        <w:rPr>
          <w:i/>
        </w:rPr>
        <w:t>R.</w:t>
      </w:r>
      <w:r>
        <w:t xml:space="preserve"> c. </w:t>
      </w:r>
      <w:r w:rsidRPr="00662758">
        <w:rPr>
          <w:i/>
        </w:rPr>
        <w:t>Blais</w:t>
      </w:r>
      <w:r w:rsidRPr="00662758">
        <w:t xml:space="preserve">, </w:t>
      </w:r>
      <w:r>
        <w:t>2013 QCCS 25, par. 165-167 (autorisation d'appel rejetée, 2013 QCCA 51).</w:t>
      </w:r>
    </w:p>
  </w:footnote>
  <w:footnote w:id="26">
    <w:p w:rsidR="00AE4509" w:rsidRDefault="00DD71E8" w:rsidP="00AE4509">
      <w:pPr>
        <w:pStyle w:val="Notedebasdepage"/>
      </w:pPr>
      <w:r>
        <w:rPr>
          <w:rStyle w:val="Appelnotedebasdep"/>
        </w:rPr>
        <w:footnoteRef/>
      </w:r>
      <w:r>
        <w:t xml:space="preserve"> </w:t>
      </w:r>
      <w:r>
        <w:tab/>
      </w:r>
      <w:r w:rsidRPr="007054E4">
        <w:rPr>
          <w:i/>
        </w:rPr>
        <w:t>Lacelle Belec</w:t>
      </w:r>
      <w:r>
        <w:t xml:space="preserve"> c. </w:t>
      </w:r>
      <w:r w:rsidRPr="007054E4">
        <w:rPr>
          <w:i/>
        </w:rPr>
        <w:t>R.</w:t>
      </w:r>
      <w:r>
        <w:t xml:space="preserve">, 2019 QCCA 711, par. 45 (autorisation d'appel rejetée, C.S.C., 2019-12-12, 38690); </w:t>
      </w:r>
      <w:r w:rsidRPr="00662758">
        <w:rPr>
          <w:i/>
        </w:rPr>
        <w:t>R.</w:t>
      </w:r>
      <w:r>
        <w:t xml:space="preserve"> c. </w:t>
      </w:r>
      <w:r w:rsidRPr="00662758">
        <w:rPr>
          <w:i/>
        </w:rPr>
        <w:t>Barrett</w:t>
      </w:r>
      <w:r>
        <w:t xml:space="preserve">, 2013 QCCA 1351, par. 21. Voir également </w:t>
      </w:r>
      <w:r w:rsidR="00102407" w:rsidRPr="00102407">
        <w:rPr>
          <w:i/>
          <w:iCs/>
        </w:rPr>
        <w:t xml:space="preserve">Montour </w:t>
      </w:r>
      <w:r w:rsidR="00102407">
        <w:t xml:space="preserve">c. </w:t>
      </w:r>
      <w:r w:rsidR="00102407" w:rsidRPr="00102407">
        <w:rPr>
          <w:i/>
          <w:iCs/>
        </w:rPr>
        <w:t>R.</w:t>
      </w:r>
      <w:r w:rsidR="00102407">
        <w:t xml:space="preserve">, 2020 QCCA 1648, par. 43; </w:t>
      </w:r>
      <w:r w:rsidR="00102407" w:rsidRPr="00102407">
        <w:rPr>
          <w:i/>
          <w:iCs/>
        </w:rPr>
        <w:t>Séguin</w:t>
      </w:r>
      <w:r w:rsidR="00102407">
        <w:t xml:space="preserve"> c. </w:t>
      </w:r>
      <w:r w:rsidR="00102407" w:rsidRPr="00102407">
        <w:rPr>
          <w:i/>
          <w:iCs/>
        </w:rPr>
        <w:t>R.</w:t>
      </w:r>
      <w:r w:rsidR="00102407">
        <w:t>, 2019 QCCA 962</w:t>
      </w:r>
      <w:r w:rsidR="00CD71CA">
        <w:t>, par. 4-6</w:t>
      </w:r>
      <w:r w:rsidR="00102407">
        <w:t xml:space="preserve">; </w:t>
      </w:r>
      <w:r w:rsidR="00102407" w:rsidRPr="00102407">
        <w:rPr>
          <w:i/>
          <w:iCs/>
        </w:rPr>
        <w:t>A.F.</w:t>
      </w:r>
      <w:r w:rsidR="00102407">
        <w:t xml:space="preserve"> c. </w:t>
      </w:r>
      <w:r w:rsidR="00102407" w:rsidRPr="00102407">
        <w:rPr>
          <w:i/>
          <w:iCs/>
        </w:rPr>
        <w:t>R.</w:t>
      </w:r>
      <w:r w:rsidR="00102407">
        <w:t>, 2019 QCCA 1559</w:t>
      </w:r>
      <w:r w:rsidR="00CD71CA">
        <w:t>, par. 37</w:t>
      </w:r>
      <w:r w:rsidR="00102407">
        <w:t xml:space="preserve"> et </w:t>
      </w:r>
      <w:r w:rsidRPr="007054E4">
        <w:rPr>
          <w:i/>
        </w:rPr>
        <w:t>R.</w:t>
      </w:r>
      <w:r>
        <w:t xml:space="preserve"> c. </w:t>
      </w:r>
      <w:r w:rsidRPr="007054E4">
        <w:rPr>
          <w:i/>
        </w:rPr>
        <w:t>Jean</w:t>
      </w:r>
      <w:r>
        <w:t>, 2019 QCCQ 4516, par. 104.</w:t>
      </w:r>
    </w:p>
  </w:footnote>
  <w:footnote w:id="27">
    <w:p w:rsidR="00DF1978" w:rsidRPr="00312246" w:rsidRDefault="00DD71E8">
      <w:pPr>
        <w:pStyle w:val="Notedebasdepage"/>
      </w:pPr>
      <w:r>
        <w:rPr>
          <w:rStyle w:val="Appelnotedebasdep"/>
        </w:rPr>
        <w:footnoteRef/>
      </w:r>
      <w:r w:rsidRPr="00312246">
        <w:t xml:space="preserve"> </w:t>
      </w:r>
      <w:r w:rsidRPr="00312246">
        <w:tab/>
      </w:r>
      <w:r w:rsidR="009A2A5C" w:rsidRPr="009A2A5C">
        <w:t>Rapport présentenciel rédigé par Arielle Vaval, le 23</w:t>
      </w:r>
      <w:r w:rsidR="00F97797">
        <w:t> </w:t>
      </w:r>
      <w:r w:rsidR="009A2A5C" w:rsidRPr="009A2A5C">
        <w:t>février 2022, p.</w:t>
      </w:r>
      <w:r w:rsidR="00F97797">
        <w:t> </w:t>
      </w:r>
      <w:r w:rsidR="009A2A5C" w:rsidRPr="009A2A5C">
        <w:t>3 (ci-après RPS</w:t>
      </w:r>
      <w:r w:rsidR="000816E3">
        <w:t xml:space="preserve"> correspondant à la pièce SP-1</w:t>
      </w:r>
      <w:r w:rsidR="009A2A5C" w:rsidRPr="009A2A5C">
        <w:t>)</w:t>
      </w:r>
      <w:r w:rsidR="009A2A5C">
        <w:t xml:space="preserve">, </w:t>
      </w:r>
      <w:r w:rsidRPr="00312246">
        <w:t>p.</w:t>
      </w:r>
      <w:r w:rsidR="00F97797">
        <w:t> </w:t>
      </w:r>
      <w:r w:rsidRPr="00312246">
        <w:t>3.</w:t>
      </w:r>
    </w:p>
  </w:footnote>
  <w:footnote w:id="28">
    <w:p w:rsidR="00F16DAC" w:rsidRDefault="00DD71E8">
      <w:pPr>
        <w:pStyle w:val="Notedebasdepage"/>
      </w:pPr>
      <w:r>
        <w:rPr>
          <w:rStyle w:val="Appelnotedebasdep"/>
        </w:rPr>
        <w:footnoteRef/>
      </w:r>
      <w:r>
        <w:t xml:space="preserve"> </w:t>
      </w:r>
      <w:r>
        <w:tab/>
        <w:t>RPS</w:t>
      </w:r>
      <w:r w:rsidR="006571BA">
        <w:t xml:space="preserve"> (SP-1), </w:t>
      </w:r>
      <w:r>
        <w:t>p.</w:t>
      </w:r>
      <w:r w:rsidR="00F97797">
        <w:t> </w:t>
      </w:r>
      <w:r>
        <w:t>3.</w:t>
      </w:r>
    </w:p>
  </w:footnote>
  <w:footnote w:id="29">
    <w:p w:rsidR="00F16DAC" w:rsidRDefault="00DD71E8">
      <w:pPr>
        <w:pStyle w:val="Notedebasdepage"/>
      </w:pPr>
      <w:r>
        <w:rPr>
          <w:rStyle w:val="Appelnotedebasdep"/>
        </w:rPr>
        <w:footnoteRef/>
      </w:r>
      <w:r>
        <w:t xml:space="preserve"> </w:t>
      </w:r>
      <w:r>
        <w:tab/>
        <w:t>RPS</w:t>
      </w:r>
      <w:r w:rsidR="006571BA">
        <w:t xml:space="preserve"> (SP-1)</w:t>
      </w:r>
      <w:r>
        <w:t>, p.</w:t>
      </w:r>
      <w:r w:rsidR="00F97797">
        <w:t> </w:t>
      </w:r>
      <w:r>
        <w:t>4.</w:t>
      </w:r>
    </w:p>
  </w:footnote>
  <w:footnote w:id="30">
    <w:p w:rsidR="00CD5F7D" w:rsidRDefault="00DD71E8">
      <w:pPr>
        <w:pStyle w:val="Notedebasdepage"/>
      </w:pPr>
      <w:r>
        <w:rPr>
          <w:rStyle w:val="Appelnotedebasdep"/>
        </w:rPr>
        <w:footnoteRef/>
      </w:r>
      <w:r>
        <w:t xml:space="preserve"> </w:t>
      </w:r>
      <w:r>
        <w:tab/>
        <w:t>RPS</w:t>
      </w:r>
      <w:r w:rsidR="006571BA">
        <w:t xml:space="preserve"> (SP-1)</w:t>
      </w:r>
      <w:r>
        <w:t>, p.</w:t>
      </w:r>
      <w:r w:rsidR="00F97797">
        <w:t> </w:t>
      </w:r>
      <w:r>
        <w:t>5.</w:t>
      </w:r>
    </w:p>
  </w:footnote>
  <w:footnote w:id="31">
    <w:p w:rsidR="008A294E" w:rsidRDefault="00DD71E8">
      <w:pPr>
        <w:pStyle w:val="Notedebasdepage"/>
      </w:pPr>
      <w:r>
        <w:rPr>
          <w:rStyle w:val="Appelnotedebasdep"/>
        </w:rPr>
        <w:footnoteRef/>
      </w:r>
      <w:r>
        <w:t xml:space="preserve"> </w:t>
      </w:r>
      <w:r>
        <w:tab/>
        <w:t>RPS</w:t>
      </w:r>
      <w:r w:rsidR="006571BA">
        <w:t xml:space="preserve"> (SP-1)</w:t>
      </w:r>
      <w:r>
        <w:t>, p.</w:t>
      </w:r>
      <w:r w:rsidR="00F97797">
        <w:t> </w:t>
      </w:r>
      <w:r>
        <w:t>5.</w:t>
      </w:r>
    </w:p>
  </w:footnote>
  <w:footnote w:id="32">
    <w:p w:rsidR="00923423" w:rsidRDefault="00DD71E8">
      <w:pPr>
        <w:pStyle w:val="Notedebasdepage"/>
      </w:pPr>
      <w:r>
        <w:rPr>
          <w:rStyle w:val="Appelnotedebasdep"/>
        </w:rPr>
        <w:footnoteRef/>
      </w:r>
      <w:r>
        <w:t xml:space="preserve"> </w:t>
      </w:r>
      <w:r>
        <w:tab/>
        <w:t xml:space="preserve">Dans l’affaire </w:t>
      </w:r>
      <w:r w:rsidRPr="00923423">
        <w:rPr>
          <w:i/>
          <w:iCs/>
        </w:rPr>
        <w:t>Ivlev</w:t>
      </w:r>
      <w:r>
        <w:t xml:space="preserve"> c. </w:t>
      </w:r>
      <w:r w:rsidRPr="00923423">
        <w:rPr>
          <w:i/>
          <w:iCs/>
        </w:rPr>
        <w:t>R.</w:t>
      </w:r>
      <w:r>
        <w:t xml:space="preserve">, 2020 QCCA 1184, par. 32, notre Cour d’appel souligne que </w:t>
      </w:r>
      <w:r w:rsidR="00557444">
        <w:t xml:space="preserve">lorsqu’un accusé assume les </w:t>
      </w:r>
      <w:r>
        <w:t>conséquences de ses actes</w:t>
      </w:r>
      <w:r w:rsidR="00557444">
        <w:t xml:space="preserve">, cela </w:t>
      </w:r>
      <w:r>
        <w:t>induit les regrets et les remords</w:t>
      </w:r>
      <w:r w:rsidR="00557444">
        <w:t xml:space="preserve"> qui </w:t>
      </w:r>
      <w:r>
        <w:t xml:space="preserve">constituent </w:t>
      </w:r>
      <w:r w:rsidR="00557444">
        <w:t xml:space="preserve">alors </w:t>
      </w:r>
      <w:r>
        <w:t xml:space="preserve">une circonstance atténuante. </w:t>
      </w:r>
    </w:p>
  </w:footnote>
  <w:footnote w:id="33">
    <w:p w:rsidR="008A294E" w:rsidRDefault="00DD71E8">
      <w:pPr>
        <w:pStyle w:val="Notedebasdepage"/>
      </w:pPr>
      <w:r>
        <w:rPr>
          <w:rStyle w:val="Appelnotedebasdep"/>
        </w:rPr>
        <w:footnoteRef/>
      </w:r>
      <w:r>
        <w:t xml:space="preserve"> </w:t>
      </w:r>
      <w:r>
        <w:tab/>
        <w:t>L’agent de probation note la même chose : RPS</w:t>
      </w:r>
      <w:r w:rsidR="006571BA">
        <w:t xml:space="preserve"> (SP-1)</w:t>
      </w:r>
      <w:r>
        <w:t>, p. 5.</w:t>
      </w:r>
    </w:p>
  </w:footnote>
  <w:footnote w:id="34">
    <w:p w:rsidR="008A294E" w:rsidRDefault="00DD71E8">
      <w:pPr>
        <w:pStyle w:val="Notedebasdepage"/>
      </w:pPr>
      <w:r>
        <w:rPr>
          <w:rStyle w:val="Appelnotedebasdep"/>
        </w:rPr>
        <w:footnoteRef/>
      </w:r>
      <w:r>
        <w:t xml:space="preserve"> </w:t>
      </w:r>
      <w:r>
        <w:tab/>
        <w:t>RPS</w:t>
      </w:r>
      <w:r w:rsidR="006571BA">
        <w:t xml:space="preserve"> (SP-1)</w:t>
      </w:r>
      <w:r>
        <w:t>, p. 5.</w:t>
      </w:r>
    </w:p>
  </w:footnote>
  <w:footnote w:id="35">
    <w:p w:rsidR="000816E3" w:rsidRDefault="00DD71E8">
      <w:pPr>
        <w:pStyle w:val="Notedebasdepage"/>
      </w:pPr>
      <w:r>
        <w:rPr>
          <w:rStyle w:val="Appelnotedebasdep"/>
        </w:rPr>
        <w:footnoteRef/>
      </w:r>
      <w:r>
        <w:t xml:space="preserve"> </w:t>
      </w:r>
      <w:r>
        <w:tab/>
        <w:t>Et non 25 ou 26 ans, comme l’affirme le poursuivant.</w:t>
      </w:r>
    </w:p>
  </w:footnote>
  <w:footnote w:id="36">
    <w:p w:rsidR="0033339D" w:rsidRDefault="00DD71E8">
      <w:pPr>
        <w:pStyle w:val="Notedebasdepage"/>
      </w:pPr>
      <w:r>
        <w:rPr>
          <w:rStyle w:val="Appelnotedebasdep"/>
        </w:rPr>
        <w:footnoteRef/>
      </w:r>
      <w:r>
        <w:t xml:space="preserve"> </w:t>
      </w:r>
      <w:r>
        <w:tab/>
        <w:t xml:space="preserve">Selon les auteurs Parent et Desrosiers, </w:t>
      </w:r>
      <w:r w:rsidR="00587CFC">
        <w:t xml:space="preserve">« L’importance accordée à l’âge du délinquant décline donc progressivement à mesure que le contrevenant vieillit pour s’éteindre complètement à la fin vingtaine […] ». Voir </w:t>
      </w:r>
      <w:r>
        <w:rPr>
          <w:rFonts w:cs="Arial"/>
          <w:color w:val="000000"/>
        </w:rPr>
        <w:t xml:space="preserve">Hugues PARENT et Julie DESROSIERS, </w:t>
      </w:r>
      <w:r>
        <w:rPr>
          <w:rFonts w:cs="Arial"/>
          <w:i/>
          <w:iCs/>
          <w:color w:val="000000"/>
        </w:rPr>
        <w:t xml:space="preserve">Traité de droit criminel : La peine, </w:t>
      </w:r>
      <w:r>
        <w:rPr>
          <w:rFonts w:cs="Arial"/>
          <w:color w:val="000000"/>
        </w:rPr>
        <w:t>3</w:t>
      </w:r>
      <w:r w:rsidRPr="00B0133D">
        <w:rPr>
          <w:rFonts w:cs="Arial"/>
          <w:color w:val="000000"/>
          <w:vertAlign w:val="superscript"/>
        </w:rPr>
        <w:t>e</w:t>
      </w:r>
      <w:r>
        <w:rPr>
          <w:rFonts w:cs="Arial"/>
          <w:color w:val="000000"/>
        </w:rPr>
        <w:t xml:space="preserve"> éd., t. 3, Montréal, Éditions Thémis, 2020, par. </w:t>
      </w:r>
      <w:r w:rsidR="00587CFC">
        <w:rPr>
          <w:rFonts w:cs="Arial"/>
          <w:color w:val="000000"/>
        </w:rPr>
        <w:t>110.</w:t>
      </w:r>
      <w:r>
        <w:t xml:space="preserve"> </w:t>
      </w:r>
    </w:p>
  </w:footnote>
  <w:footnote w:id="37">
    <w:p w:rsidR="00587CFC" w:rsidRDefault="00DD71E8" w:rsidP="00587CFC">
      <w:pPr>
        <w:pStyle w:val="Notedebasdepage"/>
      </w:pPr>
      <w:r>
        <w:rPr>
          <w:rStyle w:val="Appelnotedebasdep"/>
        </w:rPr>
        <w:footnoteRef/>
      </w:r>
      <w:r>
        <w:t xml:space="preserve"> </w:t>
      </w:r>
      <w:r>
        <w:tab/>
        <w:t>RPS</w:t>
      </w:r>
      <w:r w:rsidR="006571BA">
        <w:t xml:space="preserve"> (SP-1)</w:t>
      </w:r>
      <w:r>
        <w:t>, p. 5.</w:t>
      </w:r>
    </w:p>
  </w:footnote>
  <w:footnote w:id="38">
    <w:p w:rsidR="00AD7C2D" w:rsidRDefault="00DD71E8" w:rsidP="00AD7C2D">
      <w:pPr>
        <w:pStyle w:val="Notedebasdepage"/>
      </w:pPr>
      <w:r>
        <w:rPr>
          <w:rStyle w:val="Appelnotedebasdep"/>
        </w:rPr>
        <w:footnoteRef/>
      </w:r>
      <w:r>
        <w:t xml:space="preserve"> </w:t>
      </w:r>
      <w:r>
        <w:tab/>
        <w:t>RPS</w:t>
      </w:r>
      <w:r w:rsidR="006571BA">
        <w:t xml:space="preserve"> (SP-1)</w:t>
      </w:r>
      <w:r>
        <w:t>, p. 5.</w:t>
      </w:r>
    </w:p>
  </w:footnote>
  <w:footnote w:id="39">
    <w:p w:rsidR="00272FBD" w:rsidRDefault="00DD71E8">
      <w:pPr>
        <w:pStyle w:val="Notedebasdepage"/>
      </w:pPr>
      <w:r>
        <w:rPr>
          <w:rStyle w:val="Appelnotedebasdep"/>
        </w:rPr>
        <w:footnoteRef/>
      </w:r>
      <w:r>
        <w:t xml:space="preserve"> </w:t>
      </w:r>
      <w:r>
        <w:tab/>
        <w:t xml:space="preserve">La Cour d’appel du Québec souligne d’ailleurs, dans </w:t>
      </w:r>
      <w:r w:rsidRPr="00272FBD">
        <w:rPr>
          <w:i/>
          <w:iCs/>
        </w:rPr>
        <w:t>R.</w:t>
      </w:r>
      <w:r>
        <w:t xml:space="preserve"> c. </w:t>
      </w:r>
      <w:r w:rsidRPr="00272FBD">
        <w:rPr>
          <w:i/>
          <w:iCs/>
        </w:rPr>
        <w:t>G.G.</w:t>
      </w:r>
      <w:r>
        <w:t xml:space="preserve">, 2019 QCCA 1345, par. 11 que l’âge d’un délinquant est un facteur d’individualisation. Dans </w:t>
      </w:r>
      <w:r w:rsidRPr="008511A2">
        <w:rPr>
          <w:i/>
          <w:iCs/>
        </w:rPr>
        <w:t>R.</w:t>
      </w:r>
      <w:r>
        <w:t xml:space="preserve"> c. </w:t>
      </w:r>
      <w:r w:rsidRPr="008511A2">
        <w:rPr>
          <w:i/>
          <w:iCs/>
        </w:rPr>
        <w:t>Lachance</w:t>
      </w:r>
      <w:r>
        <w:t xml:space="preserve">, 2019 QCCA 1012, par. 12 </w:t>
      </w:r>
      <w:r w:rsidR="008511A2">
        <w:t>et</w:t>
      </w:r>
      <w:r>
        <w:t xml:space="preserve"> 15, la Cour d’appel </w:t>
      </w:r>
      <w:r w:rsidR="008511A2">
        <w:t xml:space="preserve">souligne </w:t>
      </w:r>
      <w:r>
        <w:t xml:space="preserve">que le juge d’instance a, </w:t>
      </w:r>
      <w:r w:rsidR="00B724AE">
        <w:t>à</w:t>
      </w:r>
      <w:r>
        <w:t xml:space="preserve"> bon droit, considéré l’âge de l’accusé (27 ans) comme </w:t>
      </w:r>
      <w:r w:rsidR="008511A2">
        <w:t xml:space="preserve">étant </w:t>
      </w:r>
      <w:r>
        <w:t>une circonstance atténuante</w:t>
      </w:r>
      <w:r w:rsidR="008511A2">
        <w:t>. Néanmoins, cet élément n’appert pas avoir eu une portée déterminante dans sa décision sur la peine.</w:t>
      </w:r>
      <w:r>
        <w:t> </w:t>
      </w:r>
      <w:r w:rsidR="00B56470">
        <w:t>Dans ce contexte, considérer l’âge de l’accusé dans le présent dossier (24 ans) comme étant une circonstance atténuante est donc conforme à la jurisprudence.</w:t>
      </w:r>
    </w:p>
    <w:p w:rsidR="00272FBD" w:rsidRDefault="00272FBD">
      <w:pPr>
        <w:pStyle w:val="Notedebasdepage"/>
      </w:pPr>
    </w:p>
  </w:footnote>
  <w:footnote w:id="40">
    <w:p w:rsidR="00AA533D" w:rsidRPr="000816E3" w:rsidRDefault="00DD71E8">
      <w:pPr>
        <w:pStyle w:val="Notedebasdepage"/>
      </w:pPr>
      <w:r>
        <w:rPr>
          <w:rStyle w:val="Appelnotedebasdep"/>
        </w:rPr>
        <w:footnoteRef/>
      </w:r>
      <w:r>
        <w:t xml:space="preserve"> </w:t>
      </w:r>
      <w:r>
        <w:tab/>
        <w:t>Il s’agit de Jennifer Thibodeau. Voir SP-2, p. 4</w:t>
      </w:r>
      <w:r w:rsidRPr="000816E3">
        <w:t>.</w:t>
      </w:r>
    </w:p>
  </w:footnote>
  <w:footnote w:id="41">
    <w:p w:rsidR="00E028D2" w:rsidRPr="00923423" w:rsidRDefault="00DD71E8">
      <w:pPr>
        <w:pStyle w:val="Notedebasdepage"/>
      </w:pPr>
      <w:r w:rsidRPr="000816E3">
        <w:rPr>
          <w:rStyle w:val="Appelnotedebasdep"/>
        </w:rPr>
        <w:footnoteRef/>
      </w:r>
      <w:r w:rsidRPr="00923423">
        <w:t xml:space="preserve"> </w:t>
      </w:r>
      <w:r w:rsidRPr="00923423">
        <w:tab/>
        <w:t>RPS</w:t>
      </w:r>
      <w:r w:rsidR="006571BA" w:rsidRPr="00923423">
        <w:t xml:space="preserve"> (SP-1)</w:t>
      </w:r>
      <w:r w:rsidRPr="00923423">
        <w:t>, p.</w:t>
      </w:r>
      <w:r w:rsidR="00A9644C" w:rsidRPr="00923423">
        <w:t xml:space="preserve"> 3</w:t>
      </w:r>
      <w:r w:rsidRPr="00923423">
        <w:t>.</w:t>
      </w:r>
    </w:p>
  </w:footnote>
  <w:footnote w:id="42">
    <w:p w:rsidR="00F16DAC" w:rsidRPr="006571BA" w:rsidRDefault="00DD71E8">
      <w:pPr>
        <w:pStyle w:val="Notedebasdepage"/>
      </w:pPr>
      <w:r w:rsidRPr="000816E3">
        <w:rPr>
          <w:rStyle w:val="Appelnotedebasdep"/>
        </w:rPr>
        <w:footnoteRef/>
      </w:r>
      <w:r w:rsidRPr="006571BA">
        <w:t xml:space="preserve"> </w:t>
      </w:r>
      <w:r w:rsidRPr="006571BA">
        <w:tab/>
        <w:t>RPS</w:t>
      </w:r>
      <w:r w:rsidR="006571BA" w:rsidRPr="006571BA">
        <w:t xml:space="preserve"> </w:t>
      </w:r>
      <w:r w:rsidR="006571BA">
        <w:t>(SP-1)</w:t>
      </w:r>
      <w:r w:rsidRPr="006571BA">
        <w:t>, p. 4.</w:t>
      </w:r>
    </w:p>
  </w:footnote>
  <w:footnote w:id="43">
    <w:p w:rsidR="00344306" w:rsidRPr="000816E3" w:rsidRDefault="00DD71E8">
      <w:pPr>
        <w:pStyle w:val="Notedebasdepage"/>
      </w:pPr>
      <w:r w:rsidRPr="000816E3">
        <w:rPr>
          <w:rStyle w:val="Appelnotedebasdep"/>
        </w:rPr>
        <w:footnoteRef/>
      </w:r>
      <w:r w:rsidRPr="000816E3">
        <w:t xml:space="preserve"> </w:t>
      </w:r>
      <w:r w:rsidRPr="000816E3">
        <w:tab/>
        <w:t>L’agent de probation soutient par ailleurs que l’accusé ne souffre d’aucune problématique psychosociale, RPS</w:t>
      </w:r>
      <w:r w:rsidR="006571BA">
        <w:t xml:space="preserve"> (SP-1)</w:t>
      </w:r>
      <w:r w:rsidRPr="000816E3">
        <w:t>, p. 5.</w:t>
      </w:r>
    </w:p>
  </w:footnote>
  <w:footnote w:id="44">
    <w:p w:rsidR="00344306" w:rsidRDefault="00DD71E8">
      <w:pPr>
        <w:pStyle w:val="Notedebasdepage"/>
      </w:pPr>
      <w:r>
        <w:rPr>
          <w:rStyle w:val="Appelnotedebasdep"/>
        </w:rPr>
        <w:footnoteRef/>
      </w:r>
      <w:r>
        <w:t xml:space="preserve"> </w:t>
      </w:r>
      <w:r>
        <w:tab/>
        <w:t>RPS</w:t>
      </w:r>
      <w:r w:rsidR="006571BA">
        <w:t xml:space="preserve"> (SP-1)</w:t>
      </w:r>
      <w:r>
        <w:t>, p. 6.</w:t>
      </w:r>
    </w:p>
  </w:footnote>
  <w:footnote w:id="45">
    <w:p w:rsidR="00DA679C" w:rsidRDefault="00DD71E8">
      <w:pPr>
        <w:pStyle w:val="Notedebasdepage"/>
      </w:pPr>
      <w:r>
        <w:rPr>
          <w:rStyle w:val="Appelnotedebasdep"/>
        </w:rPr>
        <w:footnoteRef/>
      </w:r>
      <w:r>
        <w:t xml:space="preserve"> </w:t>
      </w:r>
      <w:r>
        <w:tab/>
        <w:t xml:space="preserve">Dans l’arrêt récent </w:t>
      </w:r>
      <w:r w:rsidRPr="00DA679C">
        <w:rPr>
          <w:i/>
          <w:iCs/>
        </w:rPr>
        <w:t>Medlej</w:t>
      </w:r>
      <w:r>
        <w:t xml:space="preserve"> c. </w:t>
      </w:r>
      <w:r w:rsidRPr="00DA679C">
        <w:rPr>
          <w:i/>
          <w:iCs/>
        </w:rPr>
        <w:t>R.</w:t>
      </w:r>
      <w:r>
        <w:t xml:space="preserve">, 2022 QCCA 891, par. 8, la Cour d’appel du Québec qualifie le faible risque de récidive comme un facteur atténuant. Ceci diffère de l’affaire </w:t>
      </w:r>
      <w:r w:rsidRPr="00DA679C">
        <w:rPr>
          <w:i/>
          <w:iCs/>
        </w:rPr>
        <w:t>Cabezas</w:t>
      </w:r>
      <w:r>
        <w:t xml:space="preserve"> c. </w:t>
      </w:r>
      <w:r w:rsidRPr="00DA679C">
        <w:rPr>
          <w:i/>
          <w:iCs/>
        </w:rPr>
        <w:t>R.</w:t>
      </w:r>
      <w:r>
        <w:t>, 2018</w:t>
      </w:r>
      <w:r w:rsidR="003433DA">
        <w:t> </w:t>
      </w:r>
      <w:r>
        <w:t>QCCA</w:t>
      </w:r>
      <w:r w:rsidR="003433DA">
        <w:t> </w:t>
      </w:r>
      <w:r>
        <w:t xml:space="preserve">1616, par. 144 où la Cour d’appel souligne que, dans le cas où le pronostic de réhabilitation est mitigé, le faible </w:t>
      </w:r>
      <w:r w:rsidR="00212028">
        <w:t xml:space="preserve">risque </w:t>
      </w:r>
      <w:r>
        <w:t>de récidive constitue simplement une circonstance moins aggravante.</w:t>
      </w:r>
    </w:p>
  </w:footnote>
  <w:footnote w:id="46">
    <w:p w:rsidR="00760AF0" w:rsidRPr="0073576B" w:rsidRDefault="00DD71E8" w:rsidP="00760AF0">
      <w:pPr>
        <w:pStyle w:val="Notedebasdepage"/>
      </w:pPr>
      <w:r>
        <w:rPr>
          <w:rStyle w:val="Appelnotedebasdep"/>
        </w:rPr>
        <w:footnoteRef/>
      </w:r>
      <w:r>
        <w:t xml:space="preserve"> </w:t>
      </w:r>
      <w:r>
        <w:tab/>
        <w:t>À la lumière des vérifications faites au plumitif. Nous y reviendrons.</w:t>
      </w:r>
    </w:p>
  </w:footnote>
  <w:footnote w:id="47">
    <w:p w:rsidR="00760AF0" w:rsidRPr="0073576B" w:rsidRDefault="00DD71E8" w:rsidP="00760AF0">
      <w:pPr>
        <w:pStyle w:val="Notedebasdepage"/>
      </w:pPr>
      <w:r w:rsidRPr="0073576B">
        <w:rPr>
          <w:rStyle w:val="Appelnotedebasdep"/>
        </w:rPr>
        <w:footnoteRef/>
      </w:r>
      <w:r w:rsidRPr="0073576B">
        <w:t xml:space="preserve"> </w:t>
      </w:r>
      <w:r w:rsidRPr="0073576B">
        <w:tab/>
      </w:r>
      <w:r w:rsidR="009A2A5C" w:rsidRPr="0073576B">
        <w:t>RPS</w:t>
      </w:r>
      <w:r w:rsidR="006571BA">
        <w:t xml:space="preserve"> (SP-1)</w:t>
      </w:r>
      <w:r w:rsidR="009A2A5C" w:rsidRPr="0073576B">
        <w:t>, p.</w:t>
      </w:r>
      <w:r w:rsidR="002316D2" w:rsidRPr="0073576B">
        <w:t xml:space="preserve"> 3</w:t>
      </w:r>
      <w:r w:rsidRPr="0073576B">
        <w:t xml:space="preserve">. </w:t>
      </w:r>
    </w:p>
  </w:footnote>
  <w:footnote w:id="48">
    <w:p w:rsidR="008B765C" w:rsidRDefault="00DD71E8">
      <w:pPr>
        <w:pStyle w:val="Notedebasdepage"/>
      </w:pPr>
      <w:r>
        <w:rPr>
          <w:rStyle w:val="Appelnotedebasdep"/>
        </w:rPr>
        <w:footnoteRef/>
      </w:r>
      <w:r>
        <w:t xml:space="preserve"> </w:t>
      </w:r>
      <w:r>
        <w:tab/>
        <w:t>Qui aurait pu être, par exemple, le fait d’avoir des antécédents judiciaires, notamment en semblable matière.</w:t>
      </w:r>
    </w:p>
  </w:footnote>
  <w:footnote w:id="49">
    <w:p w:rsidR="006B410B" w:rsidRPr="008A288C" w:rsidRDefault="00DD71E8" w:rsidP="006B410B">
      <w:pPr>
        <w:pStyle w:val="Notedebasdepage"/>
      </w:pPr>
      <w:r>
        <w:rPr>
          <w:rStyle w:val="Appelnotedebasdep"/>
        </w:rPr>
        <w:footnoteRef/>
      </w:r>
      <w:r>
        <w:t xml:space="preserve"> </w:t>
      </w:r>
      <w:r>
        <w:tab/>
      </w:r>
      <w:r w:rsidRPr="00862B49">
        <w:rPr>
          <w:i/>
        </w:rPr>
        <w:t>G</w:t>
      </w:r>
      <w:r w:rsidRPr="008A288C">
        <w:rPr>
          <w:i/>
        </w:rPr>
        <w:t>.D</w:t>
      </w:r>
      <w:r w:rsidRPr="008A288C">
        <w:t xml:space="preserve">. c. </w:t>
      </w:r>
      <w:r w:rsidRPr="008A288C">
        <w:rPr>
          <w:i/>
        </w:rPr>
        <w:t>R</w:t>
      </w:r>
      <w:r w:rsidRPr="008A288C">
        <w:t>., 2009 QCCA 1290, par. 38.</w:t>
      </w:r>
    </w:p>
  </w:footnote>
  <w:footnote w:id="50">
    <w:p w:rsidR="00591C81" w:rsidRPr="00B00F8F" w:rsidRDefault="00DD71E8">
      <w:pPr>
        <w:pStyle w:val="Notedebasdepage"/>
      </w:pPr>
      <w:r>
        <w:rPr>
          <w:rStyle w:val="Appelnotedebasdep"/>
        </w:rPr>
        <w:footnoteRef/>
      </w:r>
      <w:r w:rsidRPr="00B00F8F">
        <w:t xml:space="preserve"> </w:t>
      </w:r>
      <w:r w:rsidRPr="00B00F8F">
        <w:tab/>
      </w:r>
      <w:r w:rsidRPr="00B00F8F">
        <w:rPr>
          <w:i/>
          <w:iCs/>
        </w:rPr>
        <w:t>R.</w:t>
      </w:r>
      <w:r w:rsidRPr="00B00F8F">
        <w:t xml:space="preserve"> c. </w:t>
      </w:r>
      <w:r w:rsidRPr="00B00F8F">
        <w:rPr>
          <w:i/>
          <w:iCs/>
        </w:rPr>
        <w:t>Laforgia</w:t>
      </w:r>
      <w:r w:rsidRPr="00B00F8F">
        <w:t>, 2021 QCCQ 7788, par. 40.</w:t>
      </w:r>
    </w:p>
  </w:footnote>
  <w:footnote w:id="51">
    <w:p w:rsidR="00C76041" w:rsidRDefault="00DD71E8">
      <w:pPr>
        <w:pStyle w:val="Notedebasdepage"/>
      </w:pPr>
      <w:r>
        <w:rPr>
          <w:rStyle w:val="Appelnotedebasdep"/>
        </w:rPr>
        <w:footnoteRef/>
      </w:r>
      <w:r>
        <w:t xml:space="preserve"> </w:t>
      </w:r>
      <w:r>
        <w:tab/>
      </w:r>
      <w:r w:rsidRPr="00C76041">
        <w:rPr>
          <w:i/>
          <w:iCs/>
        </w:rPr>
        <w:t>Poirier</w:t>
      </w:r>
      <w:r>
        <w:t xml:space="preserve"> c. </w:t>
      </w:r>
      <w:r w:rsidRPr="00C76041">
        <w:rPr>
          <w:i/>
          <w:iCs/>
        </w:rPr>
        <w:t>R.</w:t>
      </w:r>
      <w:r>
        <w:t xml:space="preserve">, 2018 QCCA 1803, </w:t>
      </w:r>
      <w:r w:rsidR="00FF0633">
        <w:t xml:space="preserve">par. </w:t>
      </w:r>
      <w:r>
        <w:t>48.</w:t>
      </w:r>
    </w:p>
  </w:footnote>
  <w:footnote w:id="52">
    <w:p w:rsidR="00C21583" w:rsidRDefault="00DD71E8">
      <w:pPr>
        <w:pStyle w:val="Notedebasdepage"/>
      </w:pPr>
      <w:r>
        <w:rPr>
          <w:rStyle w:val="Appelnotedebasdep"/>
        </w:rPr>
        <w:footnoteRef/>
      </w:r>
      <w:r>
        <w:t xml:space="preserve"> </w:t>
      </w:r>
      <w:r>
        <w:tab/>
      </w:r>
      <w:r w:rsidRPr="009A2A5C">
        <w:t>L’accusé est en effet soumis à un couvre-feu</w:t>
      </w:r>
      <w:r w:rsidR="006B410B" w:rsidRPr="009A2A5C">
        <w:t xml:space="preserve"> depuis le </w:t>
      </w:r>
      <w:r w:rsidR="009A2A5C" w:rsidRPr="009A2A5C">
        <w:t>26</w:t>
      </w:r>
      <w:r w:rsidR="00180243">
        <w:t> </w:t>
      </w:r>
      <w:r w:rsidR="009A2A5C" w:rsidRPr="009A2A5C">
        <w:t>septembre 2019</w:t>
      </w:r>
      <w:r w:rsidR="006B410B" w:rsidRPr="009A2A5C">
        <w:t>, date à laquelle l’ordonnance de mise en liberté a été rendue à son égard</w:t>
      </w:r>
      <w:r w:rsidRPr="009A2A5C">
        <w:t>.</w:t>
      </w:r>
      <w:r w:rsidR="0073576B">
        <w:t xml:space="preserve"> </w:t>
      </w:r>
      <w:r w:rsidR="00326891">
        <w:t xml:space="preserve">Notons que le fait pour l’accusé de respecter des conditions de mise en liberté constitue certes une circonstance neutre, mais démontre néanmoins sa capacité à respecter un encadrement serré. De fait, le risque de récidive en est diminué, ce qui correspond à une circonstance atténuante, comme mentionné précédemment aux par. 66 et 67 du présent jugement. </w:t>
      </w:r>
    </w:p>
  </w:footnote>
  <w:footnote w:id="53">
    <w:p w:rsidR="00FF0633" w:rsidRDefault="00DD71E8">
      <w:pPr>
        <w:pStyle w:val="Notedebasdepage"/>
      </w:pPr>
      <w:r>
        <w:rPr>
          <w:rStyle w:val="Appelnotedebasdep"/>
        </w:rPr>
        <w:footnoteRef/>
      </w:r>
      <w:r>
        <w:t xml:space="preserve"> </w:t>
      </w:r>
      <w:r>
        <w:tab/>
        <w:t xml:space="preserve">Dans </w:t>
      </w:r>
      <w:r w:rsidRPr="00FF0633">
        <w:rPr>
          <w:i/>
          <w:iCs/>
        </w:rPr>
        <w:t>Cabezas</w:t>
      </w:r>
      <w:r>
        <w:t xml:space="preserve"> c. </w:t>
      </w:r>
      <w:r w:rsidRPr="00FF0633">
        <w:rPr>
          <w:i/>
          <w:iCs/>
        </w:rPr>
        <w:t>R.</w:t>
      </w:r>
      <w:r>
        <w:t>, 2018 QCCA 1616, par. 145, la Cour d’appel rappelle que le respect des conditions de mise en liberté et le fait qu’une personne se reprenne en main est un facteur pertinent à considérer lors de la détermination de la peine.</w:t>
      </w:r>
    </w:p>
  </w:footnote>
  <w:footnote w:id="54">
    <w:p w:rsidR="00DF1978" w:rsidRDefault="00DD71E8">
      <w:pPr>
        <w:pStyle w:val="Notedebasdepage"/>
      </w:pPr>
      <w:r>
        <w:rPr>
          <w:rStyle w:val="Appelnotedebasdep"/>
        </w:rPr>
        <w:footnoteRef/>
      </w:r>
      <w:r>
        <w:t xml:space="preserve"> </w:t>
      </w:r>
      <w:r>
        <w:tab/>
        <w:t>Il souffre d’asthme chronique.</w:t>
      </w:r>
    </w:p>
  </w:footnote>
  <w:footnote w:id="55">
    <w:p w:rsidR="00C21583" w:rsidRDefault="00DD71E8">
      <w:pPr>
        <w:pStyle w:val="Notedebasdepage"/>
      </w:pPr>
      <w:r>
        <w:rPr>
          <w:rStyle w:val="Appelnotedebasdep"/>
        </w:rPr>
        <w:footnoteRef/>
      </w:r>
      <w:r>
        <w:t xml:space="preserve"> </w:t>
      </w:r>
      <w:r>
        <w:tab/>
        <w:t>SD-1.</w:t>
      </w:r>
    </w:p>
  </w:footnote>
  <w:footnote w:id="56">
    <w:p w:rsidR="00EF7A37" w:rsidRPr="00D97843" w:rsidRDefault="00DD71E8">
      <w:pPr>
        <w:pStyle w:val="Notedebasdepage"/>
      </w:pPr>
      <w:r>
        <w:rPr>
          <w:rStyle w:val="Appelnotedebasdep"/>
        </w:rPr>
        <w:footnoteRef/>
      </w:r>
      <w:r>
        <w:t xml:space="preserve"> </w:t>
      </w:r>
      <w:r w:rsidR="001019ED">
        <w:tab/>
      </w:r>
      <w:r w:rsidR="00D97843" w:rsidRPr="00D97843">
        <w:rPr>
          <w:i/>
          <w:iCs/>
        </w:rPr>
        <w:t>R.</w:t>
      </w:r>
      <w:r w:rsidR="00D97843">
        <w:t xml:space="preserve"> c. </w:t>
      </w:r>
      <w:r w:rsidR="00D97843" w:rsidRPr="00D97843">
        <w:rPr>
          <w:i/>
          <w:iCs/>
        </w:rPr>
        <w:t>D.B</w:t>
      </w:r>
      <w:r w:rsidR="00D97843">
        <w:t>., 2008 QCCA 798.</w:t>
      </w:r>
    </w:p>
  </w:footnote>
  <w:footnote w:id="57">
    <w:p w:rsidR="00226317" w:rsidRDefault="00DD71E8">
      <w:pPr>
        <w:pStyle w:val="Notedebasdepage"/>
      </w:pPr>
      <w:r>
        <w:rPr>
          <w:rStyle w:val="Appelnotedebasdep"/>
        </w:rPr>
        <w:footnoteRef/>
      </w:r>
      <w:r>
        <w:t xml:space="preserve"> </w:t>
      </w:r>
      <w:r>
        <w:tab/>
        <w:t xml:space="preserve">Voir </w:t>
      </w:r>
      <w:r w:rsidRPr="00653886">
        <w:rPr>
          <w:i/>
          <w:iCs/>
        </w:rPr>
        <w:t>R.</w:t>
      </w:r>
      <w:r>
        <w:t xml:space="preserve"> c. </w:t>
      </w:r>
      <w:r w:rsidRPr="00653886">
        <w:rPr>
          <w:i/>
          <w:iCs/>
        </w:rPr>
        <w:t>Laforgia</w:t>
      </w:r>
      <w:r>
        <w:t>, 2021 QCCQ 7788, par. 47</w:t>
      </w:r>
      <w:r w:rsidR="009A7D6B">
        <w:t>.</w:t>
      </w:r>
      <w:r w:rsidR="00FF0633">
        <w:t xml:space="preserve"> Rappelons également que l’accusé possédait cette condition physique au moment de la commission des présentes infractions. Il ne s’agit donc pas d’une circonstance nouvelle.</w:t>
      </w:r>
    </w:p>
  </w:footnote>
  <w:footnote w:id="58">
    <w:p w:rsidR="00FF0633" w:rsidRDefault="00DD71E8">
      <w:pPr>
        <w:pStyle w:val="Notedebasdepage"/>
      </w:pPr>
      <w:r>
        <w:rPr>
          <w:rStyle w:val="Appelnotedebasdep"/>
        </w:rPr>
        <w:footnoteRef/>
      </w:r>
      <w:r>
        <w:t xml:space="preserve"> </w:t>
      </w:r>
      <w:r>
        <w:tab/>
        <w:t xml:space="preserve">Dans </w:t>
      </w:r>
      <w:r w:rsidRPr="00FF0633">
        <w:rPr>
          <w:i/>
          <w:iCs/>
        </w:rPr>
        <w:t>Christie-Sanguinet</w:t>
      </w:r>
      <w:r>
        <w:t xml:space="preserve"> c. </w:t>
      </w:r>
      <w:r w:rsidRPr="00FF0633">
        <w:rPr>
          <w:i/>
          <w:iCs/>
        </w:rPr>
        <w:t>R.</w:t>
      </w:r>
      <w:r>
        <w:t xml:space="preserve">, 2019 QCCA 2033, par. 24, la Cour d’appel souligne que </w:t>
      </w:r>
      <w:r w:rsidR="00F46D53">
        <w:t>la prise en compte de l’état de santé du délinquant relève de l’exercice du pouvoir judiciaire d’un juge. Elle ajoute que la jurisprudence a toujours soutenu que, sauf circonstances exceptionnelles, l’état de santé d’un délinquant ne constitue pas un facteur significatif ou décisif.</w:t>
      </w:r>
    </w:p>
  </w:footnote>
  <w:footnote w:id="59">
    <w:p w:rsidR="00E35785" w:rsidRDefault="00DD71E8">
      <w:pPr>
        <w:pStyle w:val="Notedebasdepage"/>
      </w:pPr>
      <w:r>
        <w:rPr>
          <w:rStyle w:val="Appelnotedebasdep"/>
        </w:rPr>
        <w:footnoteRef/>
      </w:r>
      <w:r>
        <w:t xml:space="preserve"> </w:t>
      </w:r>
      <w:r>
        <w:tab/>
        <w:t>Au sens d</w:t>
      </w:r>
      <w:r w:rsidR="000816E3">
        <w:t>e l’art.</w:t>
      </w:r>
      <w:r>
        <w:t xml:space="preserve"> 467.1(1) C.cr.</w:t>
      </w:r>
    </w:p>
  </w:footnote>
  <w:footnote w:id="60">
    <w:p w:rsidR="00653886" w:rsidRDefault="00DD71E8">
      <w:pPr>
        <w:pStyle w:val="Notedebasdepage"/>
      </w:pPr>
      <w:r>
        <w:rPr>
          <w:rStyle w:val="Appelnotedebasdep"/>
        </w:rPr>
        <w:footnoteRef/>
      </w:r>
      <w:r>
        <w:t xml:space="preserve"> </w:t>
      </w:r>
      <w:r>
        <w:tab/>
      </w:r>
      <w:r w:rsidR="00212028">
        <w:t>D</w:t>
      </w:r>
      <w:r>
        <w:t xml:space="preserve">ans </w:t>
      </w:r>
      <w:r w:rsidRPr="00653886">
        <w:rPr>
          <w:i/>
          <w:iCs/>
        </w:rPr>
        <w:t>R.</w:t>
      </w:r>
      <w:r>
        <w:t xml:space="preserve"> c. </w:t>
      </w:r>
      <w:r w:rsidRPr="00653886">
        <w:rPr>
          <w:i/>
          <w:iCs/>
        </w:rPr>
        <w:t>Laforgia</w:t>
      </w:r>
      <w:r>
        <w:t>, 2021 QCCQ 7788, par. 49-51</w:t>
      </w:r>
      <w:r w:rsidRPr="00212028">
        <w:t xml:space="preserve">, le juge considère que </w:t>
      </w:r>
      <w:r w:rsidR="00212028">
        <w:t xml:space="preserve">l’absence de preuve de l’existence d’un lien </w:t>
      </w:r>
      <w:r w:rsidR="000816E3" w:rsidRPr="00212028">
        <w:t xml:space="preserve">entre </w:t>
      </w:r>
      <w:r w:rsidRPr="00212028">
        <w:t xml:space="preserve">l’accusé </w:t>
      </w:r>
      <w:r w:rsidR="000816E3" w:rsidRPr="00212028">
        <w:t xml:space="preserve">et </w:t>
      </w:r>
      <w:r w:rsidRPr="00212028">
        <w:t xml:space="preserve">l’organisation </w:t>
      </w:r>
      <w:r w:rsidR="00212028">
        <w:t xml:space="preserve">criminelle </w:t>
      </w:r>
      <w:r w:rsidRPr="00212028">
        <w:t>constitue une circonstance neutre.</w:t>
      </w:r>
    </w:p>
  </w:footnote>
  <w:footnote w:id="61">
    <w:p w:rsidR="00BB687F" w:rsidRPr="00474EB8" w:rsidRDefault="00DD71E8">
      <w:pPr>
        <w:pStyle w:val="Notedebasdepage"/>
      </w:pPr>
      <w:r>
        <w:rPr>
          <w:rStyle w:val="Appelnotedebasdep"/>
        </w:rPr>
        <w:footnoteRef/>
      </w:r>
      <w:r w:rsidRPr="00474EB8">
        <w:t xml:space="preserve"> </w:t>
      </w:r>
      <w:r w:rsidRPr="00474EB8">
        <w:tab/>
      </w:r>
      <w:r w:rsidRPr="00474EB8">
        <w:rPr>
          <w:i/>
          <w:iCs/>
        </w:rPr>
        <w:t>R.</w:t>
      </w:r>
      <w:r w:rsidRPr="00474EB8">
        <w:t xml:space="preserve"> c. </w:t>
      </w:r>
      <w:r w:rsidRPr="00474EB8">
        <w:rPr>
          <w:i/>
          <w:iCs/>
        </w:rPr>
        <w:t>Laforgia</w:t>
      </w:r>
      <w:r w:rsidRPr="00474EB8">
        <w:t>, 2021 QCCQ 7788, par. 68</w:t>
      </w:r>
      <w:r w:rsidR="00474EB8">
        <w:t xml:space="preserve">; </w:t>
      </w:r>
      <w:r w:rsidR="00474EB8" w:rsidRPr="007A5F2B">
        <w:rPr>
          <w:i/>
          <w:iCs/>
        </w:rPr>
        <w:t>R.</w:t>
      </w:r>
      <w:r w:rsidR="00474EB8" w:rsidRPr="007A5F2B">
        <w:t xml:space="preserve"> c. </w:t>
      </w:r>
      <w:r w:rsidR="00474EB8" w:rsidRPr="007A5F2B">
        <w:rPr>
          <w:i/>
          <w:iCs/>
        </w:rPr>
        <w:t>Ricard</w:t>
      </w:r>
      <w:r w:rsidR="00474EB8" w:rsidRPr="007A5F2B">
        <w:t>, 2014 QCCA 1</w:t>
      </w:r>
      <w:r w:rsidR="00261248">
        <w:t>1</w:t>
      </w:r>
      <w:r w:rsidR="00474EB8" w:rsidRPr="007A5F2B">
        <w:t>60, par. 4.</w:t>
      </w:r>
      <w:r w:rsidR="00F46D53">
        <w:t xml:space="preserve"> Dans </w:t>
      </w:r>
      <w:r w:rsidR="00F46D53" w:rsidRPr="00F46D53">
        <w:rPr>
          <w:i/>
          <w:iCs/>
        </w:rPr>
        <w:t>Colegrove</w:t>
      </w:r>
      <w:r w:rsidR="00F46D53">
        <w:t xml:space="preserve"> c. </w:t>
      </w:r>
      <w:r w:rsidR="00F46D53" w:rsidRPr="00F46D53">
        <w:rPr>
          <w:i/>
          <w:iCs/>
        </w:rPr>
        <w:t>R.</w:t>
      </w:r>
      <w:r w:rsidR="00F46D53">
        <w:t xml:space="preserve">, 2020 QCCA 842, par. 72, la Cour d’appel souligne qu’il tombe sous le sens que toutes les drogues visées par l’annexe I de la LRCDAS « ne présentent pas la même nocivité ou le même caractère toxicomanogène ». Au surplus, la quantité de drogue trouvée en possession illicite d’un trafiquant est également pertinente pour juger de la gravité des faits à la charge de ce dernier. </w:t>
      </w:r>
    </w:p>
  </w:footnote>
  <w:footnote w:id="62">
    <w:p w:rsidR="00F46D53" w:rsidRDefault="00DD71E8">
      <w:pPr>
        <w:pStyle w:val="Notedebasdepage"/>
      </w:pPr>
      <w:r>
        <w:rPr>
          <w:rStyle w:val="Appelnotedebasdep"/>
        </w:rPr>
        <w:footnoteRef/>
      </w:r>
      <w:r>
        <w:t xml:space="preserve"> </w:t>
      </w:r>
      <w:r w:rsidR="00212028">
        <w:tab/>
      </w:r>
      <w:r>
        <w:t xml:space="preserve">À la lumière de l’arrêt </w:t>
      </w:r>
      <w:r w:rsidRPr="00F46D53">
        <w:rPr>
          <w:i/>
          <w:iCs/>
        </w:rPr>
        <w:t>Ouellette</w:t>
      </w:r>
      <w:r>
        <w:t xml:space="preserve"> c. </w:t>
      </w:r>
      <w:r w:rsidRPr="00F46D53">
        <w:rPr>
          <w:i/>
          <w:iCs/>
        </w:rPr>
        <w:t>R.</w:t>
      </w:r>
      <w:r>
        <w:t>, 2021 QCCA 1828, par. 14 à 17, la durée du trafic de stupéfiants est un élément pertinent que le juge peut retenir comme circonstance aggravante.</w:t>
      </w:r>
    </w:p>
  </w:footnote>
  <w:footnote w:id="63">
    <w:p w:rsidR="00BE01B1" w:rsidRDefault="00DD71E8">
      <w:pPr>
        <w:pStyle w:val="Notedebasdepage"/>
      </w:pPr>
      <w:r>
        <w:rPr>
          <w:rStyle w:val="Appelnotedebasdep"/>
        </w:rPr>
        <w:footnoteRef/>
      </w:r>
      <w:r>
        <w:t xml:space="preserve"> </w:t>
      </w:r>
      <w:r>
        <w:tab/>
        <w:t>Or, selon les explications fournies par l’accusé, la liste de clients préétablis lui permettait de ne pas « se faire prendre » par un agent d’infiltration.</w:t>
      </w:r>
    </w:p>
  </w:footnote>
  <w:footnote w:id="64">
    <w:p w:rsidR="00553FBE" w:rsidRDefault="00DD71E8" w:rsidP="00553FBE">
      <w:pPr>
        <w:pStyle w:val="Notedebasdepage"/>
      </w:pPr>
      <w:r>
        <w:rPr>
          <w:rStyle w:val="Appelnotedebasdep"/>
        </w:rPr>
        <w:footnoteRef/>
      </w:r>
      <w:r>
        <w:t xml:space="preserve"> </w:t>
      </w:r>
      <w:r>
        <w:tab/>
      </w:r>
      <w:r w:rsidRPr="0094766F">
        <w:rPr>
          <w:i/>
        </w:rPr>
        <w:t>R.</w:t>
      </w:r>
      <w:r>
        <w:t xml:space="preserve"> c. </w:t>
      </w:r>
      <w:r w:rsidRPr="0094766F">
        <w:rPr>
          <w:i/>
        </w:rPr>
        <w:t>Régnier</w:t>
      </w:r>
      <w:r>
        <w:t>, 2018 QCCA 306, par. 21.</w:t>
      </w:r>
    </w:p>
  </w:footnote>
  <w:footnote w:id="65">
    <w:p w:rsidR="002427FD" w:rsidRPr="0071356C" w:rsidRDefault="00DD71E8" w:rsidP="002427FD">
      <w:pPr>
        <w:pStyle w:val="Notedebasdepage"/>
      </w:pPr>
      <w:r>
        <w:rPr>
          <w:rStyle w:val="Appelnotedebasdep"/>
        </w:rPr>
        <w:footnoteRef/>
      </w:r>
      <w:r w:rsidRPr="0071356C">
        <w:t xml:space="preserve"> </w:t>
      </w:r>
      <w:r w:rsidRPr="0071356C">
        <w:tab/>
        <w:t>https://www.larousse.fr/dictionnaires/francais/lucre/.</w:t>
      </w:r>
    </w:p>
  </w:footnote>
  <w:footnote w:id="66">
    <w:p w:rsidR="00BF4D55" w:rsidRDefault="00DD71E8">
      <w:pPr>
        <w:pStyle w:val="Notedebasdepage"/>
      </w:pPr>
      <w:r>
        <w:rPr>
          <w:rStyle w:val="Appelnotedebasdep"/>
        </w:rPr>
        <w:footnoteRef/>
      </w:r>
      <w:r>
        <w:t xml:space="preserve"> </w:t>
      </w:r>
      <w:r>
        <w:tab/>
        <w:t>Ce qui</w:t>
      </w:r>
      <w:r w:rsidR="00B00F8F">
        <w:t>,</w:t>
      </w:r>
      <w:r>
        <w:t xml:space="preserve"> en soi</w:t>
      </w:r>
      <w:r w:rsidR="00B00F8F">
        <w:t>,</w:t>
      </w:r>
      <w:r>
        <w:t xml:space="preserve"> constitue une circonstance</w:t>
      </w:r>
      <w:r w:rsidR="00CF0AC1">
        <w:t xml:space="preserve"> neutre.</w:t>
      </w:r>
    </w:p>
  </w:footnote>
  <w:footnote w:id="67">
    <w:p w:rsidR="00BF4D55" w:rsidRPr="00BF4D55" w:rsidRDefault="00DD71E8">
      <w:pPr>
        <w:pStyle w:val="Notedebasdepage"/>
        <w:rPr>
          <w:lang w:val="en-CA"/>
        </w:rPr>
      </w:pPr>
      <w:r>
        <w:rPr>
          <w:rStyle w:val="Appelnotedebasdep"/>
        </w:rPr>
        <w:footnoteRef/>
      </w:r>
      <w:r w:rsidRPr="00BF4D55">
        <w:rPr>
          <w:lang w:val="en-CA"/>
        </w:rPr>
        <w:t xml:space="preserve"> </w:t>
      </w:r>
      <w:r w:rsidRPr="00BF4D55">
        <w:rPr>
          <w:lang w:val="en-CA"/>
        </w:rPr>
        <w:tab/>
      </w:r>
      <w:r w:rsidRPr="00BF4D55">
        <w:rPr>
          <w:i/>
          <w:iCs/>
          <w:lang w:val="en-CA"/>
        </w:rPr>
        <w:t>R.</w:t>
      </w:r>
      <w:r w:rsidRPr="00BF4D55">
        <w:rPr>
          <w:lang w:val="en-CA"/>
        </w:rPr>
        <w:t xml:space="preserve"> c. </w:t>
      </w:r>
      <w:r w:rsidRPr="00BF4D55">
        <w:rPr>
          <w:i/>
          <w:iCs/>
          <w:lang w:val="en-CA"/>
        </w:rPr>
        <w:t>Smith</w:t>
      </w:r>
      <w:r w:rsidRPr="00BF4D55">
        <w:rPr>
          <w:lang w:val="en-CA"/>
        </w:rPr>
        <w:t>, [1987] 1 R.C.S.</w:t>
      </w:r>
      <w:r>
        <w:rPr>
          <w:lang w:val="en-CA"/>
        </w:rPr>
        <w:t xml:space="preserve"> 1045, p. 1053.</w:t>
      </w:r>
    </w:p>
  </w:footnote>
  <w:footnote w:id="68">
    <w:p w:rsidR="00E52634" w:rsidRDefault="00DD71E8">
      <w:pPr>
        <w:pStyle w:val="Notedebasdepage"/>
      </w:pPr>
      <w:r>
        <w:rPr>
          <w:rStyle w:val="Appelnotedebasdep"/>
        </w:rPr>
        <w:footnoteRef/>
      </w:r>
      <w:r>
        <w:t xml:space="preserve"> </w:t>
      </w:r>
      <w:r>
        <w:tab/>
      </w:r>
      <w:r w:rsidR="00B141B0">
        <w:t xml:space="preserve">Dans </w:t>
      </w:r>
      <w:r w:rsidR="00B141B0" w:rsidRPr="00B141B0">
        <w:rPr>
          <w:i/>
          <w:iCs/>
        </w:rPr>
        <w:t>Cabezas</w:t>
      </w:r>
      <w:r w:rsidR="00B141B0">
        <w:t xml:space="preserve"> c. </w:t>
      </w:r>
      <w:r w:rsidR="00B141B0" w:rsidRPr="00B141B0">
        <w:rPr>
          <w:i/>
          <w:iCs/>
        </w:rPr>
        <w:t>R.</w:t>
      </w:r>
      <w:r w:rsidR="00B141B0">
        <w:t xml:space="preserve">, 2018 QCCA 1616, par. 129, la Cour d’appel souligne que le choix réfléchi et délibéré de s’impliquer dans la commission de crimes graves dans l’unique but de s’enrichir constitue un facteur aggravant. Voir également </w:t>
      </w:r>
      <w:r w:rsidRPr="0011563C">
        <w:rPr>
          <w:i/>
        </w:rPr>
        <w:t>R.</w:t>
      </w:r>
      <w:r>
        <w:t xml:space="preserve"> c. </w:t>
      </w:r>
      <w:r w:rsidRPr="0011563C">
        <w:rPr>
          <w:i/>
        </w:rPr>
        <w:t>Chahinian</w:t>
      </w:r>
      <w:r>
        <w:t xml:space="preserve">, 2018 QCCQ 20771, par. 51 </w:t>
      </w:r>
      <w:r w:rsidR="006D7960">
        <w:t>(appels sur le verdict et la peine rejetés : 2022 QCCA 499).</w:t>
      </w:r>
    </w:p>
  </w:footnote>
  <w:footnote w:id="69">
    <w:p w:rsidR="00B74D5B" w:rsidRPr="00B00F8F" w:rsidRDefault="00DD71E8">
      <w:pPr>
        <w:pStyle w:val="Notedebasdepage"/>
        <w:rPr>
          <w:lang w:val="en-CA"/>
        </w:rPr>
      </w:pPr>
      <w:r>
        <w:rPr>
          <w:rStyle w:val="Appelnotedebasdep"/>
        </w:rPr>
        <w:footnoteRef/>
      </w:r>
      <w:r w:rsidRPr="00B00F8F">
        <w:rPr>
          <w:lang w:val="en-CA"/>
        </w:rPr>
        <w:t xml:space="preserve"> </w:t>
      </w:r>
      <w:r w:rsidRPr="00B00F8F">
        <w:rPr>
          <w:lang w:val="en-CA"/>
        </w:rPr>
        <w:tab/>
      </w:r>
      <w:r w:rsidRPr="00B00F8F">
        <w:rPr>
          <w:i/>
          <w:iCs/>
          <w:lang w:val="en-CA"/>
        </w:rPr>
        <w:t>R.</w:t>
      </w:r>
      <w:r w:rsidRPr="00B00F8F">
        <w:rPr>
          <w:lang w:val="en-CA"/>
        </w:rPr>
        <w:t xml:space="preserve"> c. </w:t>
      </w:r>
      <w:r w:rsidRPr="00B00F8F">
        <w:rPr>
          <w:i/>
          <w:iCs/>
          <w:lang w:val="en-CA"/>
        </w:rPr>
        <w:t>Laforgia</w:t>
      </w:r>
      <w:r w:rsidRPr="00B00F8F">
        <w:rPr>
          <w:lang w:val="en-CA"/>
        </w:rPr>
        <w:t>, 2021 QCCQ 7788.</w:t>
      </w:r>
    </w:p>
  </w:footnote>
  <w:footnote w:id="70">
    <w:p w:rsidR="00B74D5B" w:rsidRPr="00B74D5B" w:rsidRDefault="00DD71E8">
      <w:pPr>
        <w:pStyle w:val="Notedebasdepage"/>
        <w:rPr>
          <w:lang w:val="en-CA"/>
        </w:rPr>
      </w:pPr>
      <w:r>
        <w:rPr>
          <w:rStyle w:val="Appelnotedebasdep"/>
        </w:rPr>
        <w:footnoteRef/>
      </w:r>
      <w:r w:rsidRPr="00B74D5B">
        <w:rPr>
          <w:lang w:val="en-CA"/>
        </w:rPr>
        <w:t xml:space="preserve"> </w:t>
      </w:r>
      <w:r w:rsidRPr="00B74D5B">
        <w:rPr>
          <w:lang w:val="en-CA"/>
        </w:rPr>
        <w:tab/>
      </w:r>
      <w:r w:rsidRPr="00B74D5B">
        <w:rPr>
          <w:i/>
          <w:iCs/>
          <w:lang w:val="en-CA"/>
        </w:rPr>
        <w:t>R.</w:t>
      </w:r>
      <w:r w:rsidRPr="00B74D5B">
        <w:rPr>
          <w:lang w:val="en-CA"/>
        </w:rPr>
        <w:t xml:space="preserve"> c. </w:t>
      </w:r>
      <w:r w:rsidRPr="00B74D5B">
        <w:rPr>
          <w:i/>
          <w:iCs/>
          <w:lang w:val="en-CA"/>
        </w:rPr>
        <w:t>Laforgia</w:t>
      </w:r>
      <w:r w:rsidRPr="00B74D5B">
        <w:rPr>
          <w:lang w:val="en-CA"/>
        </w:rPr>
        <w:t>, 2021 QCCQ 7788, p</w:t>
      </w:r>
      <w:r>
        <w:rPr>
          <w:lang w:val="en-CA"/>
        </w:rPr>
        <w:t>ar. 18.</w:t>
      </w:r>
    </w:p>
  </w:footnote>
  <w:footnote w:id="71">
    <w:p w:rsidR="009F1DA4" w:rsidRDefault="00DD71E8">
      <w:pPr>
        <w:pStyle w:val="Notedebasdepage"/>
      </w:pPr>
      <w:r>
        <w:rPr>
          <w:rStyle w:val="Appelnotedebasdep"/>
        </w:rPr>
        <w:footnoteRef/>
      </w:r>
      <w:r>
        <w:t xml:space="preserve"> </w:t>
      </w:r>
      <w:r>
        <w:tab/>
      </w:r>
      <w:r w:rsidRPr="009F1DA4">
        <w:rPr>
          <w:i/>
          <w:iCs/>
        </w:rPr>
        <w:t>R.</w:t>
      </w:r>
      <w:r>
        <w:t xml:space="preserve"> c. </w:t>
      </w:r>
      <w:r w:rsidRPr="005921CE">
        <w:rPr>
          <w:i/>
          <w:iCs/>
        </w:rPr>
        <w:t>Dupuis</w:t>
      </w:r>
      <w:r w:rsidRPr="005921CE">
        <w:t xml:space="preserve">, </w:t>
      </w:r>
      <w:r w:rsidR="009A2A5C" w:rsidRPr="005921CE">
        <w:rPr>
          <w:rFonts w:cs="Arial"/>
        </w:rPr>
        <w:t>C.Q. Joliette (Ch. crim.), n</w:t>
      </w:r>
      <w:r w:rsidR="009A2A5C" w:rsidRPr="005921CE">
        <w:rPr>
          <w:rFonts w:cs="Arial"/>
          <w:vertAlign w:val="superscript"/>
        </w:rPr>
        <w:t>o</w:t>
      </w:r>
      <w:r w:rsidRPr="005921CE">
        <w:t xml:space="preserve"> 705-01-093800-169, </w:t>
      </w:r>
      <w:r w:rsidR="009A2A5C" w:rsidRPr="005921CE">
        <w:t>2</w:t>
      </w:r>
      <w:r w:rsidR="006F0577" w:rsidRPr="005921CE">
        <w:t> </w:t>
      </w:r>
      <w:r w:rsidR="009A2A5C" w:rsidRPr="005921CE">
        <w:t xml:space="preserve">février 2018, </w:t>
      </w:r>
      <w:r w:rsidRPr="005921CE">
        <w:t>j</w:t>
      </w:r>
      <w:r w:rsidR="009A2A5C" w:rsidRPr="005921CE">
        <w:t>.</w:t>
      </w:r>
      <w:r w:rsidRPr="005921CE">
        <w:t xml:space="preserve"> Bellehumeur (appel rejeté, 2018 QCCA 68</w:t>
      </w:r>
      <w:r w:rsidR="005921CE" w:rsidRPr="005921CE">
        <w:t>8</w:t>
      </w:r>
      <w:r w:rsidRPr="005921CE">
        <w:t>).</w:t>
      </w:r>
    </w:p>
  </w:footnote>
  <w:footnote w:id="72">
    <w:p w:rsidR="00233FC6" w:rsidRDefault="00DD71E8">
      <w:pPr>
        <w:pStyle w:val="Notedebasdepage"/>
      </w:pPr>
      <w:r>
        <w:rPr>
          <w:rStyle w:val="Appelnotedebasdep"/>
        </w:rPr>
        <w:footnoteRef/>
      </w:r>
      <w:r>
        <w:t xml:space="preserve"> </w:t>
      </w:r>
      <w:r>
        <w:tab/>
      </w:r>
      <w:r w:rsidR="00CF3934">
        <w:t xml:space="preserve">C’est l’accusé lui-même qui a employé ce terme lorsqu’il a témoigné à l’audience sur la détermination de la peine. Par ailleurs, la défense soutient que l’accusé n’était qu’un </w:t>
      </w:r>
      <w:r w:rsidR="00CF3934" w:rsidRPr="00CF3934">
        <w:rPr>
          <w:i/>
          <w:iCs/>
        </w:rPr>
        <w:t>runner</w:t>
      </w:r>
      <w:r w:rsidR="00CF3934">
        <w:t xml:space="preserve"> (livreur) « facilement remplaçable », tandis que le poursuivant est d’avis que ses responsabilités étaient plus importantes faisant ainsi en sorte qu’il était « plus haut qu’un </w:t>
      </w:r>
      <w:r w:rsidR="00CF3934" w:rsidRPr="00CF3934">
        <w:rPr>
          <w:i/>
          <w:iCs/>
        </w:rPr>
        <w:t>runner</w:t>
      </w:r>
      <w:r w:rsidR="00CF3934">
        <w:t xml:space="preserve"> » dans la hiérarchie. Or, pour en faire une circonstance aggravante, il aurait fallu établir cet élément hors de tout doute raisonnable, ce qui n’a pas été fait en l’occurrence. </w:t>
      </w:r>
    </w:p>
  </w:footnote>
  <w:footnote w:id="73">
    <w:p w:rsidR="004418B4" w:rsidRPr="002316D2" w:rsidRDefault="00DD71E8">
      <w:pPr>
        <w:pStyle w:val="Notedebasdepage"/>
      </w:pPr>
      <w:r>
        <w:rPr>
          <w:rStyle w:val="Appelnotedebasdep"/>
        </w:rPr>
        <w:footnoteRef/>
      </w:r>
      <w:r>
        <w:t xml:space="preserve"> </w:t>
      </w:r>
      <w:r>
        <w:tab/>
      </w:r>
      <w:r w:rsidR="002316D2" w:rsidRPr="002316D2">
        <w:rPr>
          <w:i/>
          <w:iCs/>
        </w:rPr>
        <w:t>R.</w:t>
      </w:r>
      <w:r w:rsidR="002316D2">
        <w:t xml:space="preserve"> v. </w:t>
      </w:r>
      <w:r w:rsidRPr="002316D2">
        <w:rPr>
          <w:i/>
          <w:iCs/>
        </w:rPr>
        <w:t>Holmes</w:t>
      </w:r>
      <w:r w:rsidR="002316D2">
        <w:t>, 2014 ONSC 2986.</w:t>
      </w:r>
    </w:p>
  </w:footnote>
  <w:footnote w:id="74">
    <w:p w:rsidR="00F578FC" w:rsidRPr="002316D2" w:rsidRDefault="00DD71E8" w:rsidP="00F578FC">
      <w:pPr>
        <w:pStyle w:val="Notedebasdepage"/>
      </w:pPr>
      <w:r w:rsidRPr="002316D2">
        <w:rPr>
          <w:rStyle w:val="Appelnotedebasdep"/>
        </w:rPr>
        <w:footnoteRef/>
      </w:r>
      <w:r w:rsidRPr="002316D2">
        <w:t xml:space="preserve"> </w:t>
      </w:r>
      <w:r w:rsidRPr="002316D2">
        <w:tab/>
      </w:r>
      <w:r w:rsidR="002316D2" w:rsidRPr="002316D2">
        <w:rPr>
          <w:i/>
          <w:iCs/>
        </w:rPr>
        <w:t>R.</w:t>
      </w:r>
      <w:r w:rsidR="002316D2">
        <w:t xml:space="preserve"> c. </w:t>
      </w:r>
      <w:r w:rsidR="002316D2" w:rsidRPr="002316D2">
        <w:rPr>
          <w:i/>
          <w:iCs/>
        </w:rPr>
        <w:t>Dessureault</w:t>
      </w:r>
      <w:r w:rsidR="002316D2">
        <w:t>, 2010 QCCQ 4750.</w:t>
      </w:r>
    </w:p>
  </w:footnote>
  <w:footnote w:id="75">
    <w:p w:rsidR="004418B4" w:rsidRPr="002316D2" w:rsidRDefault="00DD71E8">
      <w:pPr>
        <w:pStyle w:val="Notedebasdepage"/>
      </w:pPr>
      <w:r w:rsidRPr="002316D2">
        <w:rPr>
          <w:rStyle w:val="Appelnotedebasdep"/>
        </w:rPr>
        <w:footnoteRef/>
      </w:r>
      <w:r w:rsidRPr="002316D2">
        <w:t xml:space="preserve"> </w:t>
      </w:r>
      <w:r w:rsidRPr="002316D2">
        <w:tab/>
      </w:r>
      <w:r w:rsidR="002316D2" w:rsidRPr="002316D2">
        <w:rPr>
          <w:i/>
          <w:iCs/>
        </w:rPr>
        <w:t>R.</w:t>
      </w:r>
      <w:r w:rsidR="002316D2">
        <w:t xml:space="preserve"> c. </w:t>
      </w:r>
      <w:r w:rsidRPr="002316D2">
        <w:rPr>
          <w:i/>
          <w:iCs/>
        </w:rPr>
        <w:t>Grenier</w:t>
      </w:r>
      <w:r w:rsidR="002316D2">
        <w:t xml:space="preserve">, 2016 QCCQ 6925 (appel </w:t>
      </w:r>
      <w:r w:rsidR="002316D2" w:rsidRPr="002316D2">
        <w:t>rejeté</w:t>
      </w:r>
      <w:r w:rsidR="000816E3">
        <w:t> :</w:t>
      </w:r>
      <w:r w:rsidR="002316D2" w:rsidRPr="002316D2">
        <w:t xml:space="preserve"> 2017 QCCA 57).</w:t>
      </w:r>
      <w:r w:rsidR="00497781" w:rsidRPr="002316D2">
        <w:t xml:space="preserve"> </w:t>
      </w:r>
    </w:p>
  </w:footnote>
  <w:footnote w:id="76">
    <w:p w:rsidR="00497781" w:rsidRPr="002316D2" w:rsidRDefault="00DD71E8">
      <w:pPr>
        <w:pStyle w:val="Notedebasdepage"/>
      </w:pPr>
      <w:r w:rsidRPr="002316D2">
        <w:rPr>
          <w:rStyle w:val="Appelnotedebasdep"/>
        </w:rPr>
        <w:footnoteRef/>
      </w:r>
      <w:r w:rsidRPr="002316D2">
        <w:t xml:space="preserve"> </w:t>
      </w:r>
      <w:r w:rsidRPr="002316D2">
        <w:tab/>
      </w:r>
      <w:r w:rsidR="002316D2" w:rsidRPr="002316D2">
        <w:rPr>
          <w:i/>
          <w:iCs/>
        </w:rPr>
        <w:t>R.</w:t>
      </w:r>
      <w:r w:rsidR="002316D2">
        <w:t xml:space="preserve"> c. </w:t>
      </w:r>
      <w:r w:rsidRPr="002316D2">
        <w:rPr>
          <w:i/>
          <w:iCs/>
        </w:rPr>
        <w:t>Côté</w:t>
      </w:r>
      <w:r w:rsidR="002316D2">
        <w:t>, 2020 QCCQ 75.</w:t>
      </w:r>
      <w:r w:rsidRPr="002316D2">
        <w:rPr>
          <w:sz w:val="30"/>
          <w:szCs w:val="30"/>
        </w:rPr>
        <w:t xml:space="preserve"> </w:t>
      </w:r>
    </w:p>
  </w:footnote>
  <w:footnote w:id="77">
    <w:p w:rsidR="007A5F2B" w:rsidRPr="002316D2" w:rsidRDefault="00DD71E8">
      <w:pPr>
        <w:pStyle w:val="Notedebasdepage"/>
      </w:pPr>
      <w:r w:rsidRPr="002316D2">
        <w:rPr>
          <w:rStyle w:val="Appelnotedebasdep"/>
        </w:rPr>
        <w:footnoteRef/>
      </w:r>
      <w:r w:rsidRPr="002316D2">
        <w:t xml:space="preserve"> </w:t>
      </w:r>
      <w:r w:rsidRPr="002316D2">
        <w:tab/>
      </w:r>
      <w:r w:rsidRPr="002316D2">
        <w:rPr>
          <w:i/>
          <w:iCs/>
        </w:rPr>
        <w:t>R.</w:t>
      </w:r>
      <w:r w:rsidRPr="002316D2">
        <w:t xml:space="preserve"> c. </w:t>
      </w:r>
      <w:r w:rsidRPr="002316D2">
        <w:rPr>
          <w:i/>
          <w:iCs/>
        </w:rPr>
        <w:t>Laforgia</w:t>
      </w:r>
      <w:r w:rsidRPr="002316D2">
        <w:t xml:space="preserve">, 2021 QCCQ 7788, par. 16-17. </w:t>
      </w:r>
    </w:p>
  </w:footnote>
  <w:footnote w:id="78">
    <w:p w:rsidR="007A5F2B" w:rsidRPr="002316D2" w:rsidRDefault="00DD71E8" w:rsidP="007A5F2B">
      <w:pPr>
        <w:pStyle w:val="Notedebasdepage"/>
      </w:pPr>
      <w:r w:rsidRPr="002316D2">
        <w:rPr>
          <w:rStyle w:val="Appelnotedebasdep"/>
        </w:rPr>
        <w:footnoteRef/>
      </w:r>
      <w:r w:rsidRPr="002316D2">
        <w:t xml:space="preserve"> </w:t>
      </w:r>
      <w:r w:rsidRPr="002316D2">
        <w:tab/>
        <w:t>SP-2.</w:t>
      </w:r>
    </w:p>
  </w:footnote>
  <w:footnote w:id="79">
    <w:p w:rsidR="008A7975" w:rsidRDefault="00DD71E8">
      <w:pPr>
        <w:pStyle w:val="Notedebasdepage"/>
      </w:pPr>
      <w:r>
        <w:rPr>
          <w:rStyle w:val="Appelnotedebasdep"/>
        </w:rPr>
        <w:footnoteRef/>
      </w:r>
      <w:r>
        <w:t xml:space="preserve"> </w:t>
      </w:r>
      <w:r>
        <w:tab/>
      </w:r>
      <w:r w:rsidRPr="002316D2">
        <w:rPr>
          <w:i/>
          <w:iCs/>
        </w:rPr>
        <w:t>R.</w:t>
      </w:r>
      <w:r>
        <w:t xml:space="preserve"> c. </w:t>
      </w:r>
      <w:r w:rsidRPr="002316D2">
        <w:rPr>
          <w:i/>
          <w:iCs/>
        </w:rPr>
        <w:t>Bernier</w:t>
      </w:r>
      <w:r>
        <w:t>, 2015 QCCA 963, par. 17.</w:t>
      </w:r>
    </w:p>
  </w:footnote>
  <w:footnote w:id="80">
    <w:p w:rsidR="009F1DA4" w:rsidRDefault="00DD71E8">
      <w:pPr>
        <w:pStyle w:val="Notedebasdepage"/>
      </w:pPr>
      <w:r>
        <w:rPr>
          <w:rStyle w:val="Appelnotedebasdep"/>
        </w:rPr>
        <w:footnoteRef/>
      </w:r>
      <w:r>
        <w:t xml:space="preserve"> </w:t>
      </w:r>
      <w:r>
        <w:tab/>
        <w:t xml:space="preserve">Voir les notes et autorités de la défense, onglet 2 (engagement avec conditions). </w:t>
      </w:r>
    </w:p>
  </w:footnote>
  <w:footnote w:id="81">
    <w:p w:rsidR="00532D40" w:rsidRPr="009A2A5C" w:rsidRDefault="00DD71E8">
      <w:pPr>
        <w:pStyle w:val="Notedebasdepage"/>
        <w:rPr>
          <w:sz w:val="30"/>
          <w:szCs w:val="30"/>
        </w:rPr>
      </w:pPr>
      <w:r>
        <w:rPr>
          <w:rStyle w:val="Appelnotedebasdep"/>
        </w:rPr>
        <w:footnoteRef/>
      </w:r>
      <w:r>
        <w:t xml:space="preserve"> </w:t>
      </w:r>
      <w:r>
        <w:tab/>
        <w:t xml:space="preserve">Elle </w:t>
      </w:r>
      <w:r w:rsidR="002316D2">
        <w:t>renvoi</w:t>
      </w:r>
      <w:r w:rsidR="00B724AE">
        <w:t>e</w:t>
      </w:r>
      <w:r w:rsidR="002316D2">
        <w:t xml:space="preserve"> </w:t>
      </w:r>
      <w:r>
        <w:t xml:space="preserve">à l’arrêt </w:t>
      </w:r>
      <w:r w:rsidR="002316D2" w:rsidRPr="002316D2">
        <w:rPr>
          <w:i/>
          <w:iCs/>
        </w:rPr>
        <w:t>R.</w:t>
      </w:r>
      <w:r w:rsidR="002316D2">
        <w:t xml:space="preserve"> c. </w:t>
      </w:r>
      <w:r w:rsidRPr="002316D2">
        <w:rPr>
          <w:i/>
          <w:iCs/>
        </w:rPr>
        <w:t>Middleton</w:t>
      </w:r>
      <w:r w:rsidR="002316D2">
        <w:t>, 2009 CSC 21.</w:t>
      </w:r>
    </w:p>
  </w:footnote>
  <w:footnote w:id="82">
    <w:p w:rsidR="00E371D5" w:rsidRDefault="00DD71E8">
      <w:pPr>
        <w:pStyle w:val="Notedebasdepage"/>
      </w:pPr>
      <w:r>
        <w:rPr>
          <w:rStyle w:val="Appelnotedebasdep"/>
        </w:rPr>
        <w:footnoteRef/>
      </w:r>
      <w:r>
        <w:t xml:space="preserve"> </w:t>
      </w:r>
      <w:r>
        <w:tab/>
      </w:r>
      <w:r w:rsidRPr="00E371D5">
        <w:rPr>
          <w:i/>
          <w:iCs/>
        </w:rPr>
        <w:t>Charrière</w:t>
      </w:r>
      <w:r>
        <w:t xml:space="preserve"> c. </w:t>
      </w:r>
      <w:r w:rsidRPr="00E371D5">
        <w:rPr>
          <w:i/>
          <w:iCs/>
        </w:rPr>
        <w:t>R.</w:t>
      </w:r>
      <w:r>
        <w:t>, 2021 QCCA 1338</w:t>
      </w:r>
      <w:r w:rsidR="00261248">
        <w:t xml:space="preserve"> (autorisation d’appel rejetée, C.S.C., 2022-04-28, 39913).</w:t>
      </w:r>
    </w:p>
  </w:footnote>
  <w:footnote w:id="83">
    <w:p w:rsidR="00FC1F55" w:rsidRPr="009A2A5C" w:rsidRDefault="00DD71E8">
      <w:pPr>
        <w:pStyle w:val="Notedebasdepage"/>
        <w:rPr>
          <w:sz w:val="30"/>
          <w:szCs w:val="30"/>
        </w:rPr>
      </w:pPr>
      <w:r>
        <w:rPr>
          <w:rStyle w:val="Appelnotedebasdep"/>
        </w:rPr>
        <w:footnoteRef/>
      </w:r>
      <w:r>
        <w:t xml:space="preserve"> </w:t>
      </w:r>
      <w:r>
        <w:tab/>
      </w:r>
      <w:r w:rsidR="002316D2" w:rsidRPr="002316D2">
        <w:rPr>
          <w:i/>
          <w:iCs/>
        </w:rPr>
        <w:t>R.</w:t>
      </w:r>
      <w:r w:rsidR="002316D2">
        <w:t xml:space="preserve"> c. </w:t>
      </w:r>
      <w:r w:rsidR="002316D2" w:rsidRPr="002316D2">
        <w:rPr>
          <w:i/>
          <w:iCs/>
        </w:rPr>
        <w:t>Proulx</w:t>
      </w:r>
      <w:r w:rsidR="002316D2">
        <w:t>, 2000 CSC 5.</w:t>
      </w:r>
    </w:p>
  </w:footnote>
  <w:footnote w:id="84">
    <w:p w:rsidR="00AA7B28" w:rsidRDefault="00DD71E8" w:rsidP="00AA7B28">
      <w:pPr>
        <w:pStyle w:val="Notedebasdepage"/>
      </w:pPr>
      <w:r>
        <w:rPr>
          <w:rStyle w:val="Appelnotedebasdep"/>
        </w:rPr>
        <w:footnoteRef/>
      </w:r>
      <w:r>
        <w:t xml:space="preserve"> </w:t>
      </w:r>
      <w:r>
        <w:tab/>
        <w:t xml:space="preserve">La défense </w:t>
      </w:r>
      <w:r w:rsidRPr="00E25D81">
        <w:t xml:space="preserve">réfère </w:t>
      </w:r>
      <w:r>
        <w:t xml:space="preserve">à ce sujet à </w:t>
      </w:r>
      <w:r w:rsidRPr="00E25D81">
        <w:t xml:space="preserve">l’arrêt </w:t>
      </w:r>
      <w:r w:rsidRPr="00E25D81">
        <w:rPr>
          <w:i/>
          <w:iCs/>
        </w:rPr>
        <w:t>Harbour</w:t>
      </w:r>
      <w:r w:rsidRPr="00E25D81">
        <w:t xml:space="preserve"> c. </w:t>
      </w:r>
      <w:r w:rsidRPr="00E25D81">
        <w:rPr>
          <w:i/>
          <w:iCs/>
        </w:rPr>
        <w:t>R.</w:t>
      </w:r>
      <w:r w:rsidRPr="00E25D81">
        <w:t>, 2017 QCCA 204.</w:t>
      </w:r>
    </w:p>
  </w:footnote>
  <w:footnote w:id="85">
    <w:p w:rsidR="008A7975" w:rsidRDefault="00DD71E8" w:rsidP="008A7975">
      <w:pPr>
        <w:pStyle w:val="Notedebasdepage"/>
      </w:pPr>
      <w:r>
        <w:rPr>
          <w:rStyle w:val="Appelnotedebasdep"/>
        </w:rPr>
        <w:footnoteRef/>
      </w:r>
      <w:r>
        <w:t xml:space="preserve"> </w:t>
      </w:r>
      <w:r>
        <w:tab/>
        <w:t>Notamment à la lumière des principes mentionnés aux par. 2</w:t>
      </w:r>
      <w:r w:rsidR="00116C8F">
        <w:t>2</w:t>
      </w:r>
      <w:r>
        <w:t xml:space="preserve"> et suiv. du présent jugement et ceux de retenue et de modération codifiés à l’art. 718.2</w:t>
      </w:r>
      <w:r w:rsidR="00116C8F">
        <w:t xml:space="preserve"> </w:t>
      </w:r>
      <w:r>
        <w:t>d) C.cr.</w:t>
      </w:r>
    </w:p>
  </w:footnote>
  <w:footnote w:id="86">
    <w:p w:rsidR="001D39F3" w:rsidRDefault="00DD71E8">
      <w:pPr>
        <w:pStyle w:val="Notedebasdepage"/>
      </w:pPr>
      <w:r>
        <w:rPr>
          <w:rStyle w:val="Appelnotedebasdep"/>
        </w:rPr>
        <w:footnoteRef/>
      </w:r>
      <w:r>
        <w:t xml:space="preserve"> </w:t>
      </w:r>
      <w:r>
        <w:tab/>
        <w:t>Soit les chefs 6 et 11.</w:t>
      </w:r>
    </w:p>
  </w:footnote>
  <w:footnote w:id="87">
    <w:p w:rsidR="001D39F3" w:rsidRPr="001D39F3" w:rsidRDefault="00DD71E8">
      <w:pPr>
        <w:pStyle w:val="Notedebasdepage"/>
      </w:pPr>
      <w:r>
        <w:rPr>
          <w:rStyle w:val="Appelnotedebasdep"/>
        </w:rPr>
        <w:footnoteRef/>
      </w:r>
      <w:r>
        <w:t xml:space="preserve"> </w:t>
      </w:r>
      <w:r>
        <w:tab/>
      </w:r>
      <w:r>
        <w:rPr>
          <w:color w:val="000000"/>
        </w:rPr>
        <w:t xml:space="preserve">L’objectif de la </w:t>
      </w:r>
      <w:r w:rsidRPr="001D39F3">
        <w:rPr>
          <w:color w:val="000000"/>
        </w:rPr>
        <w:t>peine discontinue, tout comme celui de la peine avec sursis, est de permettre à l’accusé de purger sa peine le plus possible dans la collectivité</w:t>
      </w:r>
      <w:r w:rsidR="00BD7B62">
        <w:rPr>
          <w:color w:val="000000"/>
        </w:rPr>
        <w:t xml:space="preserve"> (</w:t>
      </w:r>
      <w:r w:rsidRPr="00BD7B62">
        <w:rPr>
          <w:i/>
          <w:iCs/>
          <w:color w:val="000000"/>
        </w:rPr>
        <w:t>R.</w:t>
      </w:r>
      <w:r w:rsidRPr="001D39F3">
        <w:rPr>
          <w:color w:val="000000"/>
        </w:rPr>
        <w:t xml:space="preserve"> c. </w:t>
      </w:r>
      <w:r w:rsidRPr="00BD7B62">
        <w:rPr>
          <w:i/>
          <w:iCs/>
          <w:color w:val="000000"/>
        </w:rPr>
        <w:t>Middleton</w:t>
      </w:r>
      <w:r w:rsidRPr="001D39F3">
        <w:rPr>
          <w:color w:val="000000"/>
        </w:rPr>
        <w:t xml:space="preserve">, 2009 CSC </w:t>
      </w:r>
      <w:r w:rsidR="002316D2">
        <w:rPr>
          <w:color w:val="000000"/>
        </w:rPr>
        <w:t>21</w:t>
      </w:r>
      <w:r w:rsidRPr="001D39F3">
        <w:rPr>
          <w:color w:val="000000"/>
        </w:rPr>
        <w:t>, par. 39</w:t>
      </w:r>
      <w:r w:rsidR="00BD7B62">
        <w:rPr>
          <w:color w:val="000000"/>
        </w:rPr>
        <w:t>)</w:t>
      </w:r>
      <w:r w:rsidRPr="001D39F3">
        <w:rPr>
          <w:color w:val="000000"/>
        </w:rPr>
        <w:t xml:space="preserve">. </w:t>
      </w:r>
      <w:r w:rsidR="00BD7B62">
        <w:rPr>
          <w:color w:val="000000"/>
        </w:rPr>
        <w:t>Par ailleurs, la peine discontinue ét</w:t>
      </w:r>
      <w:r w:rsidRPr="001D39F3">
        <w:rPr>
          <w:color w:val="000000"/>
        </w:rPr>
        <w:t xml:space="preserve">ablit un </w:t>
      </w:r>
      <w:r w:rsidR="00BD7B62">
        <w:rPr>
          <w:color w:val="000000"/>
        </w:rPr>
        <w:t>« </w:t>
      </w:r>
      <w:r w:rsidRPr="001D39F3">
        <w:rPr>
          <w:color w:val="000000"/>
        </w:rPr>
        <w:t>équilibre législatif entre la fonction de réprobation et de dissuasion du temps réellement passé en prison et celle de la réadaptation qui se traduit par la préservation de l’emploi du délinquant, de ses liens familiaux, ainsi que de ses obligations envers sa famille et la collectivité</w:t>
      </w:r>
      <w:r w:rsidR="00BD7B62">
        <w:rPr>
          <w:color w:val="000000"/>
        </w:rPr>
        <w:t> » (</w:t>
      </w:r>
      <w:r w:rsidR="00BD7B62" w:rsidRPr="00BD7B62">
        <w:rPr>
          <w:i/>
          <w:iCs/>
          <w:color w:val="000000"/>
        </w:rPr>
        <w:t>R.</w:t>
      </w:r>
      <w:r w:rsidR="00BD7B62">
        <w:rPr>
          <w:color w:val="000000"/>
        </w:rPr>
        <w:t xml:space="preserve"> c. </w:t>
      </w:r>
      <w:r w:rsidR="00BD7B62" w:rsidRPr="00BD7B62">
        <w:rPr>
          <w:i/>
          <w:iCs/>
          <w:color w:val="000000"/>
        </w:rPr>
        <w:t>Middleton</w:t>
      </w:r>
      <w:r w:rsidR="00BD7B62">
        <w:rPr>
          <w:color w:val="000000"/>
        </w:rPr>
        <w:t xml:space="preserve">, 2009 CSC </w:t>
      </w:r>
      <w:r w:rsidR="002316D2">
        <w:rPr>
          <w:color w:val="000000"/>
        </w:rPr>
        <w:t>21</w:t>
      </w:r>
      <w:r w:rsidR="00BD7B62">
        <w:rPr>
          <w:color w:val="000000"/>
        </w:rPr>
        <w:t>, par. 45).</w:t>
      </w:r>
    </w:p>
  </w:footnote>
  <w:footnote w:id="88">
    <w:p w:rsidR="00F93FF3" w:rsidRDefault="00DD71E8">
      <w:pPr>
        <w:pStyle w:val="Notedebasdepage"/>
      </w:pPr>
      <w:r>
        <w:rPr>
          <w:rStyle w:val="Appelnotedebasdep"/>
        </w:rPr>
        <w:footnoteRef/>
      </w:r>
      <w:r>
        <w:t xml:space="preserve"> </w:t>
      </w:r>
      <w:r>
        <w:tab/>
      </w:r>
      <w:r w:rsidRPr="00F93FF3">
        <w:rPr>
          <w:i/>
          <w:iCs/>
        </w:rPr>
        <w:t>Laguerre</w:t>
      </w:r>
      <w:r>
        <w:t xml:space="preserve"> c. </w:t>
      </w:r>
      <w:r w:rsidRPr="00F93FF3">
        <w:rPr>
          <w:i/>
          <w:iCs/>
        </w:rPr>
        <w:t>R.</w:t>
      </w:r>
      <w:r>
        <w:t>, 2021 QCCA 1537, par. 30.</w:t>
      </w:r>
    </w:p>
  </w:footnote>
  <w:footnote w:id="89">
    <w:p w:rsidR="00E52634" w:rsidRPr="002E3BDC" w:rsidRDefault="00DD71E8">
      <w:pPr>
        <w:pStyle w:val="Notedebasdepage"/>
      </w:pPr>
      <w:r>
        <w:rPr>
          <w:rStyle w:val="Appelnotedebasdep"/>
        </w:rPr>
        <w:footnoteRef/>
      </w:r>
      <w:r w:rsidRPr="002E3BDC">
        <w:t xml:space="preserve"> </w:t>
      </w:r>
      <w:r w:rsidRPr="002E3BDC">
        <w:tab/>
        <w:t>Art. 732.1(2) C.cr.</w:t>
      </w:r>
    </w:p>
  </w:footnote>
  <w:footnote w:id="90">
    <w:p w:rsidR="00E52634" w:rsidRDefault="00DD71E8">
      <w:pPr>
        <w:pStyle w:val="Notedebasdepage"/>
      </w:pPr>
      <w:r>
        <w:rPr>
          <w:rStyle w:val="Appelnotedebasdep"/>
        </w:rPr>
        <w:footnoteRef/>
      </w:r>
      <w:r>
        <w:t xml:space="preserve"> </w:t>
      </w:r>
      <w:r>
        <w:tab/>
        <w:t>Argent trouvé</w:t>
      </w:r>
      <w:r w:rsidRPr="00383E30">
        <w:t xml:space="preserve"> en possession de l’accusé lors de son arrestation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6F0" w:rsidRDefault="00E916F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634" w:rsidRDefault="00DD71E8">
    <w:pPr>
      <w:tabs>
        <w:tab w:val="center" w:pos="4709"/>
        <w:tab w:val="right" w:pos="9360"/>
      </w:tabs>
      <w:ind w:right="524"/>
    </w:pPr>
    <w:r>
      <w:t>500-01-</w:t>
    </w:r>
    <w:r w:rsidR="00DE7C60">
      <w:t>195794-190</w:t>
    </w:r>
    <w:r>
      <w:tab/>
    </w:r>
    <w:r>
      <w:tab/>
      <w:t xml:space="preserve">PAGE : </w:t>
    </w:r>
    <w:r>
      <w:fldChar w:fldCharType="begin"/>
    </w:r>
    <w:r>
      <w:instrText xml:space="preserve"> PAGE </w:instrText>
    </w:r>
    <w:r>
      <w:fldChar w:fldCharType="separate"/>
    </w:r>
    <w:r w:rsidR="003679AA">
      <w:rPr>
        <w:noProof/>
      </w:rPr>
      <w:t>7</w:t>
    </w:r>
    <w:r>
      <w:fldChar w:fldCharType="end"/>
    </w:r>
  </w:p>
  <w:p w:rsidR="00E52634" w:rsidRDefault="00E52634">
    <w:pPr>
      <w:tabs>
        <w:tab w:val="center" w:pos="4709"/>
        <w:tab w:val="right" w:pos="9090"/>
      </w:tabs>
      <w:ind w:right="52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6F0" w:rsidRDefault="00E916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3C53"/>
    <w:multiLevelType w:val="hybridMultilevel"/>
    <w:tmpl w:val="7A101D0E"/>
    <w:lvl w:ilvl="0" w:tplc="5BD22546">
      <w:start w:val="1"/>
      <w:numFmt w:val="decimal"/>
      <w:lvlText w:val="%1)"/>
      <w:lvlJc w:val="left"/>
      <w:pPr>
        <w:ind w:left="686" w:hanging="360"/>
      </w:pPr>
      <w:rPr>
        <w:rFonts w:hint="default"/>
      </w:rPr>
    </w:lvl>
    <w:lvl w:ilvl="1" w:tplc="3E862E40" w:tentative="1">
      <w:start w:val="1"/>
      <w:numFmt w:val="lowerLetter"/>
      <w:lvlText w:val="%2."/>
      <w:lvlJc w:val="left"/>
      <w:pPr>
        <w:ind w:left="1406" w:hanging="360"/>
      </w:pPr>
    </w:lvl>
    <w:lvl w:ilvl="2" w:tplc="A99C6A90" w:tentative="1">
      <w:start w:val="1"/>
      <w:numFmt w:val="lowerRoman"/>
      <w:lvlText w:val="%3."/>
      <w:lvlJc w:val="right"/>
      <w:pPr>
        <w:ind w:left="2126" w:hanging="180"/>
      </w:pPr>
    </w:lvl>
    <w:lvl w:ilvl="3" w:tplc="9CB2C5CA" w:tentative="1">
      <w:start w:val="1"/>
      <w:numFmt w:val="decimal"/>
      <w:lvlText w:val="%4."/>
      <w:lvlJc w:val="left"/>
      <w:pPr>
        <w:ind w:left="2846" w:hanging="360"/>
      </w:pPr>
    </w:lvl>
    <w:lvl w:ilvl="4" w:tplc="533A4E56" w:tentative="1">
      <w:start w:val="1"/>
      <w:numFmt w:val="lowerLetter"/>
      <w:lvlText w:val="%5."/>
      <w:lvlJc w:val="left"/>
      <w:pPr>
        <w:ind w:left="3566" w:hanging="360"/>
      </w:pPr>
    </w:lvl>
    <w:lvl w:ilvl="5" w:tplc="B4E8BA50" w:tentative="1">
      <w:start w:val="1"/>
      <w:numFmt w:val="lowerRoman"/>
      <w:lvlText w:val="%6."/>
      <w:lvlJc w:val="right"/>
      <w:pPr>
        <w:ind w:left="4286" w:hanging="180"/>
      </w:pPr>
    </w:lvl>
    <w:lvl w:ilvl="6" w:tplc="4452579A" w:tentative="1">
      <w:start w:val="1"/>
      <w:numFmt w:val="decimal"/>
      <w:lvlText w:val="%7."/>
      <w:lvlJc w:val="left"/>
      <w:pPr>
        <w:ind w:left="5006" w:hanging="360"/>
      </w:pPr>
    </w:lvl>
    <w:lvl w:ilvl="7" w:tplc="15BE62C0" w:tentative="1">
      <w:start w:val="1"/>
      <w:numFmt w:val="lowerLetter"/>
      <w:lvlText w:val="%8."/>
      <w:lvlJc w:val="left"/>
      <w:pPr>
        <w:ind w:left="5726" w:hanging="360"/>
      </w:pPr>
    </w:lvl>
    <w:lvl w:ilvl="8" w:tplc="DDF6B9E4" w:tentative="1">
      <w:start w:val="1"/>
      <w:numFmt w:val="lowerRoman"/>
      <w:lvlText w:val="%9."/>
      <w:lvlJc w:val="right"/>
      <w:pPr>
        <w:ind w:left="6446" w:hanging="180"/>
      </w:pPr>
    </w:lvl>
  </w:abstractNum>
  <w:abstractNum w:abstractNumId="1" w15:restartNumberingAfterBreak="0">
    <w:nsid w:val="0BFB59F8"/>
    <w:multiLevelType w:val="hybridMultilevel"/>
    <w:tmpl w:val="960CB91A"/>
    <w:lvl w:ilvl="0" w:tplc="2CEE0F92">
      <w:start w:val="1"/>
      <w:numFmt w:val="bullet"/>
      <w:lvlText w:val=""/>
      <w:lvlJc w:val="left"/>
      <w:pPr>
        <w:ind w:left="2618" w:hanging="360"/>
      </w:pPr>
      <w:rPr>
        <w:rFonts w:ascii="Wingdings" w:hAnsi="Wingdings" w:hint="default"/>
      </w:rPr>
    </w:lvl>
    <w:lvl w:ilvl="1" w:tplc="D13A5016" w:tentative="1">
      <w:start w:val="1"/>
      <w:numFmt w:val="bullet"/>
      <w:lvlText w:val="o"/>
      <w:lvlJc w:val="left"/>
      <w:pPr>
        <w:ind w:left="3338" w:hanging="360"/>
      </w:pPr>
      <w:rPr>
        <w:rFonts w:ascii="Courier New" w:hAnsi="Courier New" w:cs="Courier New" w:hint="default"/>
      </w:rPr>
    </w:lvl>
    <w:lvl w:ilvl="2" w:tplc="CB287578" w:tentative="1">
      <w:start w:val="1"/>
      <w:numFmt w:val="bullet"/>
      <w:lvlText w:val=""/>
      <w:lvlJc w:val="left"/>
      <w:pPr>
        <w:ind w:left="4058" w:hanging="360"/>
      </w:pPr>
      <w:rPr>
        <w:rFonts w:ascii="Wingdings" w:hAnsi="Wingdings" w:hint="default"/>
      </w:rPr>
    </w:lvl>
    <w:lvl w:ilvl="3" w:tplc="DAC2EF36" w:tentative="1">
      <w:start w:val="1"/>
      <w:numFmt w:val="bullet"/>
      <w:lvlText w:val=""/>
      <w:lvlJc w:val="left"/>
      <w:pPr>
        <w:ind w:left="4778" w:hanging="360"/>
      </w:pPr>
      <w:rPr>
        <w:rFonts w:ascii="Symbol" w:hAnsi="Symbol" w:hint="default"/>
      </w:rPr>
    </w:lvl>
    <w:lvl w:ilvl="4" w:tplc="8724E386" w:tentative="1">
      <w:start w:val="1"/>
      <w:numFmt w:val="bullet"/>
      <w:lvlText w:val="o"/>
      <w:lvlJc w:val="left"/>
      <w:pPr>
        <w:ind w:left="5498" w:hanging="360"/>
      </w:pPr>
      <w:rPr>
        <w:rFonts w:ascii="Courier New" w:hAnsi="Courier New" w:cs="Courier New" w:hint="default"/>
      </w:rPr>
    </w:lvl>
    <w:lvl w:ilvl="5" w:tplc="2FD46432" w:tentative="1">
      <w:start w:val="1"/>
      <w:numFmt w:val="bullet"/>
      <w:lvlText w:val=""/>
      <w:lvlJc w:val="left"/>
      <w:pPr>
        <w:ind w:left="6218" w:hanging="360"/>
      </w:pPr>
      <w:rPr>
        <w:rFonts w:ascii="Wingdings" w:hAnsi="Wingdings" w:hint="default"/>
      </w:rPr>
    </w:lvl>
    <w:lvl w:ilvl="6" w:tplc="2968F228" w:tentative="1">
      <w:start w:val="1"/>
      <w:numFmt w:val="bullet"/>
      <w:lvlText w:val=""/>
      <w:lvlJc w:val="left"/>
      <w:pPr>
        <w:ind w:left="6938" w:hanging="360"/>
      </w:pPr>
      <w:rPr>
        <w:rFonts w:ascii="Symbol" w:hAnsi="Symbol" w:hint="default"/>
      </w:rPr>
    </w:lvl>
    <w:lvl w:ilvl="7" w:tplc="72D00760" w:tentative="1">
      <w:start w:val="1"/>
      <w:numFmt w:val="bullet"/>
      <w:lvlText w:val="o"/>
      <w:lvlJc w:val="left"/>
      <w:pPr>
        <w:ind w:left="7658" w:hanging="360"/>
      </w:pPr>
      <w:rPr>
        <w:rFonts w:ascii="Courier New" w:hAnsi="Courier New" w:cs="Courier New" w:hint="default"/>
      </w:rPr>
    </w:lvl>
    <w:lvl w:ilvl="8" w:tplc="27703D2E" w:tentative="1">
      <w:start w:val="1"/>
      <w:numFmt w:val="bullet"/>
      <w:lvlText w:val=""/>
      <w:lvlJc w:val="left"/>
      <w:pPr>
        <w:ind w:left="8378" w:hanging="360"/>
      </w:pPr>
      <w:rPr>
        <w:rFonts w:ascii="Wingdings" w:hAnsi="Wingdings" w:hint="default"/>
      </w:rPr>
    </w:lvl>
  </w:abstractNum>
  <w:abstractNum w:abstractNumId="2" w15:restartNumberingAfterBreak="0">
    <w:nsid w:val="205E7F78"/>
    <w:multiLevelType w:val="hybridMultilevel"/>
    <w:tmpl w:val="FAEE2752"/>
    <w:lvl w:ilvl="0" w:tplc="E738E3C2">
      <w:start w:val="1"/>
      <w:numFmt w:val="bullet"/>
      <w:lvlText w:val=""/>
      <w:lvlJc w:val="left"/>
      <w:pPr>
        <w:ind w:left="2618" w:hanging="360"/>
      </w:pPr>
      <w:rPr>
        <w:rFonts w:ascii="Wingdings" w:hAnsi="Wingdings" w:hint="default"/>
      </w:rPr>
    </w:lvl>
    <w:lvl w:ilvl="1" w:tplc="3F7862FE" w:tentative="1">
      <w:start w:val="1"/>
      <w:numFmt w:val="bullet"/>
      <w:lvlText w:val="o"/>
      <w:lvlJc w:val="left"/>
      <w:pPr>
        <w:ind w:left="3338" w:hanging="360"/>
      </w:pPr>
      <w:rPr>
        <w:rFonts w:ascii="Courier New" w:hAnsi="Courier New" w:cs="Courier New" w:hint="default"/>
      </w:rPr>
    </w:lvl>
    <w:lvl w:ilvl="2" w:tplc="44C0F72C" w:tentative="1">
      <w:start w:val="1"/>
      <w:numFmt w:val="bullet"/>
      <w:lvlText w:val=""/>
      <w:lvlJc w:val="left"/>
      <w:pPr>
        <w:ind w:left="4058" w:hanging="360"/>
      </w:pPr>
      <w:rPr>
        <w:rFonts w:ascii="Wingdings" w:hAnsi="Wingdings" w:hint="default"/>
      </w:rPr>
    </w:lvl>
    <w:lvl w:ilvl="3" w:tplc="FFA632F4" w:tentative="1">
      <w:start w:val="1"/>
      <w:numFmt w:val="bullet"/>
      <w:lvlText w:val=""/>
      <w:lvlJc w:val="left"/>
      <w:pPr>
        <w:ind w:left="4778" w:hanging="360"/>
      </w:pPr>
      <w:rPr>
        <w:rFonts w:ascii="Symbol" w:hAnsi="Symbol" w:hint="default"/>
      </w:rPr>
    </w:lvl>
    <w:lvl w:ilvl="4" w:tplc="41303F7A" w:tentative="1">
      <w:start w:val="1"/>
      <w:numFmt w:val="bullet"/>
      <w:lvlText w:val="o"/>
      <w:lvlJc w:val="left"/>
      <w:pPr>
        <w:ind w:left="5498" w:hanging="360"/>
      </w:pPr>
      <w:rPr>
        <w:rFonts w:ascii="Courier New" w:hAnsi="Courier New" w:cs="Courier New" w:hint="default"/>
      </w:rPr>
    </w:lvl>
    <w:lvl w:ilvl="5" w:tplc="BE7C564C" w:tentative="1">
      <w:start w:val="1"/>
      <w:numFmt w:val="bullet"/>
      <w:lvlText w:val=""/>
      <w:lvlJc w:val="left"/>
      <w:pPr>
        <w:ind w:left="6218" w:hanging="360"/>
      </w:pPr>
      <w:rPr>
        <w:rFonts w:ascii="Wingdings" w:hAnsi="Wingdings" w:hint="default"/>
      </w:rPr>
    </w:lvl>
    <w:lvl w:ilvl="6" w:tplc="15F4B094" w:tentative="1">
      <w:start w:val="1"/>
      <w:numFmt w:val="bullet"/>
      <w:lvlText w:val=""/>
      <w:lvlJc w:val="left"/>
      <w:pPr>
        <w:ind w:left="6938" w:hanging="360"/>
      </w:pPr>
      <w:rPr>
        <w:rFonts w:ascii="Symbol" w:hAnsi="Symbol" w:hint="default"/>
      </w:rPr>
    </w:lvl>
    <w:lvl w:ilvl="7" w:tplc="9E408884" w:tentative="1">
      <w:start w:val="1"/>
      <w:numFmt w:val="bullet"/>
      <w:lvlText w:val="o"/>
      <w:lvlJc w:val="left"/>
      <w:pPr>
        <w:ind w:left="7658" w:hanging="360"/>
      </w:pPr>
      <w:rPr>
        <w:rFonts w:ascii="Courier New" w:hAnsi="Courier New" w:cs="Courier New" w:hint="default"/>
      </w:rPr>
    </w:lvl>
    <w:lvl w:ilvl="8" w:tplc="C59A6254" w:tentative="1">
      <w:start w:val="1"/>
      <w:numFmt w:val="bullet"/>
      <w:lvlText w:val=""/>
      <w:lvlJc w:val="left"/>
      <w:pPr>
        <w:ind w:left="8378" w:hanging="360"/>
      </w:pPr>
      <w:rPr>
        <w:rFonts w:ascii="Wingdings" w:hAnsi="Wingdings" w:hint="default"/>
      </w:rPr>
    </w:lvl>
  </w:abstractNum>
  <w:abstractNum w:abstractNumId="3" w15:restartNumberingAfterBreak="0">
    <w:nsid w:val="370A39B0"/>
    <w:multiLevelType w:val="hybridMultilevel"/>
    <w:tmpl w:val="9C8413B4"/>
    <w:lvl w:ilvl="0" w:tplc="2B909CBE">
      <w:start w:val="1"/>
      <w:numFmt w:val="decimal"/>
      <w:lvlText w:val="%1)"/>
      <w:lvlJc w:val="left"/>
      <w:pPr>
        <w:ind w:left="1094" w:hanging="360"/>
      </w:pPr>
    </w:lvl>
    <w:lvl w:ilvl="1" w:tplc="A2620094" w:tentative="1">
      <w:start w:val="1"/>
      <w:numFmt w:val="lowerLetter"/>
      <w:lvlText w:val="%2."/>
      <w:lvlJc w:val="left"/>
      <w:pPr>
        <w:ind w:left="1814" w:hanging="360"/>
      </w:pPr>
    </w:lvl>
    <w:lvl w:ilvl="2" w:tplc="6B8C682E" w:tentative="1">
      <w:start w:val="1"/>
      <w:numFmt w:val="lowerRoman"/>
      <w:lvlText w:val="%3."/>
      <w:lvlJc w:val="right"/>
      <w:pPr>
        <w:ind w:left="2534" w:hanging="180"/>
      </w:pPr>
    </w:lvl>
    <w:lvl w:ilvl="3" w:tplc="07405B0E" w:tentative="1">
      <w:start w:val="1"/>
      <w:numFmt w:val="decimal"/>
      <w:lvlText w:val="%4."/>
      <w:lvlJc w:val="left"/>
      <w:pPr>
        <w:ind w:left="3254" w:hanging="360"/>
      </w:pPr>
    </w:lvl>
    <w:lvl w:ilvl="4" w:tplc="987A01C6" w:tentative="1">
      <w:start w:val="1"/>
      <w:numFmt w:val="lowerLetter"/>
      <w:lvlText w:val="%5."/>
      <w:lvlJc w:val="left"/>
      <w:pPr>
        <w:ind w:left="3974" w:hanging="360"/>
      </w:pPr>
    </w:lvl>
    <w:lvl w:ilvl="5" w:tplc="537E6946" w:tentative="1">
      <w:start w:val="1"/>
      <w:numFmt w:val="lowerRoman"/>
      <w:lvlText w:val="%6."/>
      <w:lvlJc w:val="right"/>
      <w:pPr>
        <w:ind w:left="4694" w:hanging="180"/>
      </w:pPr>
    </w:lvl>
    <w:lvl w:ilvl="6" w:tplc="2758A6CC" w:tentative="1">
      <w:start w:val="1"/>
      <w:numFmt w:val="decimal"/>
      <w:lvlText w:val="%7."/>
      <w:lvlJc w:val="left"/>
      <w:pPr>
        <w:ind w:left="5414" w:hanging="360"/>
      </w:pPr>
    </w:lvl>
    <w:lvl w:ilvl="7" w:tplc="6A467BD2" w:tentative="1">
      <w:start w:val="1"/>
      <w:numFmt w:val="lowerLetter"/>
      <w:lvlText w:val="%8."/>
      <w:lvlJc w:val="left"/>
      <w:pPr>
        <w:ind w:left="6134" w:hanging="360"/>
      </w:pPr>
    </w:lvl>
    <w:lvl w:ilvl="8" w:tplc="C79C46EC" w:tentative="1">
      <w:start w:val="1"/>
      <w:numFmt w:val="lowerRoman"/>
      <w:lvlText w:val="%9."/>
      <w:lvlJc w:val="right"/>
      <w:pPr>
        <w:ind w:left="6854" w:hanging="180"/>
      </w:pPr>
    </w:lvl>
  </w:abstractNum>
  <w:abstractNum w:abstractNumId="4" w15:restartNumberingAfterBreak="0">
    <w:nsid w:val="42057826"/>
    <w:multiLevelType w:val="hybridMultilevel"/>
    <w:tmpl w:val="891ED940"/>
    <w:lvl w:ilvl="0" w:tplc="74541E8A">
      <w:start w:val="1"/>
      <w:numFmt w:val="lowerLetter"/>
      <w:lvlText w:val="%1)"/>
      <w:lvlJc w:val="left"/>
      <w:pPr>
        <w:ind w:left="1450" w:hanging="360"/>
      </w:pPr>
      <w:rPr>
        <w:rFonts w:cs="Arial" w:hint="default"/>
        <w:color w:val="000000"/>
      </w:rPr>
    </w:lvl>
    <w:lvl w:ilvl="1" w:tplc="E224F968" w:tentative="1">
      <w:start w:val="1"/>
      <w:numFmt w:val="lowerLetter"/>
      <w:lvlText w:val="%2."/>
      <w:lvlJc w:val="left"/>
      <w:pPr>
        <w:ind w:left="2170" w:hanging="360"/>
      </w:pPr>
    </w:lvl>
    <w:lvl w:ilvl="2" w:tplc="ACD86274" w:tentative="1">
      <w:start w:val="1"/>
      <w:numFmt w:val="lowerRoman"/>
      <w:lvlText w:val="%3."/>
      <w:lvlJc w:val="right"/>
      <w:pPr>
        <w:ind w:left="2890" w:hanging="180"/>
      </w:pPr>
    </w:lvl>
    <w:lvl w:ilvl="3" w:tplc="6B26211A" w:tentative="1">
      <w:start w:val="1"/>
      <w:numFmt w:val="decimal"/>
      <w:lvlText w:val="%4."/>
      <w:lvlJc w:val="left"/>
      <w:pPr>
        <w:ind w:left="3610" w:hanging="360"/>
      </w:pPr>
    </w:lvl>
    <w:lvl w:ilvl="4" w:tplc="69C89A4A" w:tentative="1">
      <w:start w:val="1"/>
      <w:numFmt w:val="lowerLetter"/>
      <w:lvlText w:val="%5."/>
      <w:lvlJc w:val="left"/>
      <w:pPr>
        <w:ind w:left="4330" w:hanging="360"/>
      </w:pPr>
    </w:lvl>
    <w:lvl w:ilvl="5" w:tplc="B232BD08" w:tentative="1">
      <w:start w:val="1"/>
      <w:numFmt w:val="lowerRoman"/>
      <w:lvlText w:val="%6."/>
      <w:lvlJc w:val="right"/>
      <w:pPr>
        <w:ind w:left="5050" w:hanging="180"/>
      </w:pPr>
    </w:lvl>
    <w:lvl w:ilvl="6" w:tplc="79CE665A" w:tentative="1">
      <w:start w:val="1"/>
      <w:numFmt w:val="decimal"/>
      <w:lvlText w:val="%7."/>
      <w:lvlJc w:val="left"/>
      <w:pPr>
        <w:ind w:left="5770" w:hanging="360"/>
      </w:pPr>
    </w:lvl>
    <w:lvl w:ilvl="7" w:tplc="00DE975C" w:tentative="1">
      <w:start w:val="1"/>
      <w:numFmt w:val="lowerLetter"/>
      <w:lvlText w:val="%8."/>
      <w:lvlJc w:val="left"/>
      <w:pPr>
        <w:ind w:left="6490" w:hanging="360"/>
      </w:pPr>
    </w:lvl>
    <w:lvl w:ilvl="8" w:tplc="10BC5C7A" w:tentative="1">
      <w:start w:val="1"/>
      <w:numFmt w:val="lowerRoman"/>
      <w:lvlText w:val="%9."/>
      <w:lvlJc w:val="right"/>
      <w:pPr>
        <w:ind w:left="7210" w:hanging="180"/>
      </w:pPr>
    </w:lvl>
  </w:abstractNum>
  <w:abstractNum w:abstractNumId="5" w15:restartNumberingAfterBreak="0">
    <w:nsid w:val="438914A9"/>
    <w:multiLevelType w:val="hybridMultilevel"/>
    <w:tmpl w:val="B624F070"/>
    <w:lvl w:ilvl="0" w:tplc="6D62BB0A">
      <w:start w:val="1"/>
      <w:numFmt w:val="bullet"/>
      <w:lvlText w:val=""/>
      <w:lvlJc w:val="left"/>
      <w:pPr>
        <w:ind w:left="1828" w:hanging="360"/>
      </w:pPr>
      <w:rPr>
        <w:rFonts w:ascii="Symbol" w:hAnsi="Symbol" w:hint="default"/>
      </w:rPr>
    </w:lvl>
    <w:lvl w:ilvl="1" w:tplc="E368A02C" w:tentative="1">
      <w:start w:val="1"/>
      <w:numFmt w:val="bullet"/>
      <w:lvlText w:val="o"/>
      <w:lvlJc w:val="left"/>
      <w:pPr>
        <w:ind w:left="2548" w:hanging="360"/>
      </w:pPr>
      <w:rPr>
        <w:rFonts w:ascii="Courier New" w:hAnsi="Courier New" w:cs="Courier New" w:hint="default"/>
      </w:rPr>
    </w:lvl>
    <w:lvl w:ilvl="2" w:tplc="67468A18" w:tentative="1">
      <w:start w:val="1"/>
      <w:numFmt w:val="bullet"/>
      <w:lvlText w:val=""/>
      <w:lvlJc w:val="left"/>
      <w:pPr>
        <w:ind w:left="3268" w:hanging="360"/>
      </w:pPr>
      <w:rPr>
        <w:rFonts w:ascii="Wingdings" w:hAnsi="Wingdings" w:hint="default"/>
      </w:rPr>
    </w:lvl>
    <w:lvl w:ilvl="3" w:tplc="41AA6CC0" w:tentative="1">
      <w:start w:val="1"/>
      <w:numFmt w:val="bullet"/>
      <w:lvlText w:val=""/>
      <w:lvlJc w:val="left"/>
      <w:pPr>
        <w:ind w:left="3988" w:hanging="360"/>
      </w:pPr>
      <w:rPr>
        <w:rFonts w:ascii="Symbol" w:hAnsi="Symbol" w:hint="default"/>
      </w:rPr>
    </w:lvl>
    <w:lvl w:ilvl="4" w:tplc="61BAA1E8" w:tentative="1">
      <w:start w:val="1"/>
      <w:numFmt w:val="bullet"/>
      <w:lvlText w:val="o"/>
      <w:lvlJc w:val="left"/>
      <w:pPr>
        <w:ind w:left="4708" w:hanging="360"/>
      </w:pPr>
      <w:rPr>
        <w:rFonts w:ascii="Courier New" w:hAnsi="Courier New" w:cs="Courier New" w:hint="default"/>
      </w:rPr>
    </w:lvl>
    <w:lvl w:ilvl="5" w:tplc="EA1A9942" w:tentative="1">
      <w:start w:val="1"/>
      <w:numFmt w:val="bullet"/>
      <w:lvlText w:val=""/>
      <w:lvlJc w:val="left"/>
      <w:pPr>
        <w:ind w:left="5428" w:hanging="360"/>
      </w:pPr>
      <w:rPr>
        <w:rFonts w:ascii="Wingdings" w:hAnsi="Wingdings" w:hint="default"/>
      </w:rPr>
    </w:lvl>
    <w:lvl w:ilvl="6" w:tplc="00C249B2" w:tentative="1">
      <w:start w:val="1"/>
      <w:numFmt w:val="bullet"/>
      <w:lvlText w:val=""/>
      <w:lvlJc w:val="left"/>
      <w:pPr>
        <w:ind w:left="6148" w:hanging="360"/>
      </w:pPr>
      <w:rPr>
        <w:rFonts w:ascii="Symbol" w:hAnsi="Symbol" w:hint="default"/>
      </w:rPr>
    </w:lvl>
    <w:lvl w:ilvl="7" w:tplc="A5A42FF2" w:tentative="1">
      <w:start w:val="1"/>
      <w:numFmt w:val="bullet"/>
      <w:lvlText w:val="o"/>
      <w:lvlJc w:val="left"/>
      <w:pPr>
        <w:ind w:left="6868" w:hanging="360"/>
      </w:pPr>
      <w:rPr>
        <w:rFonts w:ascii="Courier New" w:hAnsi="Courier New" w:cs="Courier New" w:hint="default"/>
      </w:rPr>
    </w:lvl>
    <w:lvl w:ilvl="8" w:tplc="AB8E1848" w:tentative="1">
      <w:start w:val="1"/>
      <w:numFmt w:val="bullet"/>
      <w:lvlText w:val=""/>
      <w:lvlJc w:val="left"/>
      <w:pPr>
        <w:ind w:left="7588" w:hanging="360"/>
      </w:pPr>
      <w:rPr>
        <w:rFonts w:ascii="Wingdings" w:hAnsi="Wingdings" w:hint="default"/>
      </w:rPr>
    </w:lvl>
  </w:abstractNum>
  <w:abstractNum w:abstractNumId="6" w15:restartNumberingAfterBreak="0">
    <w:nsid w:val="4E637B11"/>
    <w:multiLevelType w:val="hybridMultilevel"/>
    <w:tmpl w:val="282095C4"/>
    <w:lvl w:ilvl="0" w:tplc="BDBC77AE">
      <w:start w:val="1"/>
      <w:numFmt w:val="decimal"/>
      <w:lvlText w:val="%1)"/>
      <w:lvlJc w:val="left"/>
      <w:pPr>
        <w:ind w:left="1090" w:hanging="360"/>
      </w:pPr>
      <w:rPr>
        <w:rFonts w:hint="default"/>
      </w:rPr>
    </w:lvl>
    <w:lvl w:ilvl="1" w:tplc="A86E3720">
      <w:start w:val="1"/>
      <w:numFmt w:val="lowerLetter"/>
      <w:lvlText w:val="%2."/>
      <w:lvlJc w:val="left"/>
      <w:pPr>
        <w:ind w:left="1810" w:hanging="360"/>
      </w:pPr>
    </w:lvl>
    <w:lvl w:ilvl="2" w:tplc="380A2DFE" w:tentative="1">
      <w:start w:val="1"/>
      <w:numFmt w:val="lowerRoman"/>
      <w:lvlText w:val="%3."/>
      <w:lvlJc w:val="right"/>
      <w:pPr>
        <w:ind w:left="2530" w:hanging="180"/>
      </w:pPr>
    </w:lvl>
    <w:lvl w:ilvl="3" w:tplc="F61C4502" w:tentative="1">
      <w:start w:val="1"/>
      <w:numFmt w:val="decimal"/>
      <w:lvlText w:val="%4."/>
      <w:lvlJc w:val="left"/>
      <w:pPr>
        <w:ind w:left="3250" w:hanging="360"/>
      </w:pPr>
    </w:lvl>
    <w:lvl w:ilvl="4" w:tplc="BB180B30" w:tentative="1">
      <w:start w:val="1"/>
      <w:numFmt w:val="lowerLetter"/>
      <w:lvlText w:val="%5."/>
      <w:lvlJc w:val="left"/>
      <w:pPr>
        <w:ind w:left="3970" w:hanging="360"/>
      </w:pPr>
    </w:lvl>
    <w:lvl w:ilvl="5" w:tplc="8E6C5FC2" w:tentative="1">
      <w:start w:val="1"/>
      <w:numFmt w:val="lowerRoman"/>
      <w:lvlText w:val="%6."/>
      <w:lvlJc w:val="right"/>
      <w:pPr>
        <w:ind w:left="4690" w:hanging="180"/>
      </w:pPr>
    </w:lvl>
    <w:lvl w:ilvl="6" w:tplc="EA14C5E4" w:tentative="1">
      <w:start w:val="1"/>
      <w:numFmt w:val="decimal"/>
      <w:lvlText w:val="%7."/>
      <w:lvlJc w:val="left"/>
      <w:pPr>
        <w:ind w:left="5410" w:hanging="360"/>
      </w:pPr>
    </w:lvl>
    <w:lvl w:ilvl="7" w:tplc="47ECA95A" w:tentative="1">
      <w:start w:val="1"/>
      <w:numFmt w:val="lowerLetter"/>
      <w:lvlText w:val="%8."/>
      <w:lvlJc w:val="left"/>
      <w:pPr>
        <w:ind w:left="6130" w:hanging="360"/>
      </w:pPr>
    </w:lvl>
    <w:lvl w:ilvl="8" w:tplc="83AA81C6" w:tentative="1">
      <w:start w:val="1"/>
      <w:numFmt w:val="lowerRoman"/>
      <w:lvlText w:val="%9."/>
      <w:lvlJc w:val="right"/>
      <w:pPr>
        <w:ind w:left="6850" w:hanging="180"/>
      </w:pPr>
    </w:lvl>
  </w:abstractNum>
  <w:abstractNum w:abstractNumId="7" w15:restartNumberingAfterBreak="0">
    <w:nsid w:val="5AF06009"/>
    <w:multiLevelType w:val="hybridMultilevel"/>
    <w:tmpl w:val="0E869CF4"/>
    <w:lvl w:ilvl="0" w:tplc="F288D7A0">
      <w:start w:val="1"/>
      <w:numFmt w:val="decimal"/>
      <w:lvlText w:val="(%1)"/>
      <w:lvlJc w:val="left"/>
      <w:pPr>
        <w:ind w:left="1250" w:hanging="520"/>
      </w:pPr>
      <w:rPr>
        <w:rFonts w:hint="default"/>
      </w:rPr>
    </w:lvl>
    <w:lvl w:ilvl="1" w:tplc="D6FE4D18" w:tentative="1">
      <w:start w:val="1"/>
      <w:numFmt w:val="lowerLetter"/>
      <w:lvlText w:val="%2."/>
      <w:lvlJc w:val="left"/>
      <w:pPr>
        <w:ind w:left="1810" w:hanging="360"/>
      </w:pPr>
    </w:lvl>
    <w:lvl w:ilvl="2" w:tplc="0E7ADE02" w:tentative="1">
      <w:start w:val="1"/>
      <w:numFmt w:val="lowerRoman"/>
      <w:lvlText w:val="%3."/>
      <w:lvlJc w:val="right"/>
      <w:pPr>
        <w:ind w:left="2530" w:hanging="180"/>
      </w:pPr>
    </w:lvl>
    <w:lvl w:ilvl="3" w:tplc="79D20482" w:tentative="1">
      <w:start w:val="1"/>
      <w:numFmt w:val="decimal"/>
      <w:lvlText w:val="%4."/>
      <w:lvlJc w:val="left"/>
      <w:pPr>
        <w:ind w:left="3250" w:hanging="360"/>
      </w:pPr>
    </w:lvl>
    <w:lvl w:ilvl="4" w:tplc="618CA09E" w:tentative="1">
      <w:start w:val="1"/>
      <w:numFmt w:val="lowerLetter"/>
      <w:lvlText w:val="%5."/>
      <w:lvlJc w:val="left"/>
      <w:pPr>
        <w:ind w:left="3970" w:hanging="360"/>
      </w:pPr>
    </w:lvl>
    <w:lvl w:ilvl="5" w:tplc="6D1665CC" w:tentative="1">
      <w:start w:val="1"/>
      <w:numFmt w:val="lowerRoman"/>
      <w:lvlText w:val="%6."/>
      <w:lvlJc w:val="right"/>
      <w:pPr>
        <w:ind w:left="4690" w:hanging="180"/>
      </w:pPr>
    </w:lvl>
    <w:lvl w:ilvl="6" w:tplc="E134189C" w:tentative="1">
      <w:start w:val="1"/>
      <w:numFmt w:val="decimal"/>
      <w:lvlText w:val="%7."/>
      <w:lvlJc w:val="left"/>
      <w:pPr>
        <w:ind w:left="5410" w:hanging="360"/>
      </w:pPr>
    </w:lvl>
    <w:lvl w:ilvl="7" w:tplc="900801F2" w:tentative="1">
      <w:start w:val="1"/>
      <w:numFmt w:val="lowerLetter"/>
      <w:lvlText w:val="%8."/>
      <w:lvlJc w:val="left"/>
      <w:pPr>
        <w:ind w:left="6130" w:hanging="360"/>
      </w:pPr>
    </w:lvl>
    <w:lvl w:ilvl="8" w:tplc="E8E66460" w:tentative="1">
      <w:start w:val="1"/>
      <w:numFmt w:val="lowerRoman"/>
      <w:lvlText w:val="%9."/>
      <w:lvlJc w:val="right"/>
      <w:pPr>
        <w:ind w:left="6850" w:hanging="180"/>
      </w:pPr>
    </w:lvl>
  </w:abstractNum>
  <w:abstractNum w:abstractNumId="8" w15:restartNumberingAfterBreak="0">
    <w:nsid w:val="609C0DCC"/>
    <w:multiLevelType w:val="multilevel"/>
    <w:tmpl w:val="C1848992"/>
    <w:lvl w:ilvl="0">
      <w:start w:val="1"/>
      <w:numFmt w:val="decimal"/>
      <w:pStyle w:val="Paragraphe"/>
      <w:lvlText w:val="[%1]"/>
      <w:lvlJc w:val="left"/>
      <w:pPr>
        <w:tabs>
          <w:tab w:val="num" w:pos="360"/>
        </w:tabs>
        <w:ind w:left="0" w:firstLine="0"/>
      </w:pPr>
      <w:rPr>
        <w:rFonts w:ascii="Arial" w:hAnsi="Arial" w:hint="default"/>
        <w:b w:val="0"/>
        <w:i w:val="0"/>
        <w:sz w:val="24"/>
      </w:rPr>
    </w:lvl>
    <w:lvl w:ilvl="1">
      <w:start w:val="1"/>
      <w:numFmt w:val="decimal"/>
      <w:pStyle w:val="Sous-paragraphe"/>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7ED761A9"/>
    <w:multiLevelType w:val="hybridMultilevel"/>
    <w:tmpl w:val="D21880F4"/>
    <w:lvl w:ilvl="0" w:tplc="9EEC3D02">
      <w:start w:val="1"/>
      <w:numFmt w:val="bullet"/>
      <w:lvlText w:val=""/>
      <w:lvlJc w:val="left"/>
      <w:pPr>
        <w:ind w:left="1456" w:hanging="360"/>
      </w:pPr>
      <w:rPr>
        <w:rFonts w:ascii="Symbol" w:hAnsi="Symbol" w:hint="default"/>
      </w:rPr>
    </w:lvl>
    <w:lvl w:ilvl="1" w:tplc="DB4A40AA" w:tentative="1">
      <w:start w:val="1"/>
      <w:numFmt w:val="bullet"/>
      <w:lvlText w:val="o"/>
      <w:lvlJc w:val="left"/>
      <w:pPr>
        <w:ind w:left="2176" w:hanging="360"/>
      </w:pPr>
      <w:rPr>
        <w:rFonts w:ascii="Courier New" w:hAnsi="Courier New" w:cs="Courier New" w:hint="default"/>
      </w:rPr>
    </w:lvl>
    <w:lvl w:ilvl="2" w:tplc="36EEB72C" w:tentative="1">
      <w:start w:val="1"/>
      <w:numFmt w:val="bullet"/>
      <w:lvlText w:val=""/>
      <w:lvlJc w:val="left"/>
      <w:pPr>
        <w:ind w:left="2896" w:hanging="360"/>
      </w:pPr>
      <w:rPr>
        <w:rFonts w:ascii="Wingdings" w:hAnsi="Wingdings" w:hint="default"/>
      </w:rPr>
    </w:lvl>
    <w:lvl w:ilvl="3" w:tplc="B914E96E" w:tentative="1">
      <w:start w:val="1"/>
      <w:numFmt w:val="bullet"/>
      <w:lvlText w:val=""/>
      <w:lvlJc w:val="left"/>
      <w:pPr>
        <w:ind w:left="3616" w:hanging="360"/>
      </w:pPr>
      <w:rPr>
        <w:rFonts w:ascii="Symbol" w:hAnsi="Symbol" w:hint="default"/>
      </w:rPr>
    </w:lvl>
    <w:lvl w:ilvl="4" w:tplc="E5DE2D36" w:tentative="1">
      <w:start w:val="1"/>
      <w:numFmt w:val="bullet"/>
      <w:lvlText w:val="o"/>
      <w:lvlJc w:val="left"/>
      <w:pPr>
        <w:ind w:left="4336" w:hanging="360"/>
      </w:pPr>
      <w:rPr>
        <w:rFonts w:ascii="Courier New" w:hAnsi="Courier New" w:cs="Courier New" w:hint="default"/>
      </w:rPr>
    </w:lvl>
    <w:lvl w:ilvl="5" w:tplc="B88C685E" w:tentative="1">
      <w:start w:val="1"/>
      <w:numFmt w:val="bullet"/>
      <w:lvlText w:val=""/>
      <w:lvlJc w:val="left"/>
      <w:pPr>
        <w:ind w:left="5056" w:hanging="360"/>
      </w:pPr>
      <w:rPr>
        <w:rFonts w:ascii="Wingdings" w:hAnsi="Wingdings" w:hint="default"/>
      </w:rPr>
    </w:lvl>
    <w:lvl w:ilvl="6" w:tplc="4D6CB27A" w:tentative="1">
      <w:start w:val="1"/>
      <w:numFmt w:val="bullet"/>
      <w:lvlText w:val=""/>
      <w:lvlJc w:val="left"/>
      <w:pPr>
        <w:ind w:left="5776" w:hanging="360"/>
      </w:pPr>
      <w:rPr>
        <w:rFonts w:ascii="Symbol" w:hAnsi="Symbol" w:hint="default"/>
      </w:rPr>
    </w:lvl>
    <w:lvl w:ilvl="7" w:tplc="A5F2C6A6" w:tentative="1">
      <w:start w:val="1"/>
      <w:numFmt w:val="bullet"/>
      <w:lvlText w:val="o"/>
      <w:lvlJc w:val="left"/>
      <w:pPr>
        <w:ind w:left="6496" w:hanging="360"/>
      </w:pPr>
      <w:rPr>
        <w:rFonts w:ascii="Courier New" w:hAnsi="Courier New" w:cs="Courier New" w:hint="default"/>
      </w:rPr>
    </w:lvl>
    <w:lvl w:ilvl="8" w:tplc="764E0F5A" w:tentative="1">
      <w:start w:val="1"/>
      <w:numFmt w:val="bullet"/>
      <w:lvlText w:val=""/>
      <w:lvlJc w:val="left"/>
      <w:pPr>
        <w:ind w:left="7216" w:hanging="360"/>
      </w:pPr>
      <w:rPr>
        <w:rFonts w:ascii="Wingdings" w:hAnsi="Wingdings" w:hint="default"/>
      </w:rPr>
    </w:lvl>
  </w:abstractNum>
  <w:num w:numId="1">
    <w:abstractNumId w:val="8"/>
  </w:num>
  <w:num w:numId="2">
    <w:abstractNumId w:val="0"/>
  </w:num>
  <w:num w:numId="3">
    <w:abstractNumId w:val="9"/>
  </w:num>
  <w:num w:numId="4">
    <w:abstractNumId w:val="1"/>
  </w:num>
  <w:num w:numId="5">
    <w:abstractNumId w:val="2"/>
  </w:num>
  <w:num w:numId="6">
    <w:abstractNumId w:val="8"/>
  </w:num>
  <w:num w:numId="7">
    <w:abstractNumId w:val="8"/>
  </w:num>
  <w:num w:numId="8">
    <w:abstractNumId w:val="3"/>
  </w:num>
  <w:num w:numId="9">
    <w:abstractNumId w:val="7"/>
  </w:num>
  <w:num w:numId="10">
    <w:abstractNumId w:val="8"/>
  </w:num>
  <w:num w:numId="11">
    <w:abstractNumId w:val="8"/>
  </w:num>
  <w:num w:numId="12">
    <w:abstractNumId w:val="8"/>
  </w:num>
  <w:num w:numId="13">
    <w:abstractNumId w:val="6"/>
  </w:num>
  <w:num w:numId="14">
    <w:abstractNumId w:val="4"/>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5"/>
  </w:num>
  <w:num w:numId="2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PersonalInformation/>
  <w:removeDateAndTime/>
  <w:defaultTabStop w:val="734"/>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54A"/>
    <w:rsid w:val="00002AAB"/>
    <w:rsid w:val="00003D81"/>
    <w:rsid w:val="00014977"/>
    <w:rsid w:val="00017CAE"/>
    <w:rsid w:val="000231B1"/>
    <w:rsid w:val="00023571"/>
    <w:rsid w:val="0002531E"/>
    <w:rsid w:val="00026DFE"/>
    <w:rsid w:val="0002745F"/>
    <w:rsid w:val="00031B02"/>
    <w:rsid w:val="0003353F"/>
    <w:rsid w:val="00034A4A"/>
    <w:rsid w:val="000369C8"/>
    <w:rsid w:val="00036C93"/>
    <w:rsid w:val="00040389"/>
    <w:rsid w:val="00040F5A"/>
    <w:rsid w:val="00041D92"/>
    <w:rsid w:val="0004384B"/>
    <w:rsid w:val="000454DC"/>
    <w:rsid w:val="00051C6F"/>
    <w:rsid w:val="000538C7"/>
    <w:rsid w:val="00053DF4"/>
    <w:rsid w:val="0005797D"/>
    <w:rsid w:val="00060720"/>
    <w:rsid w:val="00062745"/>
    <w:rsid w:val="00064547"/>
    <w:rsid w:val="000665C4"/>
    <w:rsid w:val="000668A2"/>
    <w:rsid w:val="0007130F"/>
    <w:rsid w:val="00072539"/>
    <w:rsid w:val="00073EE0"/>
    <w:rsid w:val="0007483F"/>
    <w:rsid w:val="00074932"/>
    <w:rsid w:val="0007583A"/>
    <w:rsid w:val="0008038A"/>
    <w:rsid w:val="00080AEA"/>
    <w:rsid w:val="00080CCC"/>
    <w:rsid w:val="000816E3"/>
    <w:rsid w:val="000869B2"/>
    <w:rsid w:val="00090257"/>
    <w:rsid w:val="000908D0"/>
    <w:rsid w:val="000914C6"/>
    <w:rsid w:val="0009569F"/>
    <w:rsid w:val="00096D87"/>
    <w:rsid w:val="000A16AB"/>
    <w:rsid w:val="000A16B7"/>
    <w:rsid w:val="000A17EE"/>
    <w:rsid w:val="000A19DE"/>
    <w:rsid w:val="000A4BCE"/>
    <w:rsid w:val="000A6603"/>
    <w:rsid w:val="000B0983"/>
    <w:rsid w:val="000B1ED1"/>
    <w:rsid w:val="000B3BF3"/>
    <w:rsid w:val="000B5FAF"/>
    <w:rsid w:val="000C0CC0"/>
    <w:rsid w:val="000C0D59"/>
    <w:rsid w:val="000C219E"/>
    <w:rsid w:val="000D5442"/>
    <w:rsid w:val="000D66B3"/>
    <w:rsid w:val="000E0237"/>
    <w:rsid w:val="000E127E"/>
    <w:rsid w:val="000E4DBD"/>
    <w:rsid w:val="000F208B"/>
    <w:rsid w:val="000F252B"/>
    <w:rsid w:val="000F449E"/>
    <w:rsid w:val="00100E9F"/>
    <w:rsid w:val="0010119E"/>
    <w:rsid w:val="001017B2"/>
    <w:rsid w:val="001019ED"/>
    <w:rsid w:val="00102407"/>
    <w:rsid w:val="0010255E"/>
    <w:rsid w:val="0010350D"/>
    <w:rsid w:val="00105478"/>
    <w:rsid w:val="00110E7C"/>
    <w:rsid w:val="00113620"/>
    <w:rsid w:val="0011563C"/>
    <w:rsid w:val="00115B88"/>
    <w:rsid w:val="00115F32"/>
    <w:rsid w:val="001161ED"/>
    <w:rsid w:val="00116C8F"/>
    <w:rsid w:val="0012061E"/>
    <w:rsid w:val="001219FA"/>
    <w:rsid w:val="00121E66"/>
    <w:rsid w:val="00122238"/>
    <w:rsid w:val="00123711"/>
    <w:rsid w:val="00124945"/>
    <w:rsid w:val="00127334"/>
    <w:rsid w:val="001305BC"/>
    <w:rsid w:val="00131B2F"/>
    <w:rsid w:val="00132797"/>
    <w:rsid w:val="001372D7"/>
    <w:rsid w:val="001373E0"/>
    <w:rsid w:val="00137D85"/>
    <w:rsid w:val="00142725"/>
    <w:rsid w:val="00144BA2"/>
    <w:rsid w:val="001453EA"/>
    <w:rsid w:val="001456CF"/>
    <w:rsid w:val="0014573D"/>
    <w:rsid w:val="00146312"/>
    <w:rsid w:val="001500A4"/>
    <w:rsid w:val="001536FA"/>
    <w:rsid w:val="00154402"/>
    <w:rsid w:val="0015559F"/>
    <w:rsid w:val="00155C58"/>
    <w:rsid w:val="00161669"/>
    <w:rsid w:val="00162576"/>
    <w:rsid w:val="0016313B"/>
    <w:rsid w:val="00164DC2"/>
    <w:rsid w:val="00165F9D"/>
    <w:rsid w:val="001667C7"/>
    <w:rsid w:val="00167154"/>
    <w:rsid w:val="00170937"/>
    <w:rsid w:val="00171869"/>
    <w:rsid w:val="00171A16"/>
    <w:rsid w:val="0017643A"/>
    <w:rsid w:val="00180243"/>
    <w:rsid w:val="001819AD"/>
    <w:rsid w:val="00184B86"/>
    <w:rsid w:val="00184FE8"/>
    <w:rsid w:val="00190A3A"/>
    <w:rsid w:val="00191704"/>
    <w:rsid w:val="00192058"/>
    <w:rsid w:val="001934E5"/>
    <w:rsid w:val="00194F4D"/>
    <w:rsid w:val="0019723D"/>
    <w:rsid w:val="001A2107"/>
    <w:rsid w:val="001A6916"/>
    <w:rsid w:val="001B0772"/>
    <w:rsid w:val="001B0FB6"/>
    <w:rsid w:val="001B1CC8"/>
    <w:rsid w:val="001B25AD"/>
    <w:rsid w:val="001B2FD3"/>
    <w:rsid w:val="001B515F"/>
    <w:rsid w:val="001B58E3"/>
    <w:rsid w:val="001B74AE"/>
    <w:rsid w:val="001C35BE"/>
    <w:rsid w:val="001C433E"/>
    <w:rsid w:val="001C5BFA"/>
    <w:rsid w:val="001D1516"/>
    <w:rsid w:val="001D1C69"/>
    <w:rsid w:val="001D30AC"/>
    <w:rsid w:val="001D39F3"/>
    <w:rsid w:val="001E0897"/>
    <w:rsid w:val="001E1268"/>
    <w:rsid w:val="001E205E"/>
    <w:rsid w:val="001E23E9"/>
    <w:rsid w:val="001E4877"/>
    <w:rsid w:val="001E6B48"/>
    <w:rsid w:val="001E7B0F"/>
    <w:rsid w:val="001E7E14"/>
    <w:rsid w:val="001F1F46"/>
    <w:rsid w:val="001F2D4D"/>
    <w:rsid w:val="001F2EC2"/>
    <w:rsid w:val="001F6286"/>
    <w:rsid w:val="00202875"/>
    <w:rsid w:val="00202DB4"/>
    <w:rsid w:val="00205736"/>
    <w:rsid w:val="002113EB"/>
    <w:rsid w:val="00212028"/>
    <w:rsid w:val="002123A3"/>
    <w:rsid w:val="00212971"/>
    <w:rsid w:val="00216031"/>
    <w:rsid w:val="002171C5"/>
    <w:rsid w:val="002225FA"/>
    <w:rsid w:val="00222E14"/>
    <w:rsid w:val="00226317"/>
    <w:rsid w:val="002275FE"/>
    <w:rsid w:val="00231213"/>
    <w:rsid w:val="002316D2"/>
    <w:rsid w:val="00232F1A"/>
    <w:rsid w:val="00233FC6"/>
    <w:rsid w:val="00234556"/>
    <w:rsid w:val="00234F50"/>
    <w:rsid w:val="0023523C"/>
    <w:rsid w:val="00236500"/>
    <w:rsid w:val="00237F41"/>
    <w:rsid w:val="00240019"/>
    <w:rsid w:val="002415E3"/>
    <w:rsid w:val="002427FD"/>
    <w:rsid w:val="00243E10"/>
    <w:rsid w:val="0024541C"/>
    <w:rsid w:val="002464AD"/>
    <w:rsid w:val="0024654A"/>
    <w:rsid w:val="002501FA"/>
    <w:rsid w:val="00250631"/>
    <w:rsid w:val="00251FDD"/>
    <w:rsid w:val="002526A6"/>
    <w:rsid w:val="002542EF"/>
    <w:rsid w:val="00255460"/>
    <w:rsid w:val="00261248"/>
    <w:rsid w:val="00263FC6"/>
    <w:rsid w:val="002646A7"/>
    <w:rsid w:val="0026536E"/>
    <w:rsid w:val="00266779"/>
    <w:rsid w:val="00267374"/>
    <w:rsid w:val="00267712"/>
    <w:rsid w:val="00267FF6"/>
    <w:rsid w:val="00272FBD"/>
    <w:rsid w:val="00274442"/>
    <w:rsid w:val="002828C0"/>
    <w:rsid w:val="0028451B"/>
    <w:rsid w:val="00285C20"/>
    <w:rsid w:val="002876E7"/>
    <w:rsid w:val="00291F6F"/>
    <w:rsid w:val="00295A68"/>
    <w:rsid w:val="00297485"/>
    <w:rsid w:val="002A07DC"/>
    <w:rsid w:val="002A11DE"/>
    <w:rsid w:val="002A1E88"/>
    <w:rsid w:val="002A4039"/>
    <w:rsid w:val="002A413C"/>
    <w:rsid w:val="002A4C22"/>
    <w:rsid w:val="002B1014"/>
    <w:rsid w:val="002B1F65"/>
    <w:rsid w:val="002B240E"/>
    <w:rsid w:val="002B2E70"/>
    <w:rsid w:val="002B4485"/>
    <w:rsid w:val="002C1165"/>
    <w:rsid w:val="002C43A0"/>
    <w:rsid w:val="002C509D"/>
    <w:rsid w:val="002C5A5F"/>
    <w:rsid w:val="002C79C9"/>
    <w:rsid w:val="002D0068"/>
    <w:rsid w:val="002D22D6"/>
    <w:rsid w:val="002D318C"/>
    <w:rsid w:val="002D32A8"/>
    <w:rsid w:val="002D42E8"/>
    <w:rsid w:val="002D4D02"/>
    <w:rsid w:val="002D6B46"/>
    <w:rsid w:val="002D71FC"/>
    <w:rsid w:val="002D7317"/>
    <w:rsid w:val="002D768F"/>
    <w:rsid w:val="002E1788"/>
    <w:rsid w:val="002E2601"/>
    <w:rsid w:val="002E2C41"/>
    <w:rsid w:val="002E3604"/>
    <w:rsid w:val="002E3BDC"/>
    <w:rsid w:val="002E4A84"/>
    <w:rsid w:val="002E4C64"/>
    <w:rsid w:val="002E5733"/>
    <w:rsid w:val="002E6B4C"/>
    <w:rsid w:val="002F0876"/>
    <w:rsid w:val="002F1E9F"/>
    <w:rsid w:val="002F2341"/>
    <w:rsid w:val="002F2373"/>
    <w:rsid w:val="002F4CA2"/>
    <w:rsid w:val="003022A9"/>
    <w:rsid w:val="00304483"/>
    <w:rsid w:val="00312246"/>
    <w:rsid w:val="00314AA6"/>
    <w:rsid w:val="00317332"/>
    <w:rsid w:val="00317590"/>
    <w:rsid w:val="003211DF"/>
    <w:rsid w:val="00321262"/>
    <w:rsid w:val="00322BB9"/>
    <w:rsid w:val="003233D4"/>
    <w:rsid w:val="003233FF"/>
    <w:rsid w:val="00323A3C"/>
    <w:rsid w:val="00326880"/>
    <w:rsid w:val="00326891"/>
    <w:rsid w:val="00327E86"/>
    <w:rsid w:val="003313C8"/>
    <w:rsid w:val="0033187B"/>
    <w:rsid w:val="00332673"/>
    <w:rsid w:val="00332EFE"/>
    <w:rsid w:val="00333321"/>
    <w:rsid w:val="0033339D"/>
    <w:rsid w:val="00334171"/>
    <w:rsid w:val="0033587E"/>
    <w:rsid w:val="00335AC2"/>
    <w:rsid w:val="003361AA"/>
    <w:rsid w:val="003412E8"/>
    <w:rsid w:val="0034242E"/>
    <w:rsid w:val="003433DA"/>
    <w:rsid w:val="00344158"/>
    <w:rsid w:val="00344306"/>
    <w:rsid w:val="00344349"/>
    <w:rsid w:val="00346B23"/>
    <w:rsid w:val="0034718B"/>
    <w:rsid w:val="00350EB3"/>
    <w:rsid w:val="003526B8"/>
    <w:rsid w:val="0035385C"/>
    <w:rsid w:val="003539A5"/>
    <w:rsid w:val="0035736D"/>
    <w:rsid w:val="00360527"/>
    <w:rsid w:val="00363828"/>
    <w:rsid w:val="00367270"/>
    <w:rsid w:val="003679AA"/>
    <w:rsid w:val="00373102"/>
    <w:rsid w:val="00373529"/>
    <w:rsid w:val="0037393F"/>
    <w:rsid w:val="00373CB2"/>
    <w:rsid w:val="00374C0D"/>
    <w:rsid w:val="00377622"/>
    <w:rsid w:val="00381643"/>
    <w:rsid w:val="00381AF5"/>
    <w:rsid w:val="003832B0"/>
    <w:rsid w:val="0038355B"/>
    <w:rsid w:val="003839E1"/>
    <w:rsid w:val="00383E30"/>
    <w:rsid w:val="00384DFF"/>
    <w:rsid w:val="00386599"/>
    <w:rsid w:val="0038796F"/>
    <w:rsid w:val="00387C91"/>
    <w:rsid w:val="003913BB"/>
    <w:rsid w:val="00393010"/>
    <w:rsid w:val="00394A14"/>
    <w:rsid w:val="0039567B"/>
    <w:rsid w:val="00395F0D"/>
    <w:rsid w:val="003A472C"/>
    <w:rsid w:val="003A4CC4"/>
    <w:rsid w:val="003A73FA"/>
    <w:rsid w:val="003A7BB8"/>
    <w:rsid w:val="003B1FB0"/>
    <w:rsid w:val="003B2C1A"/>
    <w:rsid w:val="003B38B3"/>
    <w:rsid w:val="003B69D1"/>
    <w:rsid w:val="003C342C"/>
    <w:rsid w:val="003C518D"/>
    <w:rsid w:val="003C7B40"/>
    <w:rsid w:val="003D0BFC"/>
    <w:rsid w:val="003D195B"/>
    <w:rsid w:val="003D290F"/>
    <w:rsid w:val="003D369D"/>
    <w:rsid w:val="003D5D04"/>
    <w:rsid w:val="003D7540"/>
    <w:rsid w:val="003D7E58"/>
    <w:rsid w:val="003E021D"/>
    <w:rsid w:val="003E4191"/>
    <w:rsid w:val="003E573A"/>
    <w:rsid w:val="003E682B"/>
    <w:rsid w:val="003E7502"/>
    <w:rsid w:val="003F05C7"/>
    <w:rsid w:val="003F3447"/>
    <w:rsid w:val="003F590A"/>
    <w:rsid w:val="003F6C7D"/>
    <w:rsid w:val="00400C82"/>
    <w:rsid w:val="004049B1"/>
    <w:rsid w:val="0040518F"/>
    <w:rsid w:val="0040554A"/>
    <w:rsid w:val="00405812"/>
    <w:rsid w:val="0041155B"/>
    <w:rsid w:val="00411B93"/>
    <w:rsid w:val="00411E37"/>
    <w:rsid w:val="00413068"/>
    <w:rsid w:val="00413295"/>
    <w:rsid w:val="00414973"/>
    <w:rsid w:val="004156F0"/>
    <w:rsid w:val="004209A6"/>
    <w:rsid w:val="00421981"/>
    <w:rsid w:val="00424446"/>
    <w:rsid w:val="00425B28"/>
    <w:rsid w:val="00431D64"/>
    <w:rsid w:val="00432915"/>
    <w:rsid w:val="0043411B"/>
    <w:rsid w:val="00436DB4"/>
    <w:rsid w:val="00437CAE"/>
    <w:rsid w:val="00440DBB"/>
    <w:rsid w:val="00441559"/>
    <w:rsid w:val="004418B4"/>
    <w:rsid w:val="00441978"/>
    <w:rsid w:val="0045122A"/>
    <w:rsid w:val="004512EE"/>
    <w:rsid w:val="00454510"/>
    <w:rsid w:val="00457E16"/>
    <w:rsid w:val="00460098"/>
    <w:rsid w:val="004608D6"/>
    <w:rsid w:val="00464CC7"/>
    <w:rsid w:val="00464FDF"/>
    <w:rsid w:val="00467A6E"/>
    <w:rsid w:val="004719EB"/>
    <w:rsid w:val="00471FB0"/>
    <w:rsid w:val="00474EB8"/>
    <w:rsid w:val="00476BB9"/>
    <w:rsid w:val="004777B6"/>
    <w:rsid w:val="0048306D"/>
    <w:rsid w:val="00487ED8"/>
    <w:rsid w:val="00490247"/>
    <w:rsid w:val="00490740"/>
    <w:rsid w:val="00490FB9"/>
    <w:rsid w:val="004947C2"/>
    <w:rsid w:val="00497781"/>
    <w:rsid w:val="0049793C"/>
    <w:rsid w:val="004A484B"/>
    <w:rsid w:val="004A4DEF"/>
    <w:rsid w:val="004A5119"/>
    <w:rsid w:val="004B2173"/>
    <w:rsid w:val="004B2537"/>
    <w:rsid w:val="004B3133"/>
    <w:rsid w:val="004B4F89"/>
    <w:rsid w:val="004B64DE"/>
    <w:rsid w:val="004B79F8"/>
    <w:rsid w:val="004B7A7E"/>
    <w:rsid w:val="004C1A53"/>
    <w:rsid w:val="004C302D"/>
    <w:rsid w:val="004C4E27"/>
    <w:rsid w:val="004D2576"/>
    <w:rsid w:val="004D25FB"/>
    <w:rsid w:val="004D2CBF"/>
    <w:rsid w:val="004D3EAA"/>
    <w:rsid w:val="004D3FA8"/>
    <w:rsid w:val="004D531B"/>
    <w:rsid w:val="004D6CF7"/>
    <w:rsid w:val="004D74ED"/>
    <w:rsid w:val="004D76A6"/>
    <w:rsid w:val="004E0EA6"/>
    <w:rsid w:val="004E17E3"/>
    <w:rsid w:val="004E1A03"/>
    <w:rsid w:val="004E23E9"/>
    <w:rsid w:val="004E26D0"/>
    <w:rsid w:val="004F2680"/>
    <w:rsid w:val="004F2A35"/>
    <w:rsid w:val="004F4161"/>
    <w:rsid w:val="004F4AE6"/>
    <w:rsid w:val="004F5503"/>
    <w:rsid w:val="004F57FC"/>
    <w:rsid w:val="004F7699"/>
    <w:rsid w:val="004F7DC6"/>
    <w:rsid w:val="00503F07"/>
    <w:rsid w:val="00510CF0"/>
    <w:rsid w:val="005112E3"/>
    <w:rsid w:val="00512FB2"/>
    <w:rsid w:val="005130C5"/>
    <w:rsid w:val="00514FF5"/>
    <w:rsid w:val="005158AF"/>
    <w:rsid w:val="00521823"/>
    <w:rsid w:val="005230D9"/>
    <w:rsid w:val="00523813"/>
    <w:rsid w:val="00524257"/>
    <w:rsid w:val="0053061F"/>
    <w:rsid w:val="00532D40"/>
    <w:rsid w:val="00535D86"/>
    <w:rsid w:val="00540E9D"/>
    <w:rsid w:val="00541ACE"/>
    <w:rsid w:val="00542358"/>
    <w:rsid w:val="00542AC5"/>
    <w:rsid w:val="005451BF"/>
    <w:rsid w:val="005465FD"/>
    <w:rsid w:val="005507AB"/>
    <w:rsid w:val="0055083D"/>
    <w:rsid w:val="00551464"/>
    <w:rsid w:val="00551F20"/>
    <w:rsid w:val="00552EB2"/>
    <w:rsid w:val="00553FBE"/>
    <w:rsid w:val="00557444"/>
    <w:rsid w:val="005601D7"/>
    <w:rsid w:val="0056182E"/>
    <w:rsid w:val="00563AC0"/>
    <w:rsid w:val="00565C53"/>
    <w:rsid w:val="00566475"/>
    <w:rsid w:val="00567B8A"/>
    <w:rsid w:val="00572188"/>
    <w:rsid w:val="00572A3F"/>
    <w:rsid w:val="00573E66"/>
    <w:rsid w:val="00575116"/>
    <w:rsid w:val="005760B6"/>
    <w:rsid w:val="005777A0"/>
    <w:rsid w:val="005803CF"/>
    <w:rsid w:val="00580DD3"/>
    <w:rsid w:val="00582C12"/>
    <w:rsid w:val="00584258"/>
    <w:rsid w:val="0058647B"/>
    <w:rsid w:val="00587CFC"/>
    <w:rsid w:val="00587D44"/>
    <w:rsid w:val="00590B6F"/>
    <w:rsid w:val="00591C81"/>
    <w:rsid w:val="005921CE"/>
    <w:rsid w:val="00592FAF"/>
    <w:rsid w:val="0059467E"/>
    <w:rsid w:val="00595F48"/>
    <w:rsid w:val="005A0320"/>
    <w:rsid w:val="005A0409"/>
    <w:rsid w:val="005A068F"/>
    <w:rsid w:val="005A2437"/>
    <w:rsid w:val="005A44F6"/>
    <w:rsid w:val="005A68EE"/>
    <w:rsid w:val="005B62CB"/>
    <w:rsid w:val="005B744C"/>
    <w:rsid w:val="005C330D"/>
    <w:rsid w:val="005C3843"/>
    <w:rsid w:val="005C4E61"/>
    <w:rsid w:val="005C6477"/>
    <w:rsid w:val="005D0C6E"/>
    <w:rsid w:val="005D129A"/>
    <w:rsid w:val="005D12C4"/>
    <w:rsid w:val="005D1D83"/>
    <w:rsid w:val="005D3235"/>
    <w:rsid w:val="005D32B1"/>
    <w:rsid w:val="005D738F"/>
    <w:rsid w:val="005E137F"/>
    <w:rsid w:val="005E1718"/>
    <w:rsid w:val="005E3AE9"/>
    <w:rsid w:val="005E407C"/>
    <w:rsid w:val="005E44A1"/>
    <w:rsid w:val="005E5822"/>
    <w:rsid w:val="005E6052"/>
    <w:rsid w:val="005E682C"/>
    <w:rsid w:val="005F18CC"/>
    <w:rsid w:val="005F5804"/>
    <w:rsid w:val="005F58FE"/>
    <w:rsid w:val="005F5A0A"/>
    <w:rsid w:val="005F6BA3"/>
    <w:rsid w:val="005F7108"/>
    <w:rsid w:val="005F7300"/>
    <w:rsid w:val="00601AC1"/>
    <w:rsid w:val="00601CBC"/>
    <w:rsid w:val="0060445F"/>
    <w:rsid w:val="00605C52"/>
    <w:rsid w:val="006067F1"/>
    <w:rsid w:val="006074F1"/>
    <w:rsid w:val="006112DD"/>
    <w:rsid w:val="00614960"/>
    <w:rsid w:val="00615BC3"/>
    <w:rsid w:val="00617505"/>
    <w:rsid w:val="00620606"/>
    <w:rsid w:val="00621404"/>
    <w:rsid w:val="006246AA"/>
    <w:rsid w:val="00625723"/>
    <w:rsid w:val="006262EA"/>
    <w:rsid w:val="006277AD"/>
    <w:rsid w:val="00630882"/>
    <w:rsid w:val="00634231"/>
    <w:rsid w:val="00634A40"/>
    <w:rsid w:val="00637F28"/>
    <w:rsid w:val="006403CF"/>
    <w:rsid w:val="00641983"/>
    <w:rsid w:val="00642951"/>
    <w:rsid w:val="00645A55"/>
    <w:rsid w:val="00651633"/>
    <w:rsid w:val="00652F0B"/>
    <w:rsid w:val="00653886"/>
    <w:rsid w:val="0065411B"/>
    <w:rsid w:val="0065675A"/>
    <w:rsid w:val="006570CD"/>
    <w:rsid w:val="006570F6"/>
    <w:rsid w:val="006571BA"/>
    <w:rsid w:val="00657BC0"/>
    <w:rsid w:val="00657C5F"/>
    <w:rsid w:val="006609DC"/>
    <w:rsid w:val="00662758"/>
    <w:rsid w:val="00664C9D"/>
    <w:rsid w:val="00665241"/>
    <w:rsid w:val="006670FB"/>
    <w:rsid w:val="0067405A"/>
    <w:rsid w:val="0067496C"/>
    <w:rsid w:val="00674C82"/>
    <w:rsid w:val="00676764"/>
    <w:rsid w:val="00683198"/>
    <w:rsid w:val="0068343B"/>
    <w:rsid w:val="006854B4"/>
    <w:rsid w:val="00685CC9"/>
    <w:rsid w:val="00692D3C"/>
    <w:rsid w:val="00693828"/>
    <w:rsid w:val="00696E30"/>
    <w:rsid w:val="00697ED4"/>
    <w:rsid w:val="006A1891"/>
    <w:rsid w:val="006A659E"/>
    <w:rsid w:val="006A6C55"/>
    <w:rsid w:val="006B12CA"/>
    <w:rsid w:val="006B2775"/>
    <w:rsid w:val="006B410B"/>
    <w:rsid w:val="006B6801"/>
    <w:rsid w:val="006B776B"/>
    <w:rsid w:val="006B79CC"/>
    <w:rsid w:val="006C07CB"/>
    <w:rsid w:val="006C368E"/>
    <w:rsid w:val="006C5C99"/>
    <w:rsid w:val="006C6176"/>
    <w:rsid w:val="006C7BA0"/>
    <w:rsid w:val="006D1F54"/>
    <w:rsid w:val="006D2B8B"/>
    <w:rsid w:val="006D4062"/>
    <w:rsid w:val="006D7960"/>
    <w:rsid w:val="006E0E22"/>
    <w:rsid w:val="006E1AB1"/>
    <w:rsid w:val="006E2453"/>
    <w:rsid w:val="006E41A6"/>
    <w:rsid w:val="006E4315"/>
    <w:rsid w:val="006F0577"/>
    <w:rsid w:val="006F07DE"/>
    <w:rsid w:val="006F241A"/>
    <w:rsid w:val="006F2E07"/>
    <w:rsid w:val="006F3891"/>
    <w:rsid w:val="006F7E94"/>
    <w:rsid w:val="006F7EAD"/>
    <w:rsid w:val="00700107"/>
    <w:rsid w:val="007021AA"/>
    <w:rsid w:val="0070285F"/>
    <w:rsid w:val="00703D4E"/>
    <w:rsid w:val="00704BA2"/>
    <w:rsid w:val="007054E4"/>
    <w:rsid w:val="00707477"/>
    <w:rsid w:val="0071098B"/>
    <w:rsid w:val="00711893"/>
    <w:rsid w:val="00712675"/>
    <w:rsid w:val="0071301C"/>
    <w:rsid w:val="0071356C"/>
    <w:rsid w:val="007160F9"/>
    <w:rsid w:val="007202AF"/>
    <w:rsid w:val="007204C2"/>
    <w:rsid w:val="007216D8"/>
    <w:rsid w:val="00721B7D"/>
    <w:rsid w:val="00722591"/>
    <w:rsid w:val="00723D26"/>
    <w:rsid w:val="00724D3D"/>
    <w:rsid w:val="0072506B"/>
    <w:rsid w:val="00726540"/>
    <w:rsid w:val="00731EB8"/>
    <w:rsid w:val="007337DE"/>
    <w:rsid w:val="0073398D"/>
    <w:rsid w:val="0073576B"/>
    <w:rsid w:val="00735A4C"/>
    <w:rsid w:val="00736C67"/>
    <w:rsid w:val="00740704"/>
    <w:rsid w:val="00740FCB"/>
    <w:rsid w:val="00741CD8"/>
    <w:rsid w:val="007430FD"/>
    <w:rsid w:val="00744C30"/>
    <w:rsid w:val="00744E01"/>
    <w:rsid w:val="00744E08"/>
    <w:rsid w:val="00745396"/>
    <w:rsid w:val="00747FA4"/>
    <w:rsid w:val="007531FE"/>
    <w:rsid w:val="007536C2"/>
    <w:rsid w:val="00757568"/>
    <w:rsid w:val="00760338"/>
    <w:rsid w:val="00760AF0"/>
    <w:rsid w:val="00761761"/>
    <w:rsid w:val="00763BE9"/>
    <w:rsid w:val="007657F8"/>
    <w:rsid w:val="00765D31"/>
    <w:rsid w:val="00767247"/>
    <w:rsid w:val="00776FC2"/>
    <w:rsid w:val="007833B4"/>
    <w:rsid w:val="007838DD"/>
    <w:rsid w:val="00784EAC"/>
    <w:rsid w:val="0078547B"/>
    <w:rsid w:val="007854F4"/>
    <w:rsid w:val="00786AA9"/>
    <w:rsid w:val="00787693"/>
    <w:rsid w:val="00787ADD"/>
    <w:rsid w:val="0079157A"/>
    <w:rsid w:val="00791678"/>
    <w:rsid w:val="00791CDA"/>
    <w:rsid w:val="00792092"/>
    <w:rsid w:val="00793E1F"/>
    <w:rsid w:val="00794DBC"/>
    <w:rsid w:val="00795DF2"/>
    <w:rsid w:val="0079646D"/>
    <w:rsid w:val="007A0421"/>
    <w:rsid w:val="007A2B0E"/>
    <w:rsid w:val="007A3D70"/>
    <w:rsid w:val="007A4405"/>
    <w:rsid w:val="007A5F2B"/>
    <w:rsid w:val="007B796C"/>
    <w:rsid w:val="007C0ADB"/>
    <w:rsid w:val="007C10B0"/>
    <w:rsid w:val="007C1526"/>
    <w:rsid w:val="007C1948"/>
    <w:rsid w:val="007C21F9"/>
    <w:rsid w:val="007C30FF"/>
    <w:rsid w:val="007C3603"/>
    <w:rsid w:val="007C5548"/>
    <w:rsid w:val="007C580A"/>
    <w:rsid w:val="007C6274"/>
    <w:rsid w:val="007D1DE8"/>
    <w:rsid w:val="007D236F"/>
    <w:rsid w:val="007D4993"/>
    <w:rsid w:val="007D7ACD"/>
    <w:rsid w:val="007E2DA8"/>
    <w:rsid w:val="007E383D"/>
    <w:rsid w:val="007E6707"/>
    <w:rsid w:val="007F10AD"/>
    <w:rsid w:val="007F6467"/>
    <w:rsid w:val="007F7E19"/>
    <w:rsid w:val="0080011F"/>
    <w:rsid w:val="008017AA"/>
    <w:rsid w:val="008029EC"/>
    <w:rsid w:val="00802CE5"/>
    <w:rsid w:val="00802DEA"/>
    <w:rsid w:val="008040E0"/>
    <w:rsid w:val="00805D4F"/>
    <w:rsid w:val="00807A69"/>
    <w:rsid w:val="00807C96"/>
    <w:rsid w:val="00811BC6"/>
    <w:rsid w:val="0081453C"/>
    <w:rsid w:val="00814D1D"/>
    <w:rsid w:val="00814E57"/>
    <w:rsid w:val="00815B1A"/>
    <w:rsid w:val="008206EC"/>
    <w:rsid w:val="00821B91"/>
    <w:rsid w:val="00822704"/>
    <w:rsid w:val="00822D05"/>
    <w:rsid w:val="00831C2A"/>
    <w:rsid w:val="00831E7B"/>
    <w:rsid w:val="00833334"/>
    <w:rsid w:val="008346C6"/>
    <w:rsid w:val="008371CE"/>
    <w:rsid w:val="0084259F"/>
    <w:rsid w:val="008425EC"/>
    <w:rsid w:val="00847528"/>
    <w:rsid w:val="008501B8"/>
    <w:rsid w:val="008511A2"/>
    <w:rsid w:val="00853A2C"/>
    <w:rsid w:val="00855422"/>
    <w:rsid w:val="00855A1A"/>
    <w:rsid w:val="008567F4"/>
    <w:rsid w:val="00860C59"/>
    <w:rsid w:val="00861B46"/>
    <w:rsid w:val="00862B49"/>
    <w:rsid w:val="00862CF0"/>
    <w:rsid w:val="0086470E"/>
    <w:rsid w:val="00866075"/>
    <w:rsid w:val="00867F13"/>
    <w:rsid w:val="0087120B"/>
    <w:rsid w:val="00871471"/>
    <w:rsid w:val="00876196"/>
    <w:rsid w:val="00877090"/>
    <w:rsid w:val="00880531"/>
    <w:rsid w:val="008827C6"/>
    <w:rsid w:val="00882D93"/>
    <w:rsid w:val="00886A3B"/>
    <w:rsid w:val="00890C8A"/>
    <w:rsid w:val="00891B47"/>
    <w:rsid w:val="00893527"/>
    <w:rsid w:val="0089378D"/>
    <w:rsid w:val="00895CAD"/>
    <w:rsid w:val="00896354"/>
    <w:rsid w:val="008A1719"/>
    <w:rsid w:val="008A2027"/>
    <w:rsid w:val="008A288C"/>
    <w:rsid w:val="008A294E"/>
    <w:rsid w:val="008A3288"/>
    <w:rsid w:val="008A7975"/>
    <w:rsid w:val="008B031E"/>
    <w:rsid w:val="008B2459"/>
    <w:rsid w:val="008B4CC5"/>
    <w:rsid w:val="008B6295"/>
    <w:rsid w:val="008B765C"/>
    <w:rsid w:val="008C3C15"/>
    <w:rsid w:val="008C422C"/>
    <w:rsid w:val="008C5541"/>
    <w:rsid w:val="008C6A24"/>
    <w:rsid w:val="008C7B07"/>
    <w:rsid w:val="008C7DCA"/>
    <w:rsid w:val="008D15CA"/>
    <w:rsid w:val="008D1D02"/>
    <w:rsid w:val="008D2038"/>
    <w:rsid w:val="008D2835"/>
    <w:rsid w:val="008D3D2F"/>
    <w:rsid w:val="008D4BC2"/>
    <w:rsid w:val="008D6D24"/>
    <w:rsid w:val="008D70C7"/>
    <w:rsid w:val="008D7385"/>
    <w:rsid w:val="008D7CA1"/>
    <w:rsid w:val="008E23EB"/>
    <w:rsid w:val="008E24E4"/>
    <w:rsid w:val="008E32AB"/>
    <w:rsid w:val="008E4F4F"/>
    <w:rsid w:val="008E4FC0"/>
    <w:rsid w:val="008E5045"/>
    <w:rsid w:val="008E50A6"/>
    <w:rsid w:val="008F1D4F"/>
    <w:rsid w:val="008F39EA"/>
    <w:rsid w:val="008F3AD1"/>
    <w:rsid w:val="009016C3"/>
    <w:rsid w:val="00903448"/>
    <w:rsid w:val="00905C6F"/>
    <w:rsid w:val="00906724"/>
    <w:rsid w:val="00906B91"/>
    <w:rsid w:val="00911725"/>
    <w:rsid w:val="0091389E"/>
    <w:rsid w:val="009161A3"/>
    <w:rsid w:val="00920079"/>
    <w:rsid w:val="00921D5A"/>
    <w:rsid w:val="00922EC3"/>
    <w:rsid w:val="00923423"/>
    <w:rsid w:val="00924CAF"/>
    <w:rsid w:val="00924FC6"/>
    <w:rsid w:val="00926841"/>
    <w:rsid w:val="00926B10"/>
    <w:rsid w:val="009306D4"/>
    <w:rsid w:val="00931549"/>
    <w:rsid w:val="00931942"/>
    <w:rsid w:val="00934002"/>
    <w:rsid w:val="00934B0D"/>
    <w:rsid w:val="009357C4"/>
    <w:rsid w:val="009364F8"/>
    <w:rsid w:val="009378DF"/>
    <w:rsid w:val="009400E1"/>
    <w:rsid w:val="009457DE"/>
    <w:rsid w:val="0094766F"/>
    <w:rsid w:val="00951B79"/>
    <w:rsid w:val="00955F0D"/>
    <w:rsid w:val="00956BBF"/>
    <w:rsid w:val="009625D5"/>
    <w:rsid w:val="00963FBE"/>
    <w:rsid w:val="00964FA5"/>
    <w:rsid w:val="00966CBA"/>
    <w:rsid w:val="0097210B"/>
    <w:rsid w:val="009723AE"/>
    <w:rsid w:val="00973383"/>
    <w:rsid w:val="00975F0B"/>
    <w:rsid w:val="00976083"/>
    <w:rsid w:val="00982010"/>
    <w:rsid w:val="00982284"/>
    <w:rsid w:val="00982667"/>
    <w:rsid w:val="0098365D"/>
    <w:rsid w:val="00984F32"/>
    <w:rsid w:val="00986CC1"/>
    <w:rsid w:val="0099041E"/>
    <w:rsid w:val="00991CC4"/>
    <w:rsid w:val="0099277A"/>
    <w:rsid w:val="0099298B"/>
    <w:rsid w:val="00992F35"/>
    <w:rsid w:val="00993BA4"/>
    <w:rsid w:val="00993C61"/>
    <w:rsid w:val="00995D55"/>
    <w:rsid w:val="00997E40"/>
    <w:rsid w:val="009A0B75"/>
    <w:rsid w:val="009A0C1E"/>
    <w:rsid w:val="009A2A5C"/>
    <w:rsid w:val="009A45B7"/>
    <w:rsid w:val="009A500E"/>
    <w:rsid w:val="009A6197"/>
    <w:rsid w:val="009A690F"/>
    <w:rsid w:val="009A6BE8"/>
    <w:rsid w:val="009A7D6B"/>
    <w:rsid w:val="009B2C27"/>
    <w:rsid w:val="009B300A"/>
    <w:rsid w:val="009B340B"/>
    <w:rsid w:val="009B5758"/>
    <w:rsid w:val="009C0183"/>
    <w:rsid w:val="009C301F"/>
    <w:rsid w:val="009C5948"/>
    <w:rsid w:val="009C60BE"/>
    <w:rsid w:val="009C7B2D"/>
    <w:rsid w:val="009D2580"/>
    <w:rsid w:val="009D3CAA"/>
    <w:rsid w:val="009D414A"/>
    <w:rsid w:val="009D5855"/>
    <w:rsid w:val="009D790D"/>
    <w:rsid w:val="009D79F6"/>
    <w:rsid w:val="009E4914"/>
    <w:rsid w:val="009E5D8F"/>
    <w:rsid w:val="009F078E"/>
    <w:rsid w:val="009F1DA4"/>
    <w:rsid w:val="009F2895"/>
    <w:rsid w:val="009F4914"/>
    <w:rsid w:val="009F53C5"/>
    <w:rsid w:val="009F57CB"/>
    <w:rsid w:val="009F5F4C"/>
    <w:rsid w:val="009F6386"/>
    <w:rsid w:val="00A00D46"/>
    <w:rsid w:val="00A02989"/>
    <w:rsid w:val="00A03DD6"/>
    <w:rsid w:val="00A04093"/>
    <w:rsid w:val="00A07FF0"/>
    <w:rsid w:val="00A111F7"/>
    <w:rsid w:val="00A13B26"/>
    <w:rsid w:val="00A14B1F"/>
    <w:rsid w:val="00A161CB"/>
    <w:rsid w:val="00A16CE6"/>
    <w:rsid w:val="00A227C8"/>
    <w:rsid w:val="00A25735"/>
    <w:rsid w:val="00A313EA"/>
    <w:rsid w:val="00A336E8"/>
    <w:rsid w:val="00A33866"/>
    <w:rsid w:val="00A340B2"/>
    <w:rsid w:val="00A3722A"/>
    <w:rsid w:val="00A37526"/>
    <w:rsid w:val="00A40918"/>
    <w:rsid w:val="00A43255"/>
    <w:rsid w:val="00A439B6"/>
    <w:rsid w:val="00A43D78"/>
    <w:rsid w:val="00A442FB"/>
    <w:rsid w:val="00A52D93"/>
    <w:rsid w:val="00A538FA"/>
    <w:rsid w:val="00A53C64"/>
    <w:rsid w:val="00A54C3A"/>
    <w:rsid w:val="00A5628D"/>
    <w:rsid w:val="00A57794"/>
    <w:rsid w:val="00A65383"/>
    <w:rsid w:val="00A6793C"/>
    <w:rsid w:val="00A70033"/>
    <w:rsid w:val="00A70869"/>
    <w:rsid w:val="00A709B2"/>
    <w:rsid w:val="00A71F4E"/>
    <w:rsid w:val="00A73953"/>
    <w:rsid w:val="00A739C3"/>
    <w:rsid w:val="00A73D6E"/>
    <w:rsid w:val="00A74270"/>
    <w:rsid w:val="00A74CA9"/>
    <w:rsid w:val="00A765BB"/>
    <w:rsid w:val="00A773DE"/>
    <w:rsid w:val="00A8068F"/>
    <w:rsid w:val="00A808B0"/>
    <w:rsid w:val="00A808D8"/>
    <w:rsid w:val="00A83233"/>
    <w:rsid w:val="00A91A5A"/>
    <w:rsid w:val="00A951E2"/>
    <w:rsid w:val="00A95F42"/>
    <w:rsid w:val="00A9644C"/>
    <w:rsid w:val="00AA1C01"/>
    <w:rsid w:val="00AA533D"/>
    <w:rsid w:val="00AA6362"/>
    <w:rsid w:val="00AA703A"/>
    <w:rsid w:val="00AA7B28"/>
    <w:rsid w:val="00AA7E38"/>
    <w:rsid w:val="00AB02C6"/>
    <w:rsid w:val="00AB046C"/>
    <w:rsid w:val="00AB1AB8"/>
    <w:rsid w:val="00AB2EC7"/>
    <w:rsid w:val="00AB3206"/>
    <w:rsid w:val="00AB3A4D"/>
    <w:rsid w:val="00AC12B6"/>
    <w:rsid w:val="00AC196C"/>
    <w:rsid w:val="00AC35A8"/>
    <w:rsid w:val="00AC67BC"/>
    <w:rsid w:val="00AC7098"/>
    <w:rsid w:val="00AC741E"/>
    <w:rsid w:val="00AD2300"/>
    <w:rsid w:val="00AD273E"/>
    <w:rsid w:val="00AD3597"/>
    <w:rsid w:val="00AD62DF"/>
    <w:rsid w:val="00AD7C2D"/>
    <w:rsid w:val="00AE0BB8"/>
    <w:rsid w:val="00AE4509"/>
    <w:rsid w:val="00AE5CAC"/>
    <w:rsid w:val="00AE75A7"/>
    <w:rsid w:val="00AF0F54"/>
    <w:rsid w:val="00AF10BF"/>
    <w:rsid w:val="00AF3F36"/>
    <w:rsid w:val="00AF5125"/>
    <w:rsid w:val="00AF5127"/>
    <w:rsid w:val="00AF5961"/>
    <w:rsid w:val="00AF633E"/>
    <w:rsid w:val="00AF7925"/>
    <w:rsid w:val="00B00F8F"/>
    <w:rsid w:val="00B0133D"/>
    <w:rsid w:val="00B06D4D"/>
    <w:rsid w:val="00B06DBC"/>
    <w:rsid w:val="00B06E9A"/>
    <w:rsid w:val="00B10FC9"/>
    <w:rsid w:val="00B141B0"/>
    <w:rsid w:val="00B14FB0"/>
    <w:rsid w:val="00B23682"/>
    <w:rsid w:val="00B24EFC"/>
    <w:rsid w:val="00B256ED"/>
    <w:rsid w:val="00B2603B"/>
    <w:rsid w:val="00B27D4C"/>
    <w:rsid w:val="00B304DB"/>
    <w:rsid w:val="00B3092D"/>
    <w:rsid w:val="00B352CA"/>
    <w:rsid w:val="00B35D28"/>
    <w:rsid w:val="00B40903"/>
    <w:rsid w:val="00B42C10"/>
    <w:rsid w:val="00B43061"/>
    <w:rsid w:val="00B43512"/>
    <w:rsid w:val="00B44637"/>
    <w:rsid w:val="00B44725"/>
    <w:rsid w:val="00B44AC6"/>
    <w:rsid w:val="00B47A43"/>
    <w:rsid w:val="00B50528"/>
    <w:rsid w:val="00B53A64"/>
    <w:rsid w:val="00B5533A"/>
    <w:rsid w:val="00B56470"/>
    <w:rsid w:val="00B57FF2"/>
    <w:rsid w:val="00B617B2"/>
    <w:rsid w:val="00B62488"/>
    <w:rsid w:val="00B66AE8"/>
    <w:rsid w:val="00B67607"/>
    <w:rsid w:val="00B71135"/>
    <w:rsid w:val="00B724AE"/>
    <w:rsid w:val="00B7350D"/>
    <w:rsid w:val="00B74B70"/>
    <w:rsid w:val="00B74D5B"/>
    <w:rsid w:val="00B769C2"/>
    <w:rsid w:val="00B77EF8"/>
    <w:rsid w:val="00B847F1"/>
    <w:rsid w:val="00B852EC"/>
    <w:rsid w:val="00B863EF"/>
    <w:rsid w:val="00B91560"/>
    <w:rsid w:val="00B93138"/>
    <w:rsid w:val="00B94C6D"/>
    <w:rsid w:val="00B9528A"/>
    <w:rsid w:val="00B96C53"/>
    <w:rsid w:val="00B978D1"/>
    <w:rsid w:val="00BA14A9"/>
    <w:rsid w:val="00BA52BB"/>
    <w:rsid w:val="00BA6572"/>
    <w:rsid w:val="00BA69B2"/>
    <w:rsid w:val="00BB511D"/>
    <w:rsid w:val="00BB668A"/>
    <w:rsid w:val="00BB687F"/>
    <w:rsid w:val="00BB6E42"/>
    <w:rsid w:val="00BB7DDA"/>
    <w:rsid w:val="00BC225A"/>
    <w:rsid w:val="00BC25A5"/>
    <w:rsid w:val="00BD25D6"/>
    <w:rsid w:val="00BD293B"/>
    <w:rsid w:val="00BD36B7"/>
    <w:rsid w:val="00BD5887"/>
    <w:rsid w:val="00BD64C1"/>
    <w:rsid w:val="00BD7821"/>
    <w:rsid w:val="00BD7B62"/>
    <w:rsid w:val="00BE01B1"/>
    <w:rsid w:val="00BE0DCD"/>
    <w:rsid w:val="00BE3155"/>
    <w:rsid w:val="00BE5747"/>
    <w:rsid w:val="00BE5B0E"/>
    <w:rsid w:val="00BF2C1A"/>
    <w:rsid w:val="00BF3CB7"/>
    <w:rsid w:val="00BF4D55"/>
    <w:rsid w:val="00BF6513"/>
    <w:rsid w:val="00BF6684"/>
    <w:rsid w:val="00BF7EDD"/>
    <w:rsid w:val="00C00078"/>
    <w:rsid w:val="00C011AB"/>
    <w:rsid w:val="00C02B2F"/>
    <w:rsid w:val="00C05CF0"/>
    <w:rsid w:val="00C0705A"/>
    <w:rsid w:val="00C07E33"/>
    <w:rsid w:val="00C118FD"/>
    <w:rsid w:val="00C12E11"/>
    <w:rsid w:val="00C153DA"/>
    <w:rsid w:val="00C161C3"/>
    <w:rsid w:val="00C170A6"/>
    <w:rsid w:val="00C21583"/>
    <w:rsid w:val="00C21897"/>
    <w:rsid w:val="00C233A5"/>
    <w:rsid w:val="00C26132"/>
    <w:rsid w:val="00C26C18"/>
    <w:rsid w:val="00C31D8A"/>
    <w:rsid w:val="00C33169"/>
    <w:rsid w:val="00C33803"/>
    <w:rsid w:val="00C41D12"/>
    <w:rsid w:val="00C43B4A"/>
    <w:rsid w:val="00C43C01"/>
    <w:rsid w:val="00C44E45"/>
    <w:rsid w:val="00C471E9"/>
    <w:rsid w:val="00C517A3"/>
    <w:rsid w:val="00C5484F"/>
    <w:rsid w:val="00C564F1"/>
    <w:rsid w:val="00C60F41"/>
    <w:rsid w:val="00C616E7"/>
    <w:rsid w:val="00C64074"/>
    <w:rsid w:val="00C64238"/>
    <w:rsid w:val="00C666DA"/>
    <w:rsid w:val="00C67EE9"/>
    <w:rsid w:val="00C70B8D"/>
    <w:rsid w:val="00C71812"/>
    <w:rsid w:val="00C7370F"/>
    <w:rsid w:val="00C74728"/>
    <w:rsid w:val="00C76041"/>
    <w:rsid w:val="00C76B46"/>
    <w:rsid w:val="00C81484"/>
    <w:rsid w:val="00C84AFA"/>
    <w:rsid w:val="00C87EFE"/>
    <w:rsid w:val="00C9071E"/>
    <w:rsid w:val="00C90A62"/>
    <w:rsid w:val="00C927A8"/>
    <w:rsid w:val="00C939D6"/>
    <w:rsid w:val="00CA437E"/>
    <w:rsid w:val="00CA4DD5"/>
    <w:rsid w:val="00CA7E6B"/>
    <w:rsid w:val="00CB2D35"/>
    <w:rsid w:val="00CB67F2"/>
    <w:rsid w:val="00CB7844"/>
    <w:rsid w:val="00CC3C35"/>
    <w:rsid w:val="00CC6554"/>
    <w:rsid w:val="00CC6757"/>
    <w:rsid w:val="00CC6795"/>
    <w:rsid w:val="00CD0574"/>
    <w:rsid w:val="00CD0D42"/>
    <w:rsid w:val="00CD3F79"/>
    <w:rsid w:val="00CD5ABE"/>
    <w:rsid w:val="00CD5F7D"/>
    <w:rsid w:val="00CD63B3"/>
    <w:rsid w:val="00CD6BAC"/>
    <w:rsid w:val="00CD71CA"/>
    <w:rsid w:val="00CD7BB8"/>
    <w:rsid w:val="00CE0545"/>
    <w:rsid w:val="00CE2D20"/>
    <w:rsid w:val="00CE615F"/>
    <w:rsid w:val="00CF0AC1"/>
    <w:rsid w:val="00CF1CC1"/>
    <w:rsid w:val="00CF3934"/>
    <w:rsid w:val="00CF3969"/>
    <w:rsid w:val="00CF3EB8"/>
    <w:rsid w:val="00CF65D9"/>
    <w:rsid w:val="00CF6F9A"/>
    <w:rsid w:val="00CF700E"/>
    <w:rsid w:val="00D00CB1"/>
    <w:rsid w:val="00D033A3"/>
    <w:rsid w:val="00D038C3"/>
    <w:rsid w:val="00D03A8A"/>
    <w:rsid w:val="00D04EBE"/>
    <w:rsid w:val="00D06565"/>
    <w:rsid w:val="00D072D9"/>
    <w:rsid w:val="00D1081F"/>
    <w:rsid w:val="00D12829"/>
    <w:rsid w:val="00D13668"/>
    <w:rsid w:val="00D14E48"/>
    <w:rsid w:val="00D2004F"/>
    <w:rsid w:val="00D21A99"/>
    <w:rsid w:val="00D23032"/>
    <w:rsid w:val="00D24090"/>
    <w:rsid w:val="00D27CF0"/>
    <w:rsid w:val="00D31D99"/>
    <w:rsid w:val="00D3234B"/>
    <w:rsid w:val="00D35D44"/>
    <w:rsid w:val="00D37975"/>
    <w:rsid w:val="00D40C4D"/>
    <w:rsid w:val="00D41425"/>
    <w:rsid w:val="00D420E2"/>
    <w:rsid w:val="00D44849"/>
    <w:rsid w:val="00D44CFB"/>
    <w:rsid w:val="00D44D1D"/>
    <w:rsid w:val="00D50EDF"/>
    <w:rsid w:val="00D52C15"/>
    <w:rsid w:val="00D5376A"/>
    <w:rsid w:val="00D5561E"/>
    <w:rsid w:val="00D57A9E"/>
    <w:rsid w:val="00D6034D"/>
    <w:rsid w:val="00D65011"/>
    <w:rsid w:val="00D67189"/>
    <w:rsid w:val="00D67A56"/>
    <w:rsid w:val="00D70133"/>
    <w:rsid w:val="00D70D93"/>
    <w:rsid w:val="00D7299B"/>
    <w:rsid w:val="00D72E35"/>
    <w:rsid w:val="00D73D6E"/>
    <w:rsid w:val="00D76030"/>
    <w:rsid w:val="00D831CC"/>
    <w:rsid w:val="00D836CE"/>
    <w:rsid w:val="00D83F07"/>
    <w:rsid w:val="00D849A6"/>
    <w:rsid w:val="00D85792"/>
    <w:rsid w:val="00D8609A"/>
    <w:rsid w:val="00D905E8"/>
    <w:rsid w:val="00D92E2E"/>
    <w:rsid w:val="00D948BC"/>
    <w:rsid w:val="00D949E5"/>
    <w:rsid w:val="00D95A59"/>
    <w:rsid w:val="00D97843"/>
    <w:rsid w:val="00DA117E"/>
    <w:rsid w:val="00DA17EE"/>
    <w:rsid w:val="00DA20EF"/>
    <w:rsid w:val="00DA3918"/>
    <w:rsid w:val="00DA4BBD"/>
    <w:rsid w:val="00DA679C"/>
    <w:rsid w:val="00DB188D"/>
    <w:rsid w:val="00DB2266"/>
    <w:rsid w:val="00DB4DAE"/>
    <w:rsid w:val="00DB4EB2"/>
    <w:rsid w:val="00DB7EA8"/>
    <w:rsid w:val="00DC0135"/>
    <w:rsid w:val="00DC1E5A"/>
    <w:rsid w:val="00DC4431"/>
    <w:rsid w:val="00DC4975"/>
    <w:rsid w:val="00DC6E72"/>
    <w:rsid w:val="00DD71E8"/>
    <w:rsid w:val="00DD73D4"/>
    <w:rsid w:val="00DE09F9"/>
    <w:rsid w:val="00DE4D19"/>
    <w:rsid w:val="00DE7C60"/>
    <w:rsid w:val="00DF0DB0"/>
    <w:rsid w:val="00DF0DDA"/>
    <w:rsid w:val="00DF1978"/>
    <w:rsid w:val="00DF23D3"/>
    <w:rsid w:val="00DF2EC5"/>
    <w:rsid w:val="00DF6386"/>
    <w:rsid w:val="00E028D2"/>
    <w:rsid w:val="00E036B3"/>
    <w:rsid w:val="00E03D0B"/>
    <w:rsid w:val="00E056BF"/>
    <w:rsid w:val="00E05B0F"/>
    <w:rsid w:val="00E05D5B"/>
    <w:rsid w:val="00E065A4"/>
    <w:rsid w:val="00E11227"/>
    <w:rsid w:val="00E14D3E"/>
    <w:rsid w:val="00E17A43"/>
    <w:rsid w:val="00E211B3"/>
    <w:rsid w:val="00E21744"/>
    <w:rsid w:val="00E22179"/>
    <w:rsid w:val="00E23717"/>
    <w:rsid w:val="00E25D81"/>
    <w:rsid w:val="00E26F5C"/>
    <w:rsid w:val="00E337C9"/>
    <w:rsid w:val="00E33CE2"/>
    <w:rsid w:val="00E34474"/>
    <w:rsid w:val="00E35785"/>
    <w:rsid w:val="00E366A3"/>
    <w:rsid w:val="00E371D5"/>
    <w:rsid w:val="00E404E5"/>
    <w:rsid w:val="00E41770"/>
    <w:rsid w:val="00E41DBA"/>
    <w:rsid w:val="00E42207"/>
    <w:rsid w:val="00E44799"/>
    <w:rsid w:val="00E448C6"/>
    <w:rsid w:val="00E45CED"/>
    <w:rsid w:val="00E52634"/>
    <w:rsid w:val="00E53217"/>
    <w:rsid w:val="00E54E86"/>
    <w:rsid w:val="00E61025"/>
    <w:rsid w:val="00E637BA"/>
    <w:rsid w:val="00E63B74"/>
    <w:rsid w:val="00E72BEA"/>
    <w:rsid w:val="00E80A8F"/>
    <w:rsid w:val="00E834B4"/>
    <w:rsid w:val="00E83E52"/>
    <w:rsid w:val="00E84419"/>
    <w:rsid w:val="00E8587B"/>
    <w:rsid w:val="00E85FED"/>
    <w:rsid w:val="00E90C7C"/>
    <w:rsid w:val="00E916F0"/>
    <w:rsid w:val="00E91D3B"/>
    <w:rsid w:val="00E92232"/>
    <w:rsid w:val="00E96768"/>
    <w:rsid w:val="00EA107C"/>
    <w:rsid w:val="00EA410D"/>
    <w:rsid w:val="00EA6D4D"/>
    <w:rsid w:val="00EB007B"/>
    <w:rsid w:val="00EB3AE4"/>
    <w:rsid w:val="00EB57C0"/>
    <w:rsid w:val="00EB676C"/>
    <w:rsid w:val="00EB6B02"/>
    <w:rsid w:val="00EB7AEE"/>
    <w:rsid w:val="00EC11CD"/>
    <w:rsid w:val="00EC1498"/>
    <w:rsid w:val="00EC167C"/>
    <w:rsid w:val="00EC20A4"/>
    <w:rsid w:val="00EC4738"/>
    <w:rsid w:val="00EC748A"/>
    <w:rsid w:val="00ED1028"/>
    <w:rsid w:val="00ED1CB4"/>
    <w:rsid w:val="00ED20B6"/>
    <w:rsid w:val="00ED21D9"/>
    <w:rsid w:val="00ED22CE"/>
    <w:rsid w:val="00ED344B"/>
    <w:rsid w:val="00ED4ADB"/>
    <w:rsid w:val="00ED6980"/>
    <w:rsid w:val="00ED6D32"/>
    <w:rsid w:val="00EE0FAD"/>
    <w:rsid w:val="00EE323F"/>
    <w:rsid w:val="00EE3326"/>
    <w:rsid w:val="00EE596B"/>
    <w:rsid w:val="00EE6460"/>
    <w:rsid w:val="00EE7297"/>
    <w:rsid w:val="00EF30AF"/>
    <w:rsid w:val="00EF4AC0"/>
    <w:rsid w:val="00EF52F8"/>
    <w:rsid w:val="00EF5343"/>
    <w:rsid w:val="00EF62A6"/>
    <w:rsid w:val="00EF7907"/>
    <w:rsid w:val="00EF7A37"/>
    <w:rsid w:val="00F012AB"/>
    <w:rsid w:val="00F01A42"/>
    <w:rsid w:val="00F0746E"/>
    <w:rsid w:val="00F076AF"/>
    <w:rsid w:val="00F10DD7"/>
    <w:rsid w:val="00F12213"/>
    <w:rsid w:val="00F15E6C"/>
    <w:rsid w:val="00F16DAC"/>
    <w:rsid w:val="00F171A8"/>
    <w:rsid w:val="00F221F3"/>
    <w:rsid w:val="00F27968"/>
    <w:rsid w:val="00F27DA8"/>
    <w:rsid w:val="00F3102C"/>
    <w:rsid w:val="00F3152C"/>
    <w:rsid w:val="00F315E2"/>
    <w:rsid w:val="00F31D93"/>
    <w:rsid w:val="00F3251D"/>
    <w:rsid w:val="00F32A1A"/>
    <w:rsid w:val="00F34171"/>
    <w:rsid w:val="00F365BE"/>
    <w:rsid w:val="00F375C7"/>
    <w:rsid w:val="00F3776B"/>
    <w:rsid w:val="00F37FB3"/>
    <w:rsid w:val="00F405F0"/>
    <w:rsid w:val="00F424A9"/>
    <w:rsid w:val="00F4393B"/>
    <w:rsid w:val="00F43B47"/>
    <w:rsid w:val="00F46408"/>
    <w:rsid w:val="00F46D53"/>
    <w:rsid w:val="00F523B4"/>
    <w:rsid w:val="00F537AC"/>
    <w:rsid w:val="00F5440D"/>
    <w:rsid w:val="00F544E4"/>
    <w:rsid w:val="00F55086"/>
    <w:rsid w:val="00F5778D"/>
    <w:rsid w:val="00F578FC"/>
    <w:rsid w:val="00F6145A"/>
    <w:rsid w:val="00F61791"/>
    <w:rsid w:val="00F6326A"/>
    <w:rsid w:val="00F636B2"/>
    <w:rsid w:val="00F6470E"/>
    <w:rsid w:val="00F663DF"/>
    <w:rsid w:val="00F66CE6"/>
    <w:rsid w:val="00F70314"/>
    <w:rsid w:val="00F75A46"/>
    <w:rsid w:val="00F80003"/>
    <w:rsid w:val="00F81F6E"/>
    <w:rsid w:val="00F84D3A"/>
    <w:rsid w:val="00F8725B"/>
    <w:rsid w:val="00F9062C"/>
    <w:rsid w:val="00F93FF3"/>
    <w:rsid w:val="00F9513F"/>
    <w:rsid w:val="00F95CE9"/>
    <w:rsid w:val="00F97797"/>
    <w:rsid w:val="00F977EC"/>
    <w:rsid w:val="00FA56BF"/>
    <w:rsid w:val="00FA5D39"/>
    <w:rsid w:val="00FB01CD"/>
    <w:rsid w:val="00FB0468"/>
    <w:rsid w:val="00FB109B"/>
    <w:rsid w:val="00FB4D7D"/>
    <w:rsid w:val="00FC1F55"/>
    <w:rsid w:val="00FC286A"/>
    <w:rsid w:val="00FC7A46"/>
    <w:rsid w:val="00FD09F9"/>
    <w:rsid w:val="00FD3486"/>
    <w:rsid w:val="00FD7111"/>
    <w:rsid w:val="00FD7296"/>
    <w:rsid w:val="00FD7B05"/>
    <w:rsid w:val="00FE2AFA"/>
    <w:rsid w:val="00FE390E"/>
    <w:rsid w:val="00FE617A"/>
    <w:rsid w:val="00FF0633"/>
    <w:rsid w:val="00FF0C17"/>
    <w:rsid w:val="00FF2103"/>
    <w:rsid w:val="00FF26A7"/>
    <w:rsid w:val="00FF2E43"/>
    <w:rsid w:val="00FF4445"/>
    <w:rsid w:val="00FF4FD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eastAsia="fr-FR"/>
    </w:rPr>
  </w:style>
  <w:style w:type="paragraph" w:styleId="Titre1">
    <w:name w:val="heading 1"/>
    <w:basedOn w:val="Normal"/>
    <w:next w:val="Normal"/>
    <w:link w:val="Titre1Car"/>
    <w:qFormat/>
    <w:pPr>
      <w:keepNext/>
      <w:spacing w:before="240" w:after="60"/>
      <w:outlineLvl w:val="0"/>
    </w:pPr>
    <w:rPr>
      <w:b/>
      <w:kern w:val="28"/>
      <w:sz w:val="28"/>
    </w:rPr>
  </w:style>
  <w:style w:type="paragraph" w:styleId="Titre2">
    <w:name w:val="heading 2"/>
    <w:basedOn w:val="Normal"/>
    <w:next w:val="Normal"/>
    <w:qFormat/>
    <w:pPr>
      <w:keepNext/>
      <w:spacing w:before="240" w:after="60"/>
      <w:outlineLvl w:val="1"/>
    </w:pPr>
    <w:rPr>
      <w:b/>
      <w:i/>
    </w:rPr>
  </w:style>
  <w:style w:type="paragraph" w:styleId="Titre3">
    <w:name w:val="heading 3"/>
    <w:basedOn w:val="Normal"/>
    <w:next w:val="Normal"/>
    <w:qFormat/>
    <w:pPr>
      <w:keepNext/>
      <w:spacing w:before="240" w:after="60"/>
      <w:outlineLvl w:val="2"/>
    </w:pPr>
  </w:style>
  <w:style w:type="paragraph" w:styleId="Titre4">
    <w:name w:val="heading 4"/>
    <w:basedOn w:val="Normal"/>
    <w:next w:val="Normal"/>
    <w:qFormat/>
    <w:pPr>
      <w:keepNext/>
      <w:spacing w:before="240" w:after="60"/>
      <w:outlineLvl w:val="3"/>
    </w:pPr>
    <w:rPr>
      <w:b/>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i/>
      <w:sz w:val="22"/>
    </w:rPr>
  </w:style>
  <w:style w:type="paragraph" w:styleId="Titre7">
    <w:name w:val="heading 7"/>
    <w:basedOn w:val="Normal"/>
    <w:next w:val="Normal"/>
    <w:qFormat/>
    <w:pPr>
      <w:spacing w:before="240" w:after="60"/>
      <w:outlineLvl w:val="6"/>
    </w:pPr>
    <w:rPr>
      <w:sz w:val="20"/>
    </w:rPr>
  </w:style>
  <w:style w:type="paragraph" w:styleId="Titre8">
    <w:name w:val="heading 8"/>
    <w:basedOn w:val="Normal"/>
    <w:next w:val="Normal"/>
    <w:qFormat/>
    <w:pPr>
      <w:spacing w:before="240" w:after="60"/>
      <w:outlineLvl w:val="7"/>
    </w:pPr>
    <w:rPr>
      <w:i/>
      <w:sz w:val="2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link w:val="ParagrapheCar"/>
    <w:qFormat/>
    <w:pPr>
      <w:numPr>
        <w:numId w:val="1"/>
      </w:numPr>
      <w:spacing w:before="120" w:after="120" w:line="500" w:lineRule="exact"/>
      <w:jc w:val="both"/>
    </w:pPr>
    <w:rPr>
      <w:kern w:val="28"/>
    </w:rPr>
  </w:style>
  <w:style w:type="paragraph" w:customStyle="1" w:styleId="Citationenretrait">
    <w:name w:val="Citation en retrait"/>
    <w:basedOn w:val="Normal"/>
    <w:pPr>
      <w:spacing w:before="120" w:after="120"/>
      <w:ind w:left="720" w:right="720"/>
      <w:jc w:val="both"/>
    </w:pPr>
    <w:rPr>
      <w:kern w:val="24"/>
      <w:sz w:val="22"/>
    </w:rPr>
  </w:style>
  <w:style w:type="character" w:customStyle="1" w:styleId="Citationintgre">
    <w:name w:val="Citation intégrée"/>
    <w:rPr>
      <w:rFonts w:ascii="Arial" w:hAnsi="Arial"/>
      <w:i/>
      <w:noProof w:val="0"/>
      <w:sz w:val="22"/>
      <w:lang w:val="fr-CA"/>
    </w:rPr>
  </w:style>
  <w:style w:type="paragraph" w:styleId="Corpsdetexte">
    <w:name w:val="Body Text"/>
    <w:basedOn w:val="Normal"/>
    <w:semiHidden/>
    <w:pPr>
      <w:spacing w:after="120"/>
    </w:pPr>
  </w:style>
  <w:style w:type="paragraph" w:styleId="Notedebasdepage">
    <w:name w:val="footnote text"/>
    <w:basedOn w:val="Normal"/>
    <w:link w:val="NotedebasdepageCar"/>
    <w:pPr>
      <w:ind w:left="360" w:hanging="360"/>
      <w:jc w:val="both"/>
    </w:pPr>
    <w:rPr>
      <w:sz w:val="20"/>
    </w:rPr>
  </w:style>
  <w:style w:type="paragraph" w:styleId="Notedefin">
    <w:name w:val="endnote text"/>
    <w:basedOn w:val="Normal"/>
    <w:semiHidden/>
    <w:pPr>
      <w:ind w:left="-360"/>
      <w:jc w:val="both"/>
    </w:pPr>
    <w:rPr>
      <w:sz w:val="20"/>
    </w:rPr>
  </w:style>
  <w:style w:type="paragraph" w:customStyle="1" w:styleId="zSoquijlblCour">
    <w:name w:val="zSoquij_lblCour"/>
    <w:basedOn w:val="Normal"/>
    <w:pPr>
      <w:jc w:val="center"/>
    </w:pPr>
    <w:rPr>
      <w:b/>
      <w:sz w:val="36"/>
    </w:rPr>
  </w:style>
  <w:style w:type="paragraph" w:customStyle="1" w:styleId="zSoquijlblPays">
    <w:name w:val="zSoquij_lblPays"/>
    <w:basedOn w:val="Normal"/>
  </w:style>
  <w:style w:type="paragraph" w:customStyle="1" w:styleId="zSoquijlblProvince">
    <w:name w:val="zSoquij_lblProvince"/>
    <w:basedOn w:val="Normal"/>
  </w:style>
  <w:style w:type="paragraph" w:customStyle="1" w:styleId="zSoquijlblGreffe">
    <w:name w:val="zSoquij_lblGreffe"/>
    <w:basedOn w:val="Normal"/>
    <w:pPr>
      <w:ind w:left="70"/>
    </w:pPr>
  </w:style>
  <w:style w:type="paragraph" w:customStyle="1" w:styleId="zSoquijdatGreffe">
    <w:name w:val="zSoquij_datGreffe"/>
    <w:basedOn w:val="Normal"/>
    <w:pPr>
      <w:ind w:left="29"/>
    </w:pPr>
  </w:style>
  <w:style w:type="paragraph" w:customStyle="1" w:styleId="zSoquijdatDivision">
    <w:name w:val="zSoquij_datDivision"/>
    <w:basedOn w:val="Normal"/>
    <w:pPr>
      <w:jc w:val="center"/>
    </w:pPr>
    <w:rPr>
      <w:sz w:val="22"/>
    </w:rPr>
  </w:style>
  <w:style w:type="paragraph" w:customStyle="1" w:styleId="zSoquijlblNoDossier">
    <w:name w:val="zSoquij_lblNoDossier"/>
    <w:basedOn w:val="Normal"/>
  </w:style>
  <w:style w:type="paragraph" w:customStyle="1" w:styleId="zSoquijdatNoDossier">
    <w:name w:val="zSoquij_datNoDossier"/>
    <w:basedOn w:val="Normal"/>
  </w:style>
  <w:style w:type="paragraph" w:customStyle="1" w:styleId="zSoquijdatNoDossierAnt">
    <w:name w:val="zSoquij_datNoDossierAnt"/>
    <w:basedOn w:val="Normal"/>
  </w:style>
  <w:style w:type="paragraph" w:customStyle="1" w:styleId="zSoquijdatDateJugement">
    <w:name w:val="zSoquij_datDateJugement"/>
    <w:basedOn w:val="Normal"/>
  </w:style>
  <w:style w:type="paragraph" w:customStyle="1" w:styleId="zSoquijlblDateJugement">
    <w:name w:val="zSoquij_lblDateJugement"/>
    <w:basedOn w:val="Normal"/>
  </w:style>
  <w:style w:type="paragraph" w:customStyle="1" w:styleId="zSoquijlblJuge">
    <w:name w:val="zSoquij_lblJuge"/>
    <w:basedOn w:val="Normal"/>
    <w:pPr>
      <w:ind w:left="70"/>
    </w:pPr>
    <w:rPr>
      <w:b/>
    </w:rPr>
  </w:style>
  <w:style w:type="paragraph" w:customStyle="1" w:styleId="zSoquijdatQteJuge">
    <w:name w:val="zSoquij_datQteJuge"/>
    <w:basedOn w:val="Normal"/>
    <w:pPr>
      <w:ind w:left="29"/>
    </w:pPr>
    <w:rPr>
      <w:b/>
    </w:rPr>
  </w:style>
  <w:style w:type="paragraph" w:customStyle="1" w:styleId="zSoquijdatJuge">
    <w:name w:val="zSoquij_datJuge"/>
    <w:basedOn w:val="Normal"/>
    <w:pPr>
      <w:ind w:left="52"/>
    </w:pPr>
    <w:rPr>
      <w:b/>
    </w:rPr>
  </w:style>
  <w:style w:type="paragraph" w:customStyle="1" w:styleId="zSoquijdatNomPartieDem">
    <w:name w:val="zSoquij_datNomPartieDem"/>
    <w:basedOn w:val="Normal"/>
    <w:rPr>
      <w:b/>
      <w:bCs/>
    </w:rPr>
  </w:style>
  <w:style w:type="paragraph" w:customStyle="1" w:styleId="zSoquijdatQtePartieDem">
    <w:name w:val="zSoquij_datQtePartieDem"/>
    <w:basedOn w:val="Normal"/>
    <w:pPr>
      <w:ind w:left="708"/>
    </w:pPr>
  </w:style>
  <w:style w:type="paragraph" w:customStyle="1" w:styleId="zSoquijlblLienParties">
    <w:name w:val="zSoquij_lblLienParties"/>
    <w:basedOn w:val="Normal"/>
  </w:style>
  <w:style w:type="paragraph" w:customStyle="1" w:styleId="zSoquijdatNomPartieDef">
    <w:name w:val="zSoquij_datNomPartieDef"/>
    <w:basedOn w:val="Normal"/>
    <w:rPr>
      <w:b/>
      <w:bCs/>
    </w:rPr>
  </w:style>
  <w:style w:type="paragraph" w:customStyle="1" w:styleId="zSoquijdatQtePartieDef">
    <w:name w:val="zSoquij_datQtePartieDef"/>
    <w:basedOn w:val="Normal"/>
    <w:pPr>
      <w:ind w:left="708"/>
    </w:pPr>
  </w:style>
  <w:style w:type="paragraph" w:customStyle="1" w:styleId="zSoquijlblTypeDocument">
    <w:name w:val="zSoquij_lblTypeDocument"/>
    <w:basedOn w:val="Normal"/>
    <w:pPr>
      <w:jc w:val="center"/>
    </w:pPr>
  </w:style>
  <w:style w:type="paragraph" w:customStyle="1" w:styleId="zSoquijlblProcureurDem">
    <w:name w:val="zSoquij_lblProcureurDem"/>
    <w:basedOn w:val="Normal"/>
  </w:style>
  <w:style w:type="paragraph" w:customStyle="1" w:styleId="zSoquijlblProcureurDef">
    <w:name w:val="zSoquij_lblProcureurDef"/>
    <w:basedOn w:val="Normal"/>
  </w:style>
  <w:style w:type="paragraph" w:customStyle="1" w:styleId="zSoquijlblDateAudience">
    <w:name w:val="zSoquij_lblDateAudience"/>
    <w:basedOn w:val="Normal"/>
  </w:style>
  <w:style w:type="paragraph" w:customStyle="1" w:styleId="zSoquijdatDateAudience">
    <w:name w:val="zSoquij_datDateAudience"/>
    <w:basedOn w:val="Normal"/>
  </w:style>
  <w:style w:type="paragraph" w:customStyle="1" w:styleId="zSoquijlblNomChambre">
    <w:name w:val="zSoquij_lblNomChambre"/>
    <w:basedOn w:val="Normal"/>
  </w:style>
  <w:style w:type="paragraph" w:customStyle="1" w:styleId="zSoquijlblOpinionJuge">
    <w:name w:val="zSoquij_lblOpinionJuge"/>
    <w:basedOn w:val="Normal"/>
    <w:pPr>
      <w:tabs>
        <w:tab w:val="left" w:pos="720"/>
      </w:tabs>
      <w:jc w:val="center"/>
    </w:pPr>
  </w:style>
  <w:style w:type="character" w:customStyle="1" w:styleId="zSoquijlblEntNoDossier">
    <w:name w:val="zSoquij_lblEntNoDossier"/>
    <w:rPr>
      <w:lang w:val="fr-CA"/>
    </w:rPr>
  </w:style>
  <w:style w:type="paragraph" w:customStyle="1" w:styleId="zSoquijlblTitrePartie">
    <w:name w:val="zSoquij_lblTitrePartie"/>
    <w:basedOn w:val="Normal"/>
  </w:style>
  <w:style w:type="paragraph" w:customStyle="1" w:styleId="zSoquijdatSignature3Juge">
    <w:name w:val="zSoquij_datSignature3Juge"/>
    <w:basedOn w:val="Normal"/>
  </w:style>
  <w:style w:type="paragraph" w:customStyle="1" w:styleId="ParagNonNum">
    <w:name w:val="ParagNonNum"/>
    <w:basedOn w:val="Paragraphe"/>
    <w:pPr>
      <w:numPr>
        <w:numId w:val="0"/>
      </w:numPr>
      <w:ind w:firstLine="734"/>
    </w:pPr>
  </w:style>
  <w:style w:type="paragraph" w:customStyle="1" w:styleId="zSoquijdatIdJuge">
    <w:name w:val="zSoquij_datIdJuge"/>
    <w:basedOn w:val="Normal"/>
    <w:pPr>
      <w:jc w:val="center"/>
    </w:pPr>
    <w:rPr>
      <w:sz w:val="20"/>
    </w:rPr>
  </w:style>
  <w:style w:type="paragraph" w:customStyle="1" w:styleId="Sous-paragraphe">
    <w:name w:val="Sous-paragraphe"/>
    <w:basedOn w:val="Normal"/>
    <w:pPr>
      <w:widowControl w:val="0"/>
      <w:numPr>
        <w:ilvl w:val="1"/>
        <w:numId w:val="1"/>
      </w:numPr>
      <w:spacing w:after="120"/>
      <w:jc w:val="both"/>
    </w:pPr>
    <w:rPr>
      <w:kern w:val="28"/>
    </w:rPr>
  </w:style>
  <w:style w:type="paragraph" w:customStyle="1" w:styleId="zSoquijdatNomProcureurDem">
    <w:name w:val="zSoquij_datNomProcureurDem"/>
    <w:basedOn w:val="zSoquijlblProcureurDem"/>
  </w:style>
  <w:style w:type="paragraph" w:customStyle="1" w:styleId="zSoquijdatNomProcureurDef">
    <w:name w:val="zSoquij_datNomProcureurDef"/>
    <w:basedOn w:val="zSoquijlblProcureurDef"/>
  </w:style>
  <w:style w:type="paragraph" w:customStyle="1" w:styleId="zSoquijdatCabinetProcureurDem">
    <w:name w:val="zSoquij_datCabinetProcureurDem"/>
    <w:basedOn w:val="Normal"/>
  </w:style>
  <w:style w:type="paragraph" w:customStyle="1" w:styleId="zSoquijdatCabinetProcureurDef">
    <w:name w:val="zSoquij_datCabinetProcureurDef"/>
    <w:basedOn w:val="zSoquijlblProcureurDef"/>
  </w:style>
  <w:style w:type="paragraph" w:customStyle="1" w:styleId="zSoquijdatSignatureJuge1">
    <w:name w:val="zSoquij_datSignatureJuge1"/>
    <w:basedOn w:val="Normal"/>
  </w:style>
  <w:style w:type="paragraph" w:customStyle="1" w:styleId="zSoquijdatSignatureJuge2">
    <w:name w:val="zSoquij_datSignatureJuge2"/>
    <w:basedOn w:val="Normal"/>
  </w:style>
  <w:style w:type="paragraph" w:customStyle="1" w:styleId="zSoquijdatSignatureJuge3">
    <w:name w:val="zSoquij_datSignatureJuge3"/>
    <w:basedOn w:val="Normal"/>
  </w:style>
  <w:style w:type="paragraph" w:customStyle="1" w:styleId="zSoquijdatRepertorie">
    <w:name w:val="zSoquij_datRepertorie"/>
    <w:basedOn w:val="zSoquijlblCour"/>
    <w:pPr>
      <w:jc w:val="left"/>
    </w:pPr>
    <w:rPr>
      <w:noProof/>
      <w:sz w:val="22"/>
    </w:rPr>
  </w:style>
  <w:style w:type="paragraph" w:customStyle="1" w:styleId="zSoquijdatRefNeutre">
    <w:name w:val="zSoquij_datRefNeutre"/>
    <w:basedOn w:val="zSoquijlblCour"/>
    <w:pPr>
      <w:jc w:val="left"/>
    </w:pPr>
    <w:rPr>
      <w:noProof/>
      <w:sz w:val="22"/>
    </w:rPr>
  </w:style>
  <w:style w:type="paragraph" w:customStyle="1" w:styleId="zSoquijdatSignature2Juge">
    <w:name w:val="zSoquij_datSignature2Juge"/>
    <w:basedOn w:val="zSoquijdatSignatureJuge3"/>
  </w:style>
  <w:style w:type="paragraph" w:customStyle="1" w:styleId="ParagAlaMarge">
    <w:name w:val="ParagAlaMarge"/>
    <w:basedOn w:val="ParagNonNum"/>
    <w:pPr>
      <w:ind w:firstLine="0"/>
    </w:pPr>
  </w:style>
  <w:style w:type="paragraph" w:customStyle="1" w:styleId="zSoquijlblAssesseurs">
    <w:name w:val="zSoquij_lblAssesseurs"/>
    <w:basedOn w:val="Normal"/>
    <w:pPr>
      <w:ind w:left="14" w:right="-67"/>
    </w:pPr>
  </w:style>
  <w:style w:type="paragraph" w:customStyle="1" w:styleId="zSoquijdatAssesseurs">
    <w:name w:val="zSoquij_datAssesseurs"/>
    <w:basedOn w:val="Normal"/>
    <w:pPr>
      <w:ind w:left="14" w:right="-67"/>
    </w:pPr>
  </w:style>
  <w:style w:type="paragraph" w:customStyle="1" w:styleId="zSoquijlblLocalite">
    <w:name w:val="zSoquij_lblLocalite"/>
    <w:basedOn w:val="zSoquijlblGreffe"/>
  </w:style>
  <w:style w:type="paragraph" w:customStyle="1" w:styleId="zSoquijdatLocalite">
    <w:name w:val="zSoquij_datLocalite"/>
    <w:basedOn w:val="zSoquijdatGreffe"/>
  </w:style>
  <w:style w:type="paragraph" w:styleId="En-tte">
    <w:name w:val="header"/>
    <w:basedOn w:val="Normal"/>
    <w:link w:val="En-tteCar"/>
    <w:uiPriority w:val="99"/>
    <w:unhideWhenUsed/>
    <w:rsid w:val="009723AE"/>
    <w:pPr>
      <w:tabs>
        <w:tab w:val="center" w:pos="4320"/>
        <w:tab w:val="right" w:pos="8640"/>
      </w:tabs>
    </w:pPr>
  </w:style>
  <w:style w:type="character" w:customStyle="1" w:styleId="En-tteCar">
    <w:name w:val="En-tête Car"/>
    <w:basedOn w:val="Policepardfaut"/>
    <w:link w:val="En-tte"/>
    <w:uiPriority w:val="99"/>
    <w:rsid w:val="009723AE"/>
    <w:rPr>
      <w:rFonts w:ascii="Arial" w:hAnsi="Arial"/>
      <w:sz w:val="24"/>
      <w:lang w:eastAsia="fr-FR"/>
    </w:rPr>
  </w:style>
  <w:style w:type="paragraph" w:styleId="Pieddepage">
    <w:name w:val="footer"/>
    <w:basedOn w:val="Normal"/>
    <w:link w:val="PieddepageCar"/>
    <w:uiPriority w:val="99"/>
    <w:unhideWhenUsed/>
    <w:rsid w:val="009723AE"/>
    <w:pPr>
      <w:tabs>
        <w:tab w:val="center" w:pos="4320"/>
        <w:tab w:val="right" w:pos="8640"/>
      </w:tabs>
    </w:pPr>
  </w:style>
  <w:style w:type="character" w:customStyle="1" w:styleId="PieddepageCar">
    <w:name w:val="Pied de page Car"/>
    <w:basedOn w:val="Policepardfaut"/>
    <w:link w:val="Pieddepage"/>
    <w:uiPriority w:val="99"/>
    <w:rsid w:val="009723AE"/>
    <w:rPr>
      <w:rFonts w:ascii="Arial" w:hAnsi="Arial"/>
      <w:sz w:val="24"/>
      <w:lang w:eastAsia="fr-FR"/>
    </w:rPr>
  </w:style>
  <w:style w:type="character" w:styleId="Appeldenotedefin">
    <w:name w:val="endnote reference"/>
    <w:basedOn w:val="Policepardfaut"/>
    <w:uiPriority w:val="99"/>
    <w:semiHidden/>
    <w:unhideWhenUsed/>
    <w:rsid w:val="00566475"/>
    <w:rPr>
      <w:vertAlign w:val="superscript"/>
    </w:rPr>
  </w:style>
  <w:style w:type="character" w:styleId="Appelnotedebasdep">
    <w:name w:val="footnote reference"/>
    <w:basedOn w:val="Policepardfaut"/>
    <w:uiPriority w:val="99"/>
    <w:unhideWhenUsed/>
    <w:rsid w:val="00566475"/>
    <w:rPr>
      <w:vertAlign w:val="superscript"/>
    </w:rPr>
  </w:style>
  <w:style w:type="character" w:customStyle="1" w:styleId="ParagrapheCar">
    <w:name w:val="Paragraphe Car"/>
    <w:link w:val="Paragraphe"/>
    <w:qFormat/>
    <w:rsid w:val="00F3102C"/>
    <w:rPr>
      <w:rFonts w:ascii="Arial" w:hAnsi="Arial"/>
      <w:kern w:val="28"/>
      <w:sz w:val="24"/>
      <w:lang w:eastAsia="fr-FR"/>
    </w:rPr>
  </w:style>
  <w:style w:type="paragraph" w:customStyle="1" w:styleId="paragraphe0">
    <w:name w:val="paragraphe"/>
    <w:basedOn w:val="Normal"/>
    <w:rsid w:val="00D06565"/>
    <w:pPr>
      <w:spacing w:before="100" w:beforeAutospacing="1" w:after="100" w:afterAutospacing="1"/>
    </w:pPr>
    <w:rPr>
      <w:rFonts w:ascii="Times New Roman" w:hAnsi="Times New Roman"/>
      <w:szCs w:val="24"/>
      <w:lang w:eastAsia="fr-CA"/>
    </w:rPr>
  </w:style>
  <w:style w:type="character" w:customStyle="1" w:styleId="solexhl">
    <w:name w:val="solexhl"/>
    <w:basedOn w:val="Policepardfaut"/>
    <w:rsid w:val="00D06565"/>
  </w:style>
  <w:style w:type="paragraph" w:customStyle="1" w:styleId="scjnumber">
    <w:name w:val="scjnumber"/>
    <w:basedOn w:val="Normal"/>
    <w:rsid w:val="00C64238"/>
    <w:pPr>
      <w:spacing w:before="100" w:beforeAutospacing="1" w:after="100" w:afterAutospacing="1"/>
    </w:pPr>
    <w:rPr>
      <w:rFonts w:ascii="Times New Roman" w:hAnsi="Times New Roman"/>
      <w:szCs w:val="24"/>
      <w:lang w:eastAsia="fr-CA"/>
    </w:rPr>
  </w:style>
  <w:style w:type="paragraph" w:customStyle="1" w:styleId="Default">
    <w:name w:val="Default"/>
    <w:rsid w:val="005D0C6E"/>
    <w:pPr>
      <w:autoSpaceDE w:val="0"/>
      <w:autoSpaceDN w:val="0"/>
      <w:adjustRightInd w:val="0"/>
    </w:pPr>
    <w:rPr>
      <w:color w:val="000000"/>
      <w:sz w:val="24"/>
      <w:szCs w:val="24"/>
    </w:rPr>
  </w:style>
  <w:style w:type="character" w:customStyle="1" w:styleId="reflex">
    <w:name w:val="reflex"/>
    <w:basedOn w:val="Policepardfaut"/>
    <w:rsid w:val="00323A3C"/>
  </w:style>
  <w:style w:type="character" w:customStyle="1" w:styleId="reflex3-block">
    <w:name w:val="reflex3-block"/>
    <w:basedOn w:val="Policepardfaut"/>
    <w:rsid w:val="005E3AE9"/>
  </w:style>
  <w:style w:type="character" w:styleId="Lienhypertexte">
    <w:name w:val="Hyperlink"/>
    <w:basedOn w:val="Policepardfaut"/>
    <w:unhideWhenUsed/>
    <w:rsid w:val="005E3AE9"/>
    <w:rPr>
      <w:color w:val="0000FF"/>
      <w:u w:val="single"/>
    </w:rPr>
  </w:style>
  <w:style w:type="character" w:customStyle="1" w:styleId="NotedebasdepageCar">
    <w:name w:val="Note de bas de page Car"/>
    <w:basedOn w:val="Policepardfaut"/>
    <w:link w:val="Notedebasdepage"/>
    <w:rsid w:val="00787ADD"/>
    <w:rPr>
      <w:rFonts w:ascii="Arial" w:hAnsi="Arial"/>
      <w:lang w:eastAsia="fr-FR"/>
    </w:rPr>
  </w:style>
  <w:style w:type="paragraph" w:customStyle="1" w:styleId="numberedparagraph">
    <w:name w:val="numberedparagraph"/>
    <w:basedOn w:val="Normal"/>
    <w:rsid w:val="00326880"/>
    <w:pPr>
      <w:spacing w:before="100" w:beforeAutospacing="1" w:after="100" w:afterAutospacing="1"/>
    </w:pPr>
    <w:rPr>
      <w:rFonts w:ascii="Times New Roman" w:hAnsi="Times New Roman"/>
      <w:szCs w:val="24"/>
      <w:lang w:eastAsia="fr-CA"/>
    </w:rPr>
  </w:style>
  <w:style w:type="paragraph" w:customStyle="1" w:styleId="reasonsnumberedparagraph">
    <w:name w:val="reasonsnumberedparagraph"/>
    <w:basedOn w:val="Normal"/>
    <w:rsid w:val="00EC20A4"/>
    <w:pPr>
      <w:spacing w:before="100" w:beforeAutospacing="1" w:after="100" w:afterAutospacing="1"/>
    </w:pPr>
    <w:rPr>
      <w:rFonts w:ascii="Times New Roman" w:hAnsi="Times New Roman"/>
      <w:szCs w:val="24"/>
      <w:lang w:eastAsia="fr-CA"/>
    </w:rPr>
  </w:style>
  <w:style w:type="paragraph" w:customStyle="1" w:styleId="reasonsquotelevel1">
    <w:name w:val="reasonsquotelevel1"/>
    <w:basedOn w:val="Normal"/>
    <w:rsid w:val="00EC20A4"/>
    <w:pPr>
      <w:spacing w:before="100" w:beforeAutospacing="1" w:after="100" w:afterAutospacing="1"/>
    </w:pPr>
    <w:rPr>
      <w:rFonts w:ascii="Times New Roman" w:hAnsi="Times New Roman"/>
      <w:szCs w:val="24"/>
      <w:lang w:eastAsia="fr-CA"/>
    </w:rPr>
  </w:style>
  <w:style w:type="paragraph" w:customStyle="1" w:styleId="scjquote">
    <w:name w:val="scjquote"/>
    <w:basedOn w:val="Normal"/>
    <w:rsid w:val="00F55086"/>
    <w:pPr>
      <w:spacing w:before="100" w:beforeAutospacing="1" w:after="100" w:afterAutospacing="1"/>
    </w:pPr>
    <w:rPr>
      <w:rFonts w:ascii="Times New Roman" w:hAnsi="Times New Roman"/>
      <w:szCs w:val="24"/>
      <w:lang w:eastAsia="fr-CA"/>
    </w:rPr>
  </w:style>
  <w:style w:type="character" w:styleId="Accentuation">
    <w:name w:val="Emphasis"/>
    <w:basedOn w:val="Policepardfaut"/>
    <w:uiPriority w:val="20"/>
    <w:qFormat/>
    <w:rsid w:val="00CB2D35"/>
    <w:rPr>
      <w:i/>
      <w:iCs/>
    </w:rPr>
  </w:style>
  <w:style w:type="paragraph" w:styleId="Textedebulles">
    <w:name w:val="Balloon Text"/>
    <w:basedOn w:val="Normal"/>
    <w:link w:val="TextedebullesCar"/>
    <w:uiPriority w:val="99"/>
    <w:semiHidden/>
    <w:unhideWhenUsed/>
    <w:rsid w:val="00D038C3"/>
    <w:rPr>
      <w:rFonts w:ascii="Segoe UI" w:hAnsi="Segoe UI" w:cs="Segoe UI"/>
      <w:sz w:val="18"/>
      <w:szCs w:val="18"/>
    </w:rPr>
  </w:style>
  <w:style w:type="character" w:customStyle="1" w:styleId="TextedebullesCar">
    <w:name w:val="Texte de bulles Car"/>
    <w:basedOn w:val="Policepardfaut"/>
    <w:link w:val="Textedebulles"/>
    <w:uiPriority w:val="99"/>
    <w:semiHidden/>
    <w:rsid w:val="00D038C3"/>
    <w:rPr>
      <w:rFonts w:ascii="Segoe UI" w:hAnsi="Segoe UI" w:cs="Segoe UI"/>
      <w:sz w:val="18"/>
      <w:szCs w:val="18"/>
      <w:lang w:eastAsia="fr-FR"/>
    </w:rPr>
  </w:style>
  <w:style w:type="paragraph" w:styleId="Rvision">
    <w:name w:val="Revision"/>
    <w:hidden/>
    <w:uiPriority w:val="99"/>
    <w:semiHidden/>
    <w:rsid w:val="00FD09F9"/>
    <w:rPr>
      <w:rFonts w:ascii="Arial" w:hAnsi="Arial"/>
      <w:sz w:val="24"/>
      <w:lang w:eastAsia="fr-FR"/>
    </w:rPr>
  </w:style>
  <w:style w:type="paragraph" w:styleId="Paragraphedeliste">
    <w:name w:val="List Paragraph"/>
    <w:basedOn w:val="Normal"/>
    <w:uiPriority w:val="34"/>
    <w:qFormat/>
    <w:rsid w:val="00405812"/>
    <w:pPr>
      <w:ind w:left="720"/>
      <w:contextualSpacing/>
    </w:pPr>
  </w:style>
  <w:style w:type="paragraph" w:customStyle="1" w:styleId="section">
    <w:name w:val="section"/>
    <w:basedOn w:val="Normal"/>
    <w:rsid w:val="009016C3"/>
    <w:pPr>
      <w:spacing w:before="100" w:beforeAutospacing="1" w:after="100" w:afterAutospacing="1"/>
    </w:pPr>
    <w:rPr>
      <w:rFonts w:ascii="Times New Roman" w:hAnsi="Times New Roman"/>
      <w:szCs w:val="24"/>
      <w:lang w:eastAsia="fr-CA"/>
    </w:rPr>
  </w:style>
  <w:style w:type="character" w:customStyle="1" w:styleId="sectionlabel">
    <w:name w:val="sectionlabel"/>
    <w:basedOn w:val="Policepardfaut"/>
    <w:rsid w:val="009016C3"/>
  </w:style>
  <w:style w:type="paragraph" w:customStyle="1" w:styleId="paragraph">
    <w:name w:val="paragraph"/>
    <w:basedOn w:val="Normal"/>
    <w:rsid w:val="009016C3"/>
    <w:pPr>
      <w:spacing w:before="100" w:beforeAutospacing="1" w:after="100" w:afterAutospacing="1"/>
    </w:pPr>
    <w:rPr>
      <w:rFonts w:ascii="Times New Roman" w:hAnsi="Times New Roman"/>
      <w:szCs w:val="24"/>
      <w:lang w:eastAsia="fr-CA"/>
    </w:rPr>
  </w:style>
  <w:style w:type="character" w:customStyle="1" w:styleId="lawlabel">
    <w:name w:val="lawlabel"/>
    <w:basedOn w:val="Policepardfaut"/>
    <w:rsid w:val="009016C3"/>
  </w:style>
  <w:style w:type="table" w:styleId="Grilledutableau">
    <w:name w:val="Table Grid"/>
    <w:basedOn w:val="TableauNormal"/>
    <w:rsid w:val="005A068F"/>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mpedfont15">
    <w:name w:val="bumpedfont15"/>
    <w:basedOn w:val="Policepardfaut"/>
    <w:rsid w:val="005A068F"/>
  </w:style>
  <w:style w:type="paragraph" w:customStyle="1" w:styleId="marginalnote">
    <w:name w:val="marginalnote"/>
    <w:basedOn w:val="Normal"/>
    <w:rsid w:val="00A340B2"/>
    <w:pPr>
      <w:spacing w:before="100" w:beforeAutospacing="1" w:after="100" w:afterAutospacing="1"/>
    </w:pPr>
    <w:rPr>
      <w:rFonts w:ascii="Times New Roman" w:hAnsi="Times New Roman"/>
      <w:szCs w:val="24"/>
      <w:lang w:eastAsia="fr-CA"/>
    </w:rPr>
  </w:style>
  <w:style w:type="paragraph" w:customStyle="1" w:styleId="subsection">
    <w:name w:val="subsection"/>
    <w:basedOn w:val="Normal"/>
    <w:rsid w:val="00A340B2"/>
    <w:pPr>
      <w:spacing w:before="100" w:beforeAutospacing="1" w:after="100" w:afterAutospacing="1"/>
    </w:pPr>
    <w:rPr>
      <w:rFonts w:ascii="Times New Roman" w:hAnsi="Times New Roman"/>
      <w:szCs w:val="24"/>
      <w:lang w:eastAsia="fr-CA"/>
    </w:rPr>
  </w:style>
  <w:style w:type="paragraph" w:customStyle="1" w:styleId="normalnumber0">
    <w:name w:val="normalnumber0"/>
    <w:basedOn w:val="Normal"/>
    <w:rsid w:val="00A227C8"/>
    <w:pPr>
      <w:spacing w:before="100" w:beforeAutospacing="1" w:after="100" w:afterAutospacing="1"/>
    </w:pPr>
    <w:rPr>
      <w:rFonts w:ascii="Times New Roman" w:hAnsi="Times New Roman"/>
      <w:szCs w:val="24"/>
      <w:lang w:eastAsia="fr-CA"/>
    </w:rPr>
  </w:style>
  <w:style w:type="character" w:customStyle="1" w:styleId="reflex3-missing">
    <w:name w:val="reflex3-missing"/>
    <w:basedOn w:val="Policepardfaut"/>
    <w:rsid w:val="00A227C8"/>
  </w:style>
  <w:style w:type="paragraph" w:customStyle="1" w:styleId="Citation1">
    <w:name w:val="Citation1"/>
    <w:basedOn w:val="Normal"/>
    <w:rsid w:val="00A227C8"/>
    <w:pPr>
      <w:spacing w:before="100" w:beforeAutospacing="1" w:after="100" w:afterAutospacing="1"/>
    </w:pPr>
    <w:rPr>
      <w:rFonts w:ascii="Times New Roman" w:hAnsi="Times New Roman"/>
      <w:szCs w:val="24"/>
      <w:lang w:eastAsia="fr-CA"/>
    </w:rPr>
  </w:style>
  <w:style w:type="character" w:styleId="Lienhypertextesuivivisit">
    <w:name w:val="FollowedHyperlink"/>
    <w:basedOn w:val="Policepardfaut"/>
    <w:uiPriority w:val="99"/>
    <w:semiHidden/>
    <w:unhideWhenUsed/>
    <w:rsid w:val="0002745F"/>
    <w:rPr>
      <w:color w:val="954F72" w:themeColor="followedHyperlink"/>
      <w:u w:val="single"/>
    </w:rPr>
  </w:style>
  <w:style w:type="character" w:customStyle="1" w:styleId="Titre1Car">
    <w:name w:val="Titre 1 Car"/>
    <w:basedOn w:val="Policepardfaut"/>
    <w:link w:val="Titre1"/>
    <w:rsid w:val="00A442FB"/>
    <w:rPr>
      <w:rFonts w:ascii="Arial" w:hAnsi="Arial"/>
      <w:b/>
      <w:kern w:val="28"/>
      <w:sz w:val="28"/>
      <w:lang w:eastAsia="fr-FR"/>
    </w:rPr>
  </w:style>
  <w:style w:type="character" w:customStyle="1" w:styleId="reflex3-alt">
    <w:name w:val="reflex3-alt"/>
    <w:basedOn w:val="Policepardfaut"/>
    <w:rsid w:val="0008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64DBD-41D7-4E4A-BC5F-4039BA3DD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7830</Words>
  <Characters>40579</Characters>
  <Application>Microsoft Office Word</Application>
  <DocSecurity>0</DocSecurity>
  <Lines>338</Lines>
  <Paragraphs>96</Paragraphs>
  <ScaleCrop>false</ScaleCrop>
  <Company/>
  <LinksUpToDate>false</LinksUpToDate>
  <CharactersWithSpaces>48313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2023-02-07T16:43:00Z</dcterms:created>
  <dcterms:modified xsi:type="dcterms:W3CDTF">2023-02-07T16:43:00Z</dcterms:modified>
</cp:coreProperties>
</file>