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Layout w:type="fixed"/>
        <w:tblCellMar>
          <w:left w:w="70" w:type="dxa"/>
          <w:right w:w="70" w:type="dxa"/>
        </w:tblCellMar>
        <w:tblLook w:val="04A0" w:firstRow="1" w:lastRow="0" w:firstColumn="1" w:lastColumn="0" w:noHBand="0" w:noVBand="1"/>
      </w:tblPr>
      <w:tblGrid>
        <w:gridCol w:w="1036"/>
        <w:gridCol w:w="69"/>
        <w:gridCol w:w="520"/>
        <w:gridCol w:w="42"/>
        <w:gridCol w:w="1533"/>
        <w:gridCol w:w="1826"/>
        <w:gridCol w:w="1848"/>
        <w:gridCol w:w="2631"/>
      </w:tblGrid>
      <w:tr w:rsidR="000B376D" w:rsidTr="00E03816">
        <w:trPr>
          <w:trHeight w:val="360"/>
        </w:trPr>
        <w:tc>
          <w:tcPr>
            <w:tcW w:w="6874" w:type="dxa"/>
            <w:gridSpan w:val="7"/>
            <w:hideMark/>
          </w:tcPr>
          <w:p w:rsidR="00E03816" w:rsidRPr="003C5787" w:rsidRDefault="003C5787" w:rsidP="003C5787">
            <w:pPr>
              <w:pStyle w:val="zSoquijdatRepertorie"/>
              <w:rPr>
                <w:rFonts w:cs="Arial"/>
              </w:rPr>
            </w:pPr>
            <w:bookmarkStart w:id="0" w:name="_GoBack"/>
            <w:bookmarkEnd w:id="0"/>
            <w:r>
              <w:rPr>
                <w:rFonts w:cs="Arial"/>
                <w:lang w:eastAsia="fr-CA"/>
              </w:rPr>
              <w:t>R. c. Fiorita</w:t>
            </w:r>
          </w:p>
        </w:tc>
        <w:tc>
          <w:tcPr>
            <w:tcW w:w="2631" w:type="dxa"/>
          </w:tcPr>
          <w:p w:rsidR="00E03816" w:rsidRPr="00B51E5A" w:rsidRDefault="00B51E5A" w:rsidP="00B51E5A">
            <w:pPr>
              <w:pStyle w:val="zSoquijdatRefNeutre"/>
              <w:jc w:val="right"/>
              <w:rPr>
                <w:rFonts w:cs="Arial"/>
              </w:rPr>
            </w:pPr>
            <w:r w:rsidRPr="00B51E5A">
              <w:rPr>
                <w:rFonts w:cs="Arial"/>
              </w:rPr>
              <w:t>2020 QCCQ 3516</w:t>
            </w:r>
          </w:p>
        </w:tc>
      </w:tr>
      <w:tr w:rsidR="000B376D" w:rsidTr="00E03816">
        <w:trPr>
          <w:trHeight w:val="900"/>
        </w:trPr>
        <w:tc>
          <w:tcPr>
            <w:tcW w:w="9505" w:type="dxa"/>
            <w:gridSpan w:val="8"/>
            <w:vAlign w:val="bottom"/>
            <w:hideMark/>
          </w:tcPr>
          <w:p w:rsidR="00E03816" w:rsidRDefault="003C5787">
            <w:pPr>
              <w:pStyle w:val="zSoquijlblCour"/>
            </w:pPr>
            <w:r>
              <w:t>COUR DU QUÉBEC</w:t>
            </w:r>
          </w:p>
        </w:tc>
      </w:tr>
      <w:tr w:rsidR="000B376D" w:rsidTr="00E03816">
        <w:trPr>
          <w:trHeight w:val="540"/>
        </w:trPr>
        <w:tc>
          <w:tcPr>
            <w:tcW w:w="9505" w:type="dxa"/>
            <w:gridSpan w:val="8"/>
          </w:tcPr>
          <w:p w:rsidR="00E03816" w:rsidRDefault="00E03816">
            <w:pPr>
              <w:pStyle w:val="zSoquijdatDivision"/>
            </w:pPr>
          </w:p>
        </w:tc>
      </w:tr>
      <w:tr w:rsidR="000B376D" w:rsidTr="00E03816">
        <w:tc>
          <w:tcPr>
            <w:tcW w:w="9505" w:type="dxa"/>
            <w:gridSpan w:val="8"/>
            <w:hideMark/>
          </w:tcPr>
          <w:p w:rsidR="00E03816" w:rsidRDefault="003C5787">
            <w:pPr>
              <w:pStyle w:val="zSoquijlblPays"/>
            </w:pPr>
            <w:r>
              <w:t>CANADA</w:t>
            </w:r>
          </w:p>
        </w:tc>
      </w:tr>
      <w:tr w:rsidR="000B376D" w:rsidTr="00E03816">
        <w:tc>
          <w:tcPr>
            <w:tcW w:w="9505" w:type="dxa"/>
            <w:gridSpan w:val="8"/>
            <w:hideMark/>
          </w:tcPr>
          <w:p w:rsidR="00E03816" w:rsidRDefault="003C5787">
            <w:pPr>
              <w:pStyle w:val="zSoquijlblProvince"/>
            </w:pPr>
            <w:r>
              <w:t>PROVINCE DE QUÉBEC</w:t>
            </w:r>
          </w:p>
        </w:tc>
      </w:tr>
      <w:tr w:rsidR="000B376D" w:rsidTr="00E03816">
        <w:trPr>
          <w:cantSplit/>
        </w:trPr>
        <w:tc>
          <w:tcPr>
            <w:tcW w:w="1625" w:type="dxa"/>
            <w:gridSpan w:val="3"/>
            <w:tcMar>
              <w:top w:w="0" w:type="dxa"/>
              <w:left w:w="0" w:type="dxa"/>
              <w:bottom w:w="0" w:type="dxa"/>
              <w:right w:w="0" w:type="dxa"/>
            </w:tcMar>
            <w:hideMark/>
          </w:tcPr>
          <w:p w:rsidR="00E03816" w:rsidRDefault="003C5787">
            <w:pPr>
              <w:pStyle w:val="zSoquijlblGreffe"/>
            </w:pPr>
            <w:r>
              <w:t>DISTRICT DE</w:t>
            </w:r>
          </w:p>
        </w:tc>
        <w:tc>
          <w:tcPr>
            <w:tcW w:w="7880" w:type="dxa"/>
            <w:gridSpan w:val="5"/>
            <w:tcMar>
              <w:top w:w="0" w:type="dxa"/>
              <w:left w:w="0" w:type="dxa"/>
              <w:bottom w:w="0" w:type="dxa"/>
              <w:right w:w="0" w:type="dxa"/>
            </w:tcMar>
            <w:hideMark/>
          </w:tcPr>
          <w:p w:rsidR="00E03816" w:rsidRDefault="003C5787">
            <w:pPr>
              <w:pStyle w:val="zSoquijdatGreffe"/>
            </w:pPr>
            <w:r>
              <w:t>BEAUHARNOIS</w:t>
            </w:r>
          </w:p>
        </w:tc>
      </w:tr>
      <w:tr w:rsidR="000B376D" w:rsidTr="00E03816">
        <w:trPr>
          <w:cantSplit/>
        </w:trPr>
        <w:tc>
          <w:tcPr>
            <w:tcW w:w="1667" w:type="dxa"/>
            <w:gridSpan w:val="4"/>
            <w:tcMar>
              <w:top w:w="0" w:type="dxa"/>
              <w:left w:w="0" w:type="dxa"/>
              <w:bottom w:w="0" w:type="dxa"/>
              <w:right w:w="0" w:type="dxa"/>
            </w:tcMar>
            <w:hideMark/>
          </w:tcPr>
          <w:p w:rsidR="00E03816" w:rsidRDefault="003C5787">
            <w:pPr>
              <w:pStyle w:val="zSoquijlblLocalite"/>
            </w:pPr>
            <w:r>
              <w:t>LOCALITÉ DE</w:t>
            </w:r>
          </w:p>
        </w:tc>
        <w:tc>
          <w:tcPr>
            <w:tcW w:w="7838" w:type="dxa"/>
            <w:gridSpan w:val="4"/>
            <w:tcMar>
              <w:top w:w="0" w:type="dxa"/>
              <w:left w:w="0" w:type="dxa"/>
              <w:bottom w:w="0" w:type="dxa"/>
              <w:right w:w="0" w:type="dxa"/>
            </w:tcMar>
            <w:hideMark/>
          </w:tcPr>
          <w:p w:rsidR="00E03816" w:rsidRDefault="003C5787">
            <w:pPr>
              <w:pStyle w:val="zSoquijdatLocalite"/>
            </w:pPr>
            <w:r>
              <w:t>SALABERRY-DE-VALLEYFIELD</w:t>
            </w:r>
          </w:p>
        </w:tc>
      </w:tr>
      <w:tr w:rsidR="000B376D" w:rsidTr="00E03816">
        <w:trPr>
          <w:trHeight w:val="540"/>
        </w:trPr>
        <w:tc>
          <w:tcPr>
            <w:tcW w:w="9505" w:type="dxa"/>
            <w:gridSpan w:val="8"/>
            <w:hideMark/>
          </w:tcPr>
          <w:p w:rsidR="00E03816" w:rsidRDefault="003C5787">
            <w:pPr>
              <w:pStyle w:val="zSoquijlblNomChambre"/>
            </w:pPr>
            <w:r>
              <w:rPr>
                <w:lang w:val="fr-FR"/>
              </w:rPr>
              <w:t xml:space="preserve">« Chambre </w:t>
            </w:r>
            <w:r>
              <w:t>criminelle et pénale</w:t>
            </w:r>
            <w:r>
              <w:rPr>
                <w:lang w:val="fr-FR"/>
              </w:rPr>
              <w:t> »</w:t>
            </w:r>
          </w:p>
        </w:tc>
      </w:tr>
      <w:tr w:rsidR="000B376D" w:rsidTr="00E03816">
        <w:tc>
          <w:tcPr>
            <w:tcW w:w="1105" w:type="dxa"/>
            <w:gridSpan w:val="2"/>
            <w:hideMark/>
          </w:tcPr>
          <w:p w:rsidR="00E03816" w:rsidRDefault="003C5787">
            <w:pPr>
              <w:pStyle w:val="zSoquijlblNoDossier"/>
            </w:pPr>
            <w:r>
              <w:t>N° :</w:t>
            </w:r>
          </w:p>
        </w:tc>
        <w:tc>
          <w:tcPr>
            <w:tcW w:w="8400" w:type="dxa"/>
            <w:gridSpan w:val="6"/>
            <w:hideMark/>
          </w:tcPr>
          <w:p w:rsidR="00E03816" w:rsidRDefault="003C5787">
            <w:pPr>
              <w:pStyle w:val="zSoquijdatNoDossier"/>
            </w:pPr>
            <w:r>
              <w:t>760-01-</w:t>
            </w:r>
            <w:r w:rsidR="00602640">
              <w:t>0</w:t>
            </w:r>
            <w:r w:rsidR="00721FDD">
              <w:t>92579-181</w:t>
            </w:r>
            <w:r>
              <w:fldChar w:fldCharType="begin"/>
            </w:r>
            <w:r>
              <w:instrText xml:space="preserve"> </w:instrText>
            </w:r>
            <w:r>
              <w:fldChar w:fldCharType="end"/>
            </w:r>
          </w:p>
        </w:tc>
      </w:tr>
      <w:tr w:rsidR="000B376D" w:rsidTr="00E03816">
        <w:trPr>
          <w:cantSplit/>
        </w:trPr>
        <w:tc>
          <w:tcPr>
            <w:tcW w:w="1105" w:type="dxa"/>
            <w:gridSpan w:val="2"/>
            <w:tcMar>
              <w:top w:w="0" w:type="dxa"/>
              <w:left w:w="0" w:type="dxa"/>
              <w:bottom w:w="0" w:type="dxa"/>
              <w:right w:w="0" w:type="dxa"/>
            </w:tcMar>
          </w:tcPr>
          <w:p w:rsidR="00E03816" w:rsidRDefault="00E03816">
            <w:pPr>
              <w:pStyle w:val="zSoquijlblGreffe"/>
            </w:pPr>
          </w:p>
        </w:tc>
        <w:tc>
          <w:tcPr>
            <w:tcW w:w="8400" w:type="dxa"/>
            <w:gridSpan w:val="6"/>
            <w:tcMar>
              <w:top w:w="0" w:type="dxa"/>
              <w:left w:w="0" w:type="dxa"/>
              <w:bottom w:w="0" w:type="dxa"/>
              <w:right w:w="0" w:type="dxa"/>
            </w:tcMar>
            <w:hideMark/>
          </w:tcPr>
          <w:p w:rsidR="00E03816" w:rsidRDefault="003C5787">
            <w:pPr>
              <w:pStyle w:val="zSoquijdatNoDossierAnt"/>
            </w:pPr>
            <w:r>
              <w:t xml:space="preserve"> </w:t>
            </w:r>
          </w:p>
        </w:tc>
      </w:tr>
      <w:tr w:rsidR="000B376D" w:rsidTr="00E03816">
        <w:trPr>
          <w:cantSplit/>
          <w:trHeight w:val="235"/>
        </w:trPr>
        <w:tc>
          <w:tcPr>
            <w:tcW w:w="9505" w:type="dxa"/>
            <w:gridSpan w:val="8"/>
          </w:tcPr>
          <w:p w:rsidR="00E03816" w:rsidRDefault="00E03816"/>
        </w:tc>
      </w:tr>
      <w:tr w:rsidR="000B376D" w:rsidTr="00E03816">
        <w:tc>
          <w:tcPr>
            <w:tcW w:w="1036" w:type="dxa"/>
            <w:hideMark/>
          </w:tcPr>
          <w:p w:rsidR="00E03816" w:rsidRDefault="003C5787">
            <w:pPr>
              <w:pStyle w:val="zSoquijlblDateJugement"/>
            </w:pPr>
            <w:r>
              <w:t>DATE :</w:t>
            </w:r>
          </w:p>
        </w:tc>
        <w:tc>
          <w:tcPr>
            <w:tcW w:w="8469" w:type="dxa"/>
            <w:gridSpan w:val="7"/>
            <w:hideMark/>
          </w:tcPr>
          <w:p w:rsidR="00E03816" w:rsidRDefault="003C5787">
            <w:pPr>
              <w:pStyle w:val="zSoquijdatDateJugement"/>
            </w:pPr>
            <w:r>
              <w:t xml:space="preserve"> </w:t>
            </w:r>
            <w:r w:rsidR="00721FDD">
              <w:t>15 septembre 2020</w:t>
            </w:r>
            <w:r>
              <w:fldChar w:fldCharType="begin"/>
            </w:r>
            <w:r>
              <w:instrText xml:space="preserve">  </w:instrText>
            </w:r>
            <w:r>
              <w:fldChar w:fldCharType="end"/>
            </w:r>
          </w:p>
        </w:tc>
      </w:tr>
      <w:tr w:rsidR="000B376D" w:rsidTr="00E03816">
        <w:tc>
          <w:tcPr>
            <w:tcW w:w="9505" w:type="dxa"/>
            <w:gridSpan w:val="8"/>
            <w:hideMark/>
          </w:tcPr>
          <w:p w:rsidR="00E03816" w:rsidRDefault="003C5787">
            <w:pPr>
              <w:ind w:left="14" w:right="-67"/>
            </w:pPr>
            <w:r>
              <w:t>______________________________________________________________________</w:t>
            </w:r>
          </w:p>
        </w:tc>
      </w:tr>
      <w:tr w:rsidR="000B376D" w:rsidTr="00E03816">
        <w:tc>
          <w:tcPr>
            <w:tcW w:w="9505" w:type="dxa"/>
            <w:gridSpan w:val="8"/>
          </w:tcPr>
          <w:p w:rsidR="00E03816" w:rsidRDefault="00E03816"/>
        </w:tc>
      </w:tr>
      <w:tr w:rsidR="000B376D" w:rsidTr="00E03816">
        <w:tc>
          <w:tcPr>
            <w:tcW w:w="3200" w:type="dxa"/>
            <w:gridSpan w:val="5"/>
            <w:tcMar>
              <w:top w:w="0" w:type="dxa"/>
              <w:left w:w="0" w:type="dxa"/>
              <w:bottom w:w="0" w:type="dxa"/>
              <w:right w:w="0" w:type="dxa"/>
            </w:tcMar>
            <w:hideMark/>
          </w:tcPr>
          <w:p w:rsidR="00E03816" w:rsidRDefault="003C5787">
            <w:pPr>
              <w:pStyle w:val="zSoquijlblJuge"/>
            </w:pPr>
            <w:r>
              <w:t>SOUS LA PRÉSIDENCE DE</w:t>
            </w:r>
          </w:p>
        </w:tc>
        <w:tc>
          <w:tcPr>
            <w:tcW w:w="1826" w:type="dxa"/>
            <w:tcMar>
              <w:top w:w="0" w:type="dxa"/>
              <w:left w:w="0" w:type="dxa"/>
              <w:bottom w:w="0" w:type="dxa"/>
              <w:right w:w="0" w:type="dxa"/>
            </w:tcMar>
            <w:hideMark/>
          </w:tcPr>
          <w:p w:rsidR="00E03816" w:rsidRDefault="003C5787">
            <w:pPr>
              <w:pStyle w:val="zSoquijdatQteJuge"/>
            </w:pPr>
            <w:r>
              <w:t>L’HONORABLE</w:t>
            </w:r>
          </w:p>
        </w:tc>
        <w:tc>
          <w:tcPr>
            <w:tcW w:w="4479" w:type="dxa"/>
            <w:gridSpan w:val="2"/>
            <w:tcMar>
              <w:top w:w="0" w:type="dxa"/>
              <w:left w:w="0" w:type="dxa"/>
              <w:bottom w:w="0" w:type="dxa"/>
              <w:right w:w="0" w:type="dxa"/>
            </w:tcMar>
            <w:hideMark/>
          </w:tcPr>
          <w:p w:rsidR="00E03816" w:rsidRDefault="003C5787">
            <w:pPr>
              <w:pStyle w:val="zSoquijdatJuge"/>
            </w:pPr>
            <w:r>
              <w:t>BERTRAND ST-ARNAUD, J.C.Q.</w:t>
            </w:r>
          </w:p>
        </w:tc>
      </w:tr>
      <w:tr w:rsidR="000B376D" w:rsidTr="00E03816">
        <w:tc>
          <w:tcPr>
            <w:tcW w:w="9505" w:type="dxa"/>
            <w:gridSpan w:val="8"/>
            <w:hideMark/>
          </w:tcPr>
          <w:p w:rsidR="00E03816" w:rsidRDefault="003C5787">
            <w:pPr>
              <w:ind w:left="14" w:right="-67"/>
            </w:pPr>
            <w:r>
              <w:t>______________________________________________________________________</w:t>
            </w:r>
          </w:p>
        </w:tc>
      </w:tr>
      <w:tr w:rsidR="000B376D" w:rsidTr="00E03816">
        <w:tc>
          <w:tcPr>
            <w:tcW w:w="9505" w:type="dxa"/>
            <w:gridSpan w:val="8"/>
          </w:tcPr>
          <w:p w:rsidR="00E03816" w:rsidRDefault="00E03816">
            <w:pPr>
              <w:pStyle w:val="zSoquijlblTitrePartie"/>
            </w:pPr>
          </w:p>
        </w:tc>
      </w:tr>
      <w:tr w:rsidR="000B376D" w:rsidTr="00E03816">
        <w:tc>
          <w:tcPr>
            <w:tcW w:w="9505" w:type="dxa"/>
            <w:gridSpan w:val="8"/>
          </w:tcPr>
          <w:p w:rsidR="00E03816" w:rsidRDefault="00E03816"/>
        </w:tc>
      </w:tr>
      <w:tr w:rsidR="000B376D" w:rsidTr="00E03816">
        <w:tc>
          <w:tcPr>
            <w:tcW w:w="9505" w:type="dxa"/>
            <w:gridSpan w:val="8"/>
            <w:hideMark/>
          </w:tcPr>
          <w:p w:rsidR="00E03816" w:rsidRDefault="003C5787">
            <w:pPr>
              <w:pStyle w:val="zSoquijdatNomPartieDem"/>
            </w:pPr>
            <w:r>
              <w:t>SA MAJESTÉ LA REINE</w:t>
            </w:r>
          </w:p>
        </w:tc>
      </w:tr>
      <w:tr w:rsidR="000B376D" w:rsidTr="00E03816">
        <w:tc>
          <w:tcPr>
            <w:tcW w:w="9505" w:type="dxa"/>
            <w:gridSpan w:val="8"/>
          </w:tcPr>
          <w:p w:rsidR="00E03816" w:rsidRDefault="003C5787">
            <w:pPr>
              <w:pStyle w:val="zSoquijdatQtePartieDem"/>
            </w:pPr>
            <w:r>
              <w:t>Poursuivante</w:t>
            </w:r>
          </w:p>
          <w:p w:rsidR="00E03816" w:rsidRDefault="00E03816">
            <w:pPr>
              <w:pStyle w:val="zSoquijdatQtePartieDem"/>
            </w:pPr>
          </w:p>
        </w:tc>
      </w:tr>
      <w:tr w:rsidR="000B376D" w:rsidTr="00E03816">
        <w:tc>
          <w:tcPr>
            <w:tcW w:w="9505" w:type="dxa"/>
            <w:gridSpan w:val="8"/>
          </w:tcPr>
          <w:p w:rsidR="00E03816" w:rsidRDefault="003C5787">
            <w:pPr>
              <w:pStyle w:val="zSoquijlblLienParties"/>
            </w:pPr>
            <w:r>
              <w:t>c.</w:t>
            </w:r>
          </w:p>
          <w:p w:rsidR="00E03816" w:rsidRDefault="00E03816">
            <w:pPr>
              <w:pStyle w:val="zSoquijlblLienParties"/>
            </w:pPr>
          </w:p>
        </w:tc>
      </w:tr>
      <w:tr w:rsidR="000B376D" w:rsidTr="00E03816">
        <w:tc>
          <w:tcPr>
            <w:tcW w:w="9505" w:type="dxa"/>
            <w:gridSpan w:val="8"/>
            <w:hideMark/>
          </w:tcPr>
          <w:p w:rsidR="00E03816" w:rsidRDefault="003C5787">
            <w:pPr>
              <w:pStyle w:val="zSoquijdatNomPartieDef"/>
              <w:rPr>
                <w:lang w:val="fr-FR"/>
              </w:rPr>
            </w:pPr>
            <w:r>
              <w:rPr>
                <w:lang w:val="fr-FR"/>
              </w:rPr>
              <w:t>JONATHAN FIORITA</w:t>
            </w:r>
            <w:r>
              <w:rPr>
                <w:lang w:val="fr-FR"/>
              </w:rPr>
              <w:fldChar w:fldCharType="begin"/>
            </w:r>
            <w:r>
              <w:rPr>
                <w:lang w:val="fr-FR"/>
              </w:rPr>
              <w:instrText xml:space="preserve">  </w:instrText>
            </w:r>
            <w:r>
              <w:rPr>
                <w:lang w:val="fr-FR"/>
              </w:rPr>
              <w:fldChar w:fldCharType="end"/>
            </w:r>
          </w:p>
        </w:tc>
      </w:tr>
      <w:tr w:rsidR="000B376D" w:rsidTr="00E03816">
        <w:tc>
          <w:tcPr>
            <w:tcW w:w="9505" w:type="dxa"/>
            <w:gridSpan w:val="8"/>
            <w:hideMark/>
          </w:tcPr>
          <w:p w:rsidR="00E03816" w:rsidRDefault="003C5787">
            <w:pPr>
              <w:pStyle w:val="zSoquijdatQtePartieDef"/>
            </w:pPr>
            <w:r>
              <w:t>Accusé</w:t>
            </w:r>
            <w:r>
              <w:fldChar w:fldCharType="begin"/>
            </w:r>
            <w:r>
              <w:instrText xml:space="preserve">  </w:instrText>
            </w:r>
            <w:r>
              <w:fldChar w:fldCharType="end"/>
            </w:r>
          </w:p>
        </w:tc>
      </w:tr>
      <w:tr w:rsidR="000B376D" w:rsidTr="00E03816">
        <w:tc>
          <w:tcPr>
            <w:tcW w:w="9505" w:type="dxa"/>
            <w:gridSpan w:val="8"/>
          </w:tcPr>
          <w:p w:rsidR="00E03816" w:rsidRDefault="00E03816">
            <w:pPr>
              <w:ind w:left="14" w:right="-95"/>
            </w:pPr>
          </w:p>
        </w:tc>
      </w:tr>
      <w:tr w:rsidR="000B376D" w:rsidTr="00E03816">
        <w:tc>
          <w:tcPr>
            <w:tcW w:w="9505" w:type="dxa"/>
            <w:gridSpan w:val="8"/>
            <w:hideMark/>
          </w:tcPr>
          <w:p w:rsidR="00E03816" w:rsidRDefault="003C5787">
            <w:pPr>
              <w:ind w:left="14" w:right="-95"/>
            </w:pPr>
            <w:r>
              <w:t>______________________________________________________________________</w:t>
            </w:r>
          </w:p>
        </w:tc>
      </w:tr>
      <w:tr w:rsidR="000B376D" w:rsidTr="00E03816">
        <w:tc>
          <w:tcPr>
            <w:tcW w:w="9505" w:type="dxa"/>
            <w:gridSpan w:val="8"/>
          </w:tcPr>
          <w:p w:rsidR="00E03816" w:rsidRDefault="00E03816">
            <w:pPr>
              <w:jc w:val="center"/>
            </w:pPr>
          </w:p>
        </w:tc>
      </w:tr>
      <w:tr w:rsidR="000B376D" w:rsidTr="00E03816">
        <w:tc>
          <w:tcPr>
            <w:tcW w:w="9505" w:type="dxa"/>
            <w:gridSpan w:val="8"/>
            <w:hideMark/>
          </w:tcPr>
          <w:p w:rsidR="00E03816" w:rsidRPr="00E03816" w:rsidRDefault="003C5787" w:rsidP="00E03816">
            <w:pPr>
              <w:pStyle w:val="zSoquijlblTypeDocument"/>
              <w:rPr>
                <w:b/>
                <w:bCs/>
              </w:rPr>
            </w:pPr>
            <w:r>
              <w:rPr>
                <w:b/>
                <w:bCs/>
              </w:rPr>
              <w:t xml:space="preserve">DÉTERMINATION DE LA PEINE </w:t>
            </w:r>
            <w:r>
              <w:rPr>
                <w:b/>
                <w:bCs/>
              </w:rPr>
              <w:fldChar w:fldCharType="begin"/>
            </w:r>
            <w:r>
              <w:rPr>
                <w:b/>
                <w:bCs/>
              </w:rPr>
              <w:instrText xml:space="preserve">  </w:instrText>
            </w:r>
            <w:r>
              <w:rPr>
                <w:b/>
                <w:bCs/>
              </w:rPr>
              <w:fldChar w:fldCharType="end"/>
            </w:r>
          </w:p>
        </w:tc>
      </w:tr>
      <w:tr w:rsidR="000B376D" w:rsidTr="00E03816">
        <w:tc>
          <w:tcPr>
            <w:tcW w:w="9505" w:type="dxa"/>
            <w:gridSpan w:val="8"/>
            <w:hideMark/>
          </w:tcPr>
          <w:p w:rsidR="00E03816" w:rsidRDefault="003C5787">
            <w:pPr>
              <w:ind w:left="14" w:right="-70"/>
            </w:pPr>
            <w:r>
              <w:t>______________________________________________________________________</w:t>
            </w:r>
          </w:p>
        </w:tc>
      </w:tr>
      <w:tr w:rsidR="000B376D" w:rsidTr="00E03816">
        <w:tc>
          <w:tcPr>
            <w:tcW w:w="9505" w:type="dxa"/>
            <w:gridSpan w:val="8"/>
          </w:tcPr>
          <w:p w:rsidR="00E03816" w:rsidRDefault="00E03816"/>
        </w:tc>
      </w:tr>
    </w:tbl>
    <w:p w:rsidR="00721FDD" w:rsidRDefault="003C5787" w:rsidP="004B5368">
      <w:pPr>
        <w:pStyle w:val="Paragraphe"/>
        <w:tabs>
          <w:tab w:val="clear" w:pos="360"/>
          <w:tab w:val="left" w:pos="708"/>
        </w:tabs>
        <w:spacing w:line="240" w:lineRule="auto"/>
        <w:ind w:right="-720"/>
      </w:pPr>
      <w:r>
        <w:t>L’acc</w:t>
      </w:r>
      <w:r w:rsidR="00A1120F">
        <w:t>usé a plaidé coupable</w:t>
      </w:r>
      <w:r>
        <w:t> :</w:t>
      </w:r>
    </w:p>
    <w:p w:rsidR="00721FDD" w:rsidRDefault="003C5787" w:rsidP="00721FDD">
      <w:pPr>
        <w:pStyle w:val="Paragraphe"/>
        <w:numPr>
          <w:ilvl w:val="0"/>
          <w:numId w:val="25"/>
        </w:numPr>
        <w:tabs>
          <w:tab w:val="left" w:pos="708"/>
        </w:tabs>
        <w:spacing w:line="240" w:lineRule="auto"/>
        <w:ind w:right="-720"/>
      </w:pPr>
      <w:r>
        <w:t>d’avoir, entre le 1</w:t>
      </w:r>
      <w:r w:rsidRPr="00721FDD">
        <w:rPr>
          <w:vertAlign w:val="superscript"/>
        </w:rPr>
        <w:t>er</w:t>
      </w:r>
      <w:r>
        <w:t xml:space="preserve"> janvier 2017 et le 11 août 2018, fait le trafic de cannabis, d</w:t>
      </w:r>
      <w:r w:rsidR="00934B13">
        <w:t>e cocaïne et de métamphétamine</w:t>
      </w:r>
      <w:r w:rsidR="005727DF">
        <w:t>s</w:t>
      </w:r>
      <w:r w:rsidR="00934B13">
        <w:t>;</w:t>
      </w:r>
    </w:p>
    <w:p w:rsidR="00721FDD" w:rsidRDefault="003C5787" w:rsidP="00721FDD">
      <w:pPr>
        <w:pStyle w:val="Paragraphe"/>
        <w:numPr>
          <w:ilvl w:val="0"/>
          <w:numId w:val="25"/>
        </w:numPr>
        <w:tabs>
          <w:tab w:val="left" w:pos="708"/>
        </w:tabs>
        <w:spacing w:line="240" w:lineRule="auto"/>
        <w:ind w:right="-720"/>
      </w:pPr>
      <w:r>
        <w:t>d’avoir, le 11 août 2018, eu en sa possession, en vue d’en faire le trafic</w:t>
      </w:r>
      <w:r w:rsidR="00934B13">
        <w:t>, du</w:t>
      </w:r>
      <w:r>
        <w:t xml:space="preserve"> cannabis, de la cocaïne et des métamphétamines.</w:t>
      </w:r>
    </w:p>
    <w:p w:rsidR="00E03816" w:rsidRDefault="003C5787" w:rsidP="004B5368">
      <w:pPr>
        <w:pStyle w:val="Paragraphe"/>
        <w:numPr>
          <w:ilvl w:val="0"/>
          <w:numId w:val="0"/>
        </w:numPr>
        <w:tabs>
          <w:tab w:val="left" w:pos="708"/>
        </w:tabs>
        <w:spacing w:line="240" w:lineRule="auto"/>
        <w:ind w:right="-720"/>
        <w:rPr>
          <w:b/>
          <w:u w:val="single"/>
        </w:rPr>
      </w:pPr>
      <w:r>
        <w:rPr>
          <w:b/>
          <w:u w:val="single"/>
        </w:rPr>
        <w:t>CONTEXTE</w:t>
      </w:r>
    </w:p>
    <w:p w:rsidR="00721FDD" w:rsidRDefault="003C5787" w:rsidP="00721FDD">
      <w:pPr>
        <w:pStyle w:val="Paragraphe"/>
        <w:tabs>
          <w:tab w:val="clear" w:pos="360"/>
          <w:tab w:val="left" w:pos="708"/>
        </w:tabs>
        <w:spacing w:line="240" w:lineRule="auto"/>
        <w:ind w:right="-720"/>
      </w:pPr>
      <w:r>
        <w:t xml:space="preserve">Suite à la réception d’informations </w:t>
      </w:r>
      <w:r w:rsidR="00934B13">
        <w:t xml:space="preserve">signalant </w:t>
      </w:r>
      <w:r>
        <w:t>que l’accusé faisait le trafic de drogues, la S</w:t>
      </w:r>
      <w:r w:rsidR="00C8469D">
        <w:t>û</w:t>
      </w:r>
      <w:r>
        <w:t>re</w:t>
      </w:r>
      <w:r w:rsidR="00CF585D">
        <w:t>té du Québec amorce une enquête à ce sujet en juin 2018.</w:t>
      </w:r>
    </w:p>
    <w:p w:rsidR="00721FDD" w:rsidRDefault="003C5787" w:rsidP="00721FDD">
      <w:pPr>
        <w:pStyle w:val="Paragraphe"/>
        <w:tabs>
          <w:tab w:val="clear" w:pos="360"/>
          <w:tab w:val="left" w:pos="708"/>
        </w:tabs>
        <w:spacing w:line="240" w:lineRule="auto"/>
        <w:ind w:right="-720"/>
      </w:pPr>
      <w:r>
        <w:t>Le 11 août 2018, l’accusé est arrêté.  Il est alors en possession de 2.9 grammes de coca</w:t>
      </w:r>
      <w:r w:rsidR="00C8469D">
        <w:t>ï</w:t>
      </w:r>
      <w:r>
        <w:t>ne (répartis en sept sachets), de 9 comprimés de métamphétamines et de 14.99 grammes de cannabis.</w:t>
      </w:r>
    </w:p>
    <w:p w:rsidR="00721FDD" w:rsidRDefault="003C5787" w:rsidP="00721FDD">
      <w:pPr>
        <w:pStyle w:val="Paragraphe"/>
        <w:tabs>
          <w:tab w:val="clear" w:pos="360"/>
          <w:tab w:val="left" w:pos="708"/>
        </w:tabs>
        <w:spacing w:line="240" w:lineRule="auto"/>
        <w:ind w:right="-720"/>
      </w:pPr>
      <w:r>
        <w:t>Une perquisition tenue à sa résidence le même jour permet d’y découvrir 16.6 grammes de coca</w:t>
      </w:r>
      <w:r w:rsidR="00C8469D">
        <w:t>ï</w:t>
      </w:r>
      <w:r>
        <w:t>ne (répartis en trente-quatre sachets), 122 comprimés de métamphétamines et 89.91 grammes de cannabis.  Y sont égaleme</w:t>
      </w:r>
      <w:r w:rsidR="00BF30D2">
        <w:t>nt saisis divers objets liés a</w:t>
      </w:r>
      <w:r>
        <w:t>u trafic de drogues : balance, sac</w:t>
      </w:r>
      <w:r w:rsidR="00CF585D">
        <w:t>s</w:t>
      </w:r>
      <w:r>
        <w:t xml:space="preserve"> de</w:t>
      </w:r>
      <w:r w:rsidR="00934B13">
        <w:t xml:space="preserve"> type </w:t>
      </w:r>
      <w:r w:rsidR="00934B13" w:rsidRPr="00934B13">
        <w:rPr>
          <w:i/>
        </w:rPr>
        <w:t>Ziploc</w:t>
      </w:r>
      <w:r>
        <w:t>, liste</w:t>
      </w:r>
      <w:r w:rsidR="00CF585D">
        <w:t>s</w:t>
      </w:r>
      <w:r>
        <w:t xml:space="preserve"> de comptabilité</w:t>
      </w:r>
      <w:r w:rsidR="00934B13">
        <w:t>, téléphone</w:t>
      </w:r>
      <w:r w:rsidR="00CF585D">
        <w:t>s</w:t>
      </w:r>
      <w:r w:rsidR="00A85BEC">
        <w:t>,</w:t>
      </w:r>
      <w:r>
        <w:t xml:space="preserve"> etc.</w:t>
      </w:r>
    </w:p>
    <w:p w:rsidR="00721FDD" w:rsidRDefault="003C5787" w:rsidP="00721FDD">
      <w:pPr>
        <w:pStyle w:val="Paragraphe"/>
        <w:tabs>
          <w:tab w:val="clear" w:pos="360"/>
          <w:tab w:val="left" w:pos="708"/>
        </w:tabs>
        <w:spacing w:line="240" w:lineRule="auto"/>
        <w:ind w:right="-720"/>
      </w:pPr>
      <w:r>
        <w:t xml:space="preserve">Suite à son arrestation, </w:t>
      </w:r>
      <w:r w:rsidR="00CF585D">
        <w:t>l’accusé fait une déclaration incriminante où il reconnait pleinement son implication dans le trafic de drogues et ce, depuis au moins un an</w:t>
      </w:r>
      <w:r>
        <w:t xml:space="preserve">.  Il ajoute opérer les </w:t>
      </w:r>
      <w:r w:rsidR="006C073D" w:rsidRPr="00AD7D2C">
        <w:t>«</w:t>
      </w:r>
      <w:r w:rsidR="00625091">
        <w:t>dimanche</w:t>
      </w:r>
      <w:r w:rsidR="00C8469D">
        <w:t>s</w:t>
      </w:r>
      <w:r w:rsidR="0083576A">
        <w:t>, lundi et samedi</w:t>
      </w:r>
      <w:r w:rsidR="0083576A" w:rsidRPr="00AD7D2C">
        <w:t>»</w:t>
      </w:r>
      <w:r w:rsidR="0083576A">
        <w:t xml:space="preserve">, de </w:t>
      </w:r>
      <w:r w:rsidR="0083576A" w:rsidRPr="00AD7D2C">
        <w:t>«</w:t>
      </w:r>
      <w:r w:rsidR="0083576A">
        <w:t>midi à 23 heures</w:t>
      </w:r>
      <w:r w:rsidR="0083576A" w:rsidRPr="00AD7D2C">
        <w:t>»</w:t>
      </w:r>
      <w:r w:rsidR="0083576A">
        <w:t xml:space="preserve">, desservant de </w:t>
      </w:r>
      <w:r w:rsidR="0083576A" w:rsidRPr="00AD7D2C">
        <w:t>«</w:t>
      </w:r>
      <w:r w:rsidR="00625091">
        <w:t>15 à 30 client</w:t>
      </w:r>
      <w:r w:rsidR="00C8469D">
        <w:t>s</w:t>
      </w:r>
      <w:r w:rsidR="0083576A">
        <w:t xml:space="preserve"> par jour</w:t>
      </w:r>
      <w:r w:rsidR="0083576A" w:rsidRPr="00AD7D2C">
        <w:t>»</w:t>
      </w:r>
      <w:r w:rsidR="00625091">
        <w:t>.</w:t>
      </w:r>
    </w:p>
    <w:p w:rsidR="00625091" w:rsidRDefault="003C5787" w:rsidP="00721FDD">
      <w:pPr>
        <w:pStyle w:val="Paragraphe"/>
        <w:tabs>
          <w:tab w:val="clear" w:pos="360"/>
          <w:tab w:val="left" w:pos="708"/>
        </w:tabs>
        <w:spacing w:line="240" w:lineRule="auto"/>
        <w:ind w:right="-720"/>
      </w:pPr>
      <w:r>
        <w:t>Le 5 septembre 2019, il plaide coupable aux accusations portées.</w:t>
      </w:r>
    </w:p>
    <w:p w:rsidR="00E03816" w:rsidRDefault="003C5787" w:rsidP="004B5368">
      <w:pPr>
        <w:pStyle w:val="Paragraphe"/>
        <w:numPr>
          <w:ilvl w:val="0"/>
          <w:numId w:val="0"/>
        </w:numPr>
        <w:tabs>
          <w:tab w:val="left" w:pos="708"/>
        </w:tabs>
        <w:spacing w:line="240" w:lineRule="auto"/>
        <w:ind w:right="-720"/>
        <w:rPr>
          <w:b/>
          <w:u w:val="single"/>
        </w:rPr>
      </w:pPr>
      <w:r>
        <w:rPr>
          <w:b/>
          <w:u w:val="single"/>
        </w:rPr>
        <w:t>POSITION DES PARTIES</w:t>
      </w:r>
    </w:p>
    <w:p w:rsidR="00625091" w:rsidRDefault="003C5787" w:rsidP="004B5368">
      <w:pPr>
        <w:pStyle w:val="Paragraphe"/>
        <w:tabs>
          <w:tab w:val="clear" w:pos="360"/>
          <w:tab w:val="left" w:pos="708"/>
        </w:tabs>
        <w:spacing w:line="240" w:lineRule="auto"/>
        <w:ind w:right="-720"/>
      </w:pPr>
      <w:r>
        <w:t>La poursuite suggère d’imposer une peine de 18 mois d’emprisonnement et d’accompagner le tout d’une ordonnance de probation de deux ans.</w:t>
      </w:r>
    </w:p>
    <w:p w:rsidR="00E05D2B" w:rsidRDefault="003C5787" w:rsidP="00E05D2B">
      <w:pPr>
        <w:pStyle w:val="Paragraphe"/>
        <w:tabs>
          <w:tab w:val="clear" w:pos="360"/>
          <w:tab w:val="left" w:pos="708"/>
        </w:tabs>
        <w:spacing w:line="240" w:lineRule="auto"/>
        <w:ind w:right="-720"/>
      </w:pPr>
      <w:r>
        <w:t>La défense suggère d’imposer une peine de 90 jours d’emprisonnement</w:t>
      </w:r>
      <w:r w:rsidR="00B36117">
        <w:t xml:space="preserve"> – purgée de façon discontinue –</w:t>
      </w:r>
      <w:r>
        <w:t>, peine assortie d’une ordonnance de probation pr</w:t>
      </w:r>
      <w:r w:rsidR="00C8469D">
        <w:t>é</w:t>
      </w:r>
      <w:r>
        <w:t>voyant notamment l’obligation d’effectuer un nombre substantiel d’heures de travaux communautaires.</w:t>
      </w:r>
    </w:p>
    <w:p w:rsidR="00E05D2B" w:rsidRPr="00E05D2B" w:rsidRDefault="003C5787" w:rsidP="00E05D2B">
      <w:pPr>
        <w:pStyle w:val="Paragraphe"/>
        <w:numPr>
          <w:ilvl w:val="0"/>
          <w:numId w:val="0"/>
        </w:numPr>
        <w:tabs>
          <w:tab w:val="left" w:pos="708"/>
        </w:tabs>
        <w:spacing w:line="240" w:lineRule="auto"/>
        <w:ind w:right="-720"/>
        <w:rPr>
          <w:b/>
          <w:u w:val="single"/>
        </w:rPr>
      </w:pPr>
      <w:r>
        <w:rPr>
          <w:b/>
          <w:u w:val="single"/>
        </w:rPr>
        <w:t>OBJECTIFS À CONSIDÉRER</w:t>
      </w:r>
    </w:p>
    <w:p w:rsidR="00DA56E8" w:rsidRDefault="003C5787" w:rsidP="00934B13">
      <w:pPr>
        <w:pStyle w:val="Paragraphe"/>
        <w:tabs>
          <w:tab w:val="clear" w:pos="360"/>
          <w:tab w:val="left" w:pos="708"/>
        </w:tabs>
        <w:spacing w:line="240" w:lineRule="auto"/>
        <w:ind w:right="-720"/>
      </w:pPr>
      <w:r>
        <w:t xml:space="preserve">Les objectifs visés dans la détermination de la peine sont énoncés à l’article 718 du </w:t>
      </w:r>
      <w:r>
        <w:rPr>
          <w:i/>
        </w:rPr>
        <w:t>Code criminel</w:t>
      </w:r>
      <w:r>
        <w:t>. Outre l’objectif essentiel de protéger la société et de contribuer au respect de la loi et au maintien d’une société juste, paisible et sûre, on y retrouve les objectifs suivants :</w:t>
      </w:r>
    </w:p>
    <w:p w:rsidR="00DA56E8" w:rsidRDefault="003C5787" w:rsidP="00934B13">
      <w:pPr>
        <w:pStyle w:val="Paragraphe"/>
        <w:numPr>
          <w:ilvl w:val="0"/>
          <w:numId w:val="26"/>
        </w:numPr>
        <w:spacing w:line="240" w:lineRule="auto"/>
        <w:ind w:left="714" w:right="-810" w:hanging="357"/>
      </w:pPr>
      <w:r>
        <w:rPr>
          <w:u w:val="single"/>
        </w:rPr>
        <w:t>Dénoncer</w:t>
      </w:r>
      <w:r>
        <w:t xml:space="preserve"> le comportement illégal et le tort causé par celui-ci aux victimes ou à la collectivité – c'est l'objectif de dénonciation;</w:t>
      </w:r>
    </w:p>
    <w:p w:rsidR="00DA56E8" w:rsidRDefault="003C5787" w:rsidP="00934B13">
      <w:pPr>
        <w:pStyle w:val="Paragraphe"/>
        <w:numPr>
          <w:ilvl w:val="0"/>
          <w:numId w:val="26"/>
        </w:numPr>
        <w:spacing w:line="240" w:lineRule="auto"/>
        <w:ind w:left="714" w:right="-810" w:hanging="357"/>
      </w:pPr>
      <w:r>
        <w:rPr>
          <w:u w:val="single"/>
        </w:rPr>
        <w:t>Dissuader</w:t>
      </w:r>
      <w:r>
        <w:t xml:space="preserve"> les délinquants et quiconque de commettre des infractions – c'est l'objectif de dissuasion, individuelle et collective;</w:t>
      </w:r>
    </w:p>
    <w:p w:rsidR="00DA56E8" w:rsidRDefault="003C5787" w:rsidP="00934B13">
      <w:pPr>
        <w:pStyle w:val="Paragraphe"/>
        <w:numPr>
          <w:ilvl w:val="0"/>
          <w:numId w:val="26"/>
        </w:numPr>
        <w:spacing w:line="240" w:lineRule="auto"/>
        <w:ind w:left="714" w:right="-810" w:hanging="357"/>
      </w:pPr>
      <w:r>
        <w:rPr>
          <w:u w:val="single"/>
        </w:rPr>
        <w:t>Isoler</w:t>
      </w:r>
      <w:r>
        <w:t>, au besoin, les délinquants du reste de la société – c’est l’objectif de neutralisation;</w:t>
      </w:r>
    </w:p>
    <w:p w:rsidR="00DA56E8" w:rsidRDefault="003C5787" w:rsidP="00934B13">
      <w:pPr>
        <w:pStyle w:val="Paragraphe"/>
        <w:numPr>
          <w:ilvl w:val="0"/>
          <w:numId w:val="26"/>
        </w:numPr>
        <w:spacing w:line="240" w:lineRule="auto"/>
        <w:ind w:left="714" w:right="-810" w:hanging="357"/>
      </w:pPr>
      <w:r>
        <w:rPr>
          <w:u w:val="single"/>
        </w:rPr>
        <w:t>Favoriser la réinsertion sociale</w:t>
      </w:r>
      <w:r>
        <w:t xml:space="preserve"> des délinquants – c'est l'objectif de réhabilitation; </w:t>
      </w:r>
    </w:p>
    <w:p w:rsidR="00DA56E8" w:rsidRDefault="003C5787" w:rsidP="00934B13">
      <w:pPr>
        <w:pStyle w:val="Paragraphe"/>
        <w:numPr>
          <w:ilvl w:val="0"/>
          <w:numId w:val="26"/>
        </w:numPr>
        <w:spacing w:line="240" w:lineRule="auto"/>
        <w:ind w:left="714" w:right="-810" w:hanging="357"/>
      </w:pPr>
      <w:r>
        <w:rPr>
          <w:u w:val="single"/>
        </w:rPr>
        <w:t>Assurer la réparation des torts</w:t>
      </w:r>
      <w:r>
        <w:t xml:space="preserve"> causés aux victimes ou à la collectivité – c’est l’objectif de réparation;</w:t>
      </w:r>
    </w:p>
    <w:p w:rsidR="00DA56E8" w:rsidRDefault="003C5787" w:rsidP="00934B13">
      <w:pPr>
        <w:pStyle w:val="Paragraphe"/>
        <w:numPr>
          <w:ilvl w:val="0"/>
          <w:numId w:val="26"/>
        </w:numPr>
        <w:spacing w:line="240" w:lineRule="auto"/>
        <w:ind w:right="-810"/>
        <w:rPr>
          <w:sz w:val="22"/>
          <w:u w:val="single"/>
        </w:rPr>
      </w:pPr>
      <w:r>
        <w:rPr>
          <w:u w:val="single"/>
        </w:rPr>
        <w:t>Susciter la conscience de leurs responsabilités</w:t>
      </w:r>
      <w:r>
        <w:t xml:space="preserve"> chez les délinquants, notamment par la reconnaissance du tort qu'ils ont causé aux victimes ou à la collectivité – c’est l’objectif de prise de responsabilité</w:t>
      </w:r>
      <w:r>
        <w:rPr>
          <w:sz w:val="22"/>
        </w:rPr>
        <w:t>.</w:t>
      </w:r>
    </w:p>
    <w:p w:rsidR="00E05D2B" w:rsidRDefault="003C5787" w:rsidP="00934B13">
      <w:pPr>
        <w:pStyle w:val="Paragraphe"/>
        <w:tabs>
          <w:tab w:val="clear" w:pos="360"/>
          <w:tab w:val="left" w:pos="708"/>
        </w:tabs>
        <w:spacing w:line="240" w:lineRule="auto"/>
        <w:ind w:right="-900"/>
      </w:pPr>
      <w:r>
        <w:t xml:space="preserve">En matière de trafic ou de possession pour fins de trafic de drogues dures, la Cour d’Appel du Québec a maintes fois rappelé ces dernières années – notamment dans les </w:t>
      </w:r>
      <w:r w:rsidR="00934B13">
        <w:t>arrêts</w:t>
      </w:r>
      <w:r>
        <w:t xml:space="preserve"> M.V.</w:t>
      </w:r>
      <w:r>
        <w:rPr>
          <w:rStyle w:val="Appelnotedebasdep"/>
        </w:rPr>
        <w:footnoteReference w:id="1"/>
      </w:r>
      <w:r>
        <w:t>, Stevens</w:t>
      </w:r>
      <w:r>
        <w:rPr>
          <w:rStyle w:val="Appelnotedebasdep"/>
        </w:rPr>
        <w:footnoteReference w:id="2"/>
      </w:r>
      <w:r>
        <w:t>,</w:t>
      </w:r>
      <w:r w:rsidR="006C073D">
        <w:t xml:space="preserve"> </w:t>
      </w:r>
      <w:r>
        <w:t>Duhaime</w:t>
      </w:r>
      <w:r>
        <w:rPr>
          <w:rStyle w:val="Appelnotedebasdep"/>
        </w:rPr>
        <w:footnoteReference w:id="3"/>
      </w:r>
      <w:r w:rsidR="007E0884">
        <w:t xml:space="preserve"> et Bernier</w:t>
      </w:r>
      <w:r>
        <w:rPr>
          <w:rStyle w:val="Appelnotedebasdep"/>
        </w:rPr>
        <w:footnoteReference w:id="4"/>
      </w:r>
      <w:r w:rsidR="005727DF">
        <w:t xml:space="preserve"> –</w:t>
      </w:r>
      <w:r w:rsidR="00BF30D2">
        <w:t xml:space="preserve"> que les objectifs</w:t>
      </w:r>
      <w:r w:rsidR="007E0884">
        <w:t xml:space="preserve"> de dénonciation et de dissuasion sont im</w:t>
      </w:r>
      <w:r w:rsidR="00934B13">
        <w:t>portants et doivent</w:t>
      </w:r>
      <w:r w:rsidR="007E0884">
        <w:t xml:space="preserve"> primer en raison de la gravité objective de l’infraction et des conséquences nocives qu’entra</w:t>
      </w:r>
      <w:r w:rsidR="00C8469D">
        <w:t>î</w:t>
      </w:r>
      <w:r w:rsidR="007E0884">
        <w:t>ne cet acte criminel, les ravages sociaux qui en découlent n’étant plus à démontrer.</w:t>
      </w:r>
    </w:p>
    <w:p w:rsidR="004069F9" w:rsidRDefault="003C5787" w:rsidP="004069F9">
      <w:pPr>
        <w:pStyle w:val="Paragraphe"/>
        <w:tabs>
          <w:tab w:val="clear" w:pos="360"/>
          <w:tab w:val="left" w:pos="708"/>
        </w:tabs>
        <w:spacing w:line="240" w:lineRule="auto"/>
        <w:ind w:right="-720"/>
      </w:pPr>
      <w:r>
        <w:t>Cela dit, dans l’arrêt M.V., la Cour d’Appel ajoute :</w:t>
      </w:r>
    </w:p>
    <w:p w:rsidR="004069F9" w:rsidRDefault="003C5787" w:rsidP="004069F9">
      <w:pPr>
        <w:pStyle w:val="Citationenretrait"/>
      </w:pPr>
      <w:r>
        <w:t xml:space="preserve">«Il est vrai qu’en matière de trafic de stupéfiants, les objectifs de dénonciation et de dissuasion doivent se voir accorder une attention particulière.  Cela dit , même pour la criminalité de cette nature, le critère </w:t>
      </w:r>
      <w:r w:rsidR="00BF30D2">
        <w:t xml:space="preserve">de </w:t>
      </w:r>
      <w:r>
        <w:t>réhabilitation demeure un objectif de  la détermination de la peine et «</w:t>
      </w:r>
      <w:r w:rsidR="005727DF">
        <w:rPr>
          <w:rFonts w:cs="Arial"/>
        </w:rPr>
        <w:t>[i]</w:t>
      </w:r>
      <w:r w:rsidR="00A85BEC">
        <w:rPr>
          <w:rFonts w:cs="Arial"/>
        </w:rPr>
        <w:t>l</w:t>
      </w:r>
      <w:r>
        <w:t xml:space="preserve"> appartient au juge qui prononce la sanction de déterminer s’il faut accorder plus de poids à un ou plusieurs objectifs, compte tenu des faits de l’espèce</w:t>
      </w:r>
      <w:r w:rsidRPr="00AD7D2C">
        <w:t>»</w:t>
      </w:r>
      <w:r w:rsidR="009A3155">
        <w:t>.</w:t>
      </w:r>
      <w:r>
        <w:rPr>
          <w:rStyle w:val="Appelnotedebasdep"/>
        </w:rPr>
        <w:footnoteReference w:id="5"/>
      </w:r>
    </w:p>
    <w:p w:rsidR="00E05D2B" w:rsidRDefault="003C5787" w:rsidP="004B5368">
      <w:pPr>
        <w:pStyle w:val="Paragraphe"/>
        <w:tabs>
          <w:tab w:val="clear" w:pos="360"/>
          <w:tab w:val="left" w:pos="708"/>
        </w:tabs>
        <w:spacing w:line="240" w:lineRule="auto"/>
        <w:ind w:right="-720"/>
      </w:pPr>
      <w:r>
        <w:t xml:space="preserve">Dans l’arrêt Bernier, reprenant ce qu’elle avait mentionné </w:t>
      </w:r>
      <w:r w:rsidR="00934B13">
        <w:t xml:space="preserve">notamment dans les </w:t>
      </w:r>
      <w:r>
        <w:t>arrêt</w:t>
      </w:r>
      <w:r w:rsidR="00934B13">
        <w:t>s</w:t>
      </w:r>
      <w:r>
        <w:t xml:space="preserve"> Lafrance</w:t>
      </w:r>
      <w:r>
        <w:rPr>
          <w:rStyle w:val="Appelnotedebasdep"/>
        </w:rPr>
        <w:footnoteReference w:id="6"/>
      </w:r>
      <w:r>
        <w:t>,</w:t>
      </w:r>
      <w:r w:rsidR="00934B13">
        <w:t xml:space="preserve"> </w:t>
      </w:r>
      <w:r w:rsidR="00CF585D">
        <w:t>Prokos</w:t>
      </w:r>
      <w:r>
        <w:rPr>
          <w:rStyle w:val="Appelnotedebasdep"/>
        </w:rPr>
        <w:footnoteReference w:id="7"/>
      </w:r>
      <w:r w:rsidR="00CF585D">
        <w:t>, Larouche</w:t>
      </w:r>
      <w:r>
        <w:rPr>
          <w:rStyle w:val="Appelnotedebasdep"/>
        </w:rPr>
        <w:footnoteReference w:id="8"/>
      </w:r>
      <w:r w:rsidR="00B6555F">
        <w:t xml:space="preserve">, </w:t>
      </w:r>
      <w:r w:rsidR="00934B13">
        <w:t>Stevens</w:t>
      </w:r>
      <w:r>
        <w:rPr>
          <w:rStyle w:val="Appelnotedebasdep"/>
        </w:rPr>
        <w:footnoteReference w:id="9"/>
      </w:r>
      <w:r w:rsidR="00B6555F">
        <w:t xml:space="preserve"> et</w:t>
      </w:r>
      <w:r w:rsidR="006C073D">
        <w:t xml:space="preserve"> Duhaime</w:t>
      </w:r>
      <w:r>
        <w:rPr>
          <w:rStyle w:val="Appelnotedebasdep"/>
        </w:rPr>
        <w:footnoteReference w:id="10"/>
      </w:r>
      <w:r w:rsidR="006C073D">
        <w:t xml:space="preserve"> l</w:t>
      </w:r>
      <w:r>
        <w:t>a Cour d’Appel va même jusqu’à dire :</w:t>
      </w:r>
    </w:p>
    <w:p w:rsidR="00A13F6A" w:rsidRDefault="003C5787" w:rsidP="00A13F6A">
      <w:pPr>
        <w:pStyle w:val="Citationenretrait"/>
      </w:pPr>
      <w:r>
        <w:t xml:space="preserve">«(…) même si les critères d’exemplarité, de dénonciation et de dissuasion ont primauté lorsqu’il s’agit de trafic ou de possession de stupéfiants, la réhabilitation peut devenir </w:t>
      </w:r>
      <w:r w:rsidR="0054149E">
        <w:t>un critère prééminent dans la détermination de la peine en présence d’une démonstration «particulièrement convaincante</w:t>
      </w:r>
      <w:r w:rsidR="001534FB">
        <w:t>.</w:t>
      </w:r>
      <w:r w:rsidR="0054149E" w:rsidRPr="00AD7D2C">
        <w:t>»</w:t>
      </w:r>
      <w:r>
        <w:rPr>
          <w:rStyle w:val="Appelnotedebasdep"/>
        </w:rPr>
        <w:footnoteReference w:id="11"/>
      </w:r>
      <w:r w:rsidR="0054149E">
        <w:t xml:space="preserve"> </w:t>
      </w:r>
    </w:p>
    <w:p w:rsidR="0054149E" w:rsidRDefault="003C5787" w:rsidP="004B5368">
      <w:pPr>
        <w:pStyle w:val="Paragraphe"/>
        <w:tabs>
          <w:tab w:val="clear" w:pos="360"/>
          <w:tab w:val="left" w:pos="708"/>
        </w:tabs>
        <w:spacing w:line="240" w:lineRule="auto"/>
        <w:ind w:right="-720"/>
      </w:pPr>
      <w:r>
        <w:t xml:space="preserve">Dans le présent dossier, le Tribunal considère que les objectifs de dénonciation et de dissuasion sont très importants, mais que l’objectif de réhabilitation doit aussi être considéré et apprécié, vu </w:t>
      </w:r>
      <w:r w:rsidR="006C073D">
        <w:t xml:space="preserve">notamment </w:t>
      </w:r>
      <w:r>
        <w:t>l’absence complète d’antécédent</w:t>
      </w:r>
      <w:r w:rsidR="00B36117">
        <w:t>s</w:t>
      </w:r>
      <w:r>
        <w:t xml:space="preserve"> judiciaires de l’accusé.</w:t>
      </w:r>
    </w:p>
    <w:p w:rsidR="00E03816" w:rsidRPr="003E07D0" w:rsidRDefault="003C5787" w:rsidP="004B5368">
      <w:pPr>
        <w:pStyle w:val="Paragraphe"/>
        <w:numPr>
          <w:ilvl w:val="0"/>
          <w:numId w:val="0"/>
        </w:numPr>
        <w:tabs>
          <w:tab w:val="left" w:pos="708"/>
        </w:tabs>
        <w:spacing w:line="240" w:lineRule="auto"/>
        <w:ind w:right="-720"/>
      </w:pPr>
      <w:r w:rsidRPr="003E07D0">
        <w:rPr>
          <w:b/>
          <w:u w:val="single"/>
        </w:rPr>
        <w:t>PRINCIPES À CONSIDÉRER</w:t>
      </w:r>
    </w:p>
    <w:p w:rsidR="003E07D0" w:rsidRDefault="003C5787" w:rsidP="004B5368">
      <w:pPr>
        <w:pStyle w:val="Paragraphe"/>
        <w:tabs>
          <w:tab w:val="clear" w:pos="360"/>
          <w:tab w:val="left" w:pos="708"/>
        </w:tabs>
        <w:spacing w:line="240" w:lineRule="auto"/>
        <w:ind w:right="-720"/>
      </w:pPr>
      <w:r>
        <w:t xml:space="preserve">Le </w:t>
      </w:r>
      <w:r>
        <w:rPr>
          <w:i/>
        </w:rPr>
        <w:t>Code criminel</w:t>
      </w:r>
      <w:r>
        <w:t xml:space="preserve"> prévoit également un certain nombre de principes qui doivent guider le Tribunal pour déterminer la peine appropriée.</w:t>
      </w:r>
    </w:p>
    <w:p w:rsidR="003E07D0" w:rsidRDefault="003C5787" w:rsidP="004B5368">
      <w:pPr>
        <w:pStyle w:val="Paragraphe"/>
        <w:tabs>
          <w:tab w:val="clear" w:pos="360"/>
          <w:tab w:val="left" w:pos="708"/>
        </w:tabs>
        <w:spacing w:line="240" w:lineRule="auto"/>
        <w:ind w:right="-720"/>
      </w:pPr>
      <w:r>
        <w:t>Le principe fondamental</w:t>
      </w:r>
      <w:r w:rsidR="006C073D">
        <w:t>, souvent présenté comme le principe d’individualisation de la peine</w:t>
      </w:r>
      <w:r w:rsidR="005727DF">
        <w:t>,</w:t>
      </w:r>
      <w:r w:rsidR="006C073D">
        <w:t xml:space="preserve"> est</w:t>
      </w:r>
      <w:r>
        <w:t xml:space="preserve"> énoncé à l’article 718.1 du </w:t>
      </w:r>
      <w:r>
        <w:rPr>
          <w:i/>
        </w:rPr>
        <w:t>Code criminel</w:t>
      </w:r>
      <w:r>
        <w:t xml:space="preserve"> </w:t>
      </w:r>
      <w:r w:rsidR="006C073D">
        <w:t xml:space="preserve">et </w:t>
      </w:r>
      <w:r>
        <w:t>se lit comme suit :</w:t>
      </w:r>
    </w:p>
    <w:p w:rsidR="003E07D0" w:rsidRDefault="003C5787" w:rsidP="004B5368">
      <w:pPr>
        <w:pStyle w:val="Citationenretrait"/>
        <w:ind w:right="0"/>
      </w:pPr>
      <w:r w:rsidRPr="00AD7D2C">
        <w:t>« La peine est proportionnelle à la gravité de l'infraction et au degré d</w:t>
      </w:r>
      <w:r w:rsidR="009A3155">
        <w:t>e responsabilité du délinquant</w:t>
      </w:r>
      <w:r w:rsidRPr="00AD7D2C">
        <w:t>»</w:t>
      </w:r>
      <w:r w:rsidR="009A3155">
        <w:t>.</w:t>
      </w:r>
      <w:r>
        <w:rPr>
          <w:rStyle w:val="Appelnotedebasdep"/>
        </w:rPr>
        <w:footnoteReference w:id="12"/>
      </w:r>
    </w:p>
    <w:p w:rsidR="0083576A" w:rsidRDefault="003C5787" w:rsidP="004B5368">
      <w:pPr>
        <w:pStyle w:val="Paragraphe"/>
        <w:tabs>
          <w:tab w:val="clear" w:pos="360"/>
          <w:tab w:val="left" w:pos="708"/>
        </w:tabs>
        <w:spacing w:line="240" w:lineRule="auto"/>
        <w:ind w:right="-720"/>
      </w:pPr>
      <w:r>
        <w:t>Dans l’arrêt Prokos</w:t>
      </w:r>
      <w:r w:rsidR="00B6555F">
        <w:t>,</w:t>
      </w:r>
      <w:r>
        <w:t xml:space="preserve"> la Cour d’Appel du Québec explique ce principe en ces termes :</w:t>
      </w:r>
    </w:p>
    <w:p w:rsidR="0083576A" w:rsidRDefault="003C5787" w:rsidP="0083576A">
      <w:pPr>
        <w:pStyle w:val="Citationenretrait"/>
      </w:pPr>
      <w:r w:rsidRPr="00AD7D2C">
        <w:t>«</w:t>
      </w:r>
      <w:r w:rsidR="00BD3281">
        <w:t>L’individualis</w:t>
      </w:r>
      <w:r>
        <w:t>ation de la sentence demeure un principe fondamental de la détermination de la peine.  À l’égard d’infractions relatives aux stupéfiants, le système de détermination de la peine ne peut se fonder exclusivement sur la dissuasion sociale et la dénonciation de la gravité des infractions.  La détermination de la peine doit être modulée et individualisée.  C’est au juge, à qui incombe le devoir de déterminer la peine, de choisir celle qui a le plus de chance de dissuader le délinquant et d’assurer sa réhabilitation social</w:t>
      </w:r>
      <w:r w:rsidR="009A3155">
        <w:t>e tout en protégeant la société</w:t>
      </w:r>
      <w:r w:rsidRPr="00AD7D2C">
        <w:t>»</w:t>
      </w:r>
      <w:r w:rsidR="009A3155">
        <w:t>.</w:t>
      </w:r>
      <w:r>
        <w:rPr>
          <w:rStyle w:val="Appelnotedebasdep"/>
        </w:rPr>
        <w:footnoteReference w:id="13"/>
      </w:r>
    </w:p>
    <w:p w:rsidR="00115512" w:rsidRDefault="003C5787" w:rsidP="004B5368">
      <w:pPr>
        <w:pStyle w:val="Paragraphe"/>
        <w:tabs>
          <w:tab w:val="clear" w:pos="360"/>
          <w:tab w:val="left" w:pos="708"/>
        </w:tabs>
        <w:spacing w:line="240" w:lineRule="auto"/>
        <w:ind w:right="-720"/>
      </w:pPr>
      <w:r>
        <w:t xml:space="preserve">Parmi les autres principes qui doivent guider le Tribunal dans la détermination de la peine, on retrouve notamment l’obligation d’adapter la peine aux circonstances aggravantes ou atténuantes liées à la perpétration de l’infraction ou à la situation du délinquant (art. 718.2a) C.cr.); </w:t>
      </w:r>
      <w:r w:rsidR="0054149E">
        <w:t>l’obligation d’avoir à l’esprit l’harmonisation des peines, c’est-à-dire l’infliction de peines semblables à celles infligées à des délinquants pour des infractions semblables commises dans des circonst</w:t>
      </w:r>
      <w:r w:rsidR="00B36117">
        <w:t>ances semblables (article 718.2b</w:t>
      </w:r>
      <w:r w:rsidR="0054149E">
        <w:t>) C.cr.); l’obligation, avant d’envisager la privation de liberté, d’examiner la possibilité de sanctions moins contraignantes lorsque les circonstances le justifient (art. 718.2d) C.cr.) et l’obligation d’examiner toutes les sanctions substitutives qui sont raisonnables dans les circonstances et qui tiennent compte du tort causé aux victi</w:t>
      </w:r>
      <w:r w:rsidR="0083576A">
        <w:t>mes ou à la collectivité (art. 7</w:t>
      </w:r>
      <w:r w:rsidR="0054149E">
        <w:t>18.2</w:t>
      </w:r>
      <w:r w:rsidRPr="00115512">
        <w:t>e</w:t>
      </w:r>
      <w:r w:rsidR="00B36117">
        <w:t>) C.</w:t>
      </w:r>
      <w:r w:rsidR="0054149E">
        <w:t>cr.).</w:t>
      </w:r>
    </w:p>
    <w:p w:rsidR="00E03816" w:rsidRDefault="003C5787" w:rsidP="004B5368">
      <w:pPr>
        <w:pStyle w:val="Paragraphe"/>
        <w:numPr>
          <w:ilvl w:val="0"/>
          <w:numId w:val="0"/>
        </w:numPr>
        <w:tabs>
          <w:tab w:val="left" w:pos="708"/>
          <w:tab w:val="left" w:pos="7005"/>
        </w:tabs>
        <w:spacing w:line="240" w:lineRule="auto"/>
        <w:ind w:right="-720"/>
        <w:rPr>
          <w:b/>
          <w:u w:val="single"/>
        </w:rPr>
      </w:pPr>
      <w:r>
        <w:rPr>
          <w:b/>
          <w:u w:val="single"/>
        </w:rPr>
        <w:t>ANALYSE</w:t>
      </w:r>
      <w:r w:rsidR="007512FA" w:rsidRPr="007512FA">
        <w:tab/>
      </w:r>
    </w:p>
    <w:p w:rsidR="00E03816" w:rsidRDefault="003C5787" w:rsidP="004B5368">
      <w:pPr>
        <w:pStyle w:val="Paragraphe"/>
        <w:numPr>
          <w:ilvl w:val="0"/>
          <w:numId w:val="0"/>
        </w:numPr>
        <w:tabs>
          <w:tab w:val="left" w:pos="708"/>
        </w:tabs>
        <w:spacing w:line="240" w:lineRule="auto"/>
        <w:ind w:right="-720"/>
        <w:rPr>
          <w:b/>
          <w:u w:val="single"/>
        </w:rPr>
      </w:pPr>
      <w:r>
        <w:tab/>
      </w:r>
      <w:r>
        <w:rPr>
          <w:b/>
          <w:u w:val="single"/>
        </w:rPr>
        <w:t>La gravité de l’infraction</w:t>
      </w:r>
    </w:p>
    <w:p w:rsidR="00115512" w:rsidRDefault="003C5787" w:rsidP="004B5368">
      <w:pPr>
        <w:pStyle w:val="Paragraphe"/>
        <w:tabs>
          <w:tab w:val="clear" w:pos="360"/>
          <w:tab w:val="left" w:pos="708"/>
        </w:tabs>
        <w:spacing w:line="240" w:lineRule="auto"/>
        <w:ind w:right="-720"/>
      </w:pPr>
      <w:r>
        <w:t>Les crimes auxquels l’accusé a plaidé coupable sont objectivement très graves.</w:t>
      </w:r>
    </w:p>
    <w:p w:rsidR="00115512" w:rsidRDefault="003C5787" w:rsidP="004B5368">
      <w:pPr>
        <w:pStyle w:val="Paragraphe"/>
        <w:tabs>
          <w:tab w:val="clear" w:pos="360"/>
          <w:tab w:val="left" w:pos="708"/>
        </w:tabs>
        <w:spacing w:line="240" w:lineRule="auto"/>
        <w:ind w:right="-720"/>
      </w:pPr>
      <w:r>
        <w:t>Le trafic et la possession pour fins de trafic de cannabis, de coca</w:t>
      </w:r>
      <w:r w:rsidR="00C8469D">
        <w:t>ï</w:t>
      </w:r>
      <w:r>
        <w:t xml:space="preserve">ne et de métamphétamines </w:t>
      </w:r>
      <w:r w:rsidR="00C8469D">
        <w:t>son</w:t>
      </w:r>
      <w:r>
        <w:t>t en effet passible</w:t>
      </w:r>
      <w:r w:rsidR="00C8469D">
        <w:t>s</w:t>
      </w:r>
      <w:r>
        <w:t xml:space="preserve"> de l’emprisonnement à vie.</w:t>
      </w:r>
    </w:p>
    <w:p w:rsidR="00115512" w:rsidRDefault="003C5787" w:rsidP="004B5368">
      <w:pPr>
        <w:pStyle w:val="Paragraphe"/>
        <w:tabs>
          <w:tab w:val="clear" w:pos="360"/>
          <w:tab w:val="left" w:pos="708"/>
        </w:tabs>
        <w:spacing w:line="240" w:lineRule="auto"/>
        <w:ind w:right="-720"/>
      </w:pPr>
      <w:r>
        <w:t>Cela s’explique notamment par les conséquences souvent dramatiques sur la santé physique et mentale de ceux qui consomment ces drogues, surtout la coca</w:t>
      </w:r>
      <w:r w:rsidR="00C8469D">
        <w:t>ï</w:t>
      </w:r>
      <w:r>
        <w:t xml:space="preserve">ne et </w:t>
      </w:r>
      <w:r w:rsidR="00C8469D">
        <w:t>les</w:t>
      </w:r>
      <w:r>
        <w:t xml:space="preserve"> métamphétamines.</w:t>
      </w:r>
    </w:p>
    <w:p w:rsidR="00115512" w:rsidRDefault="003C5787" w:rsidP="004B5368">
      <w:pPr>
        <w:pStyle w:val="Paragraphe"/>
        <w:tabs>
          <w:tab w:val="clear" w:pos="360"/>
          <w:tab w:val="left" w:pos="708"/>
        </w:tabs>
        <w:spacing w:line="240" w:lineRule="auto"/>
        <w:ind w:right="-720"/>
      </w:pPr>
      <w:r>
        <w:t>En 2001, dans l’arrêt Mantha</w:t>
      </w:r>
      <w:r>
        <w:rPr>
          <w:rStyle w:val="Appelnotedebasdep"/>
        </w:rPr>
        <w:footnoteReference w:id="14"/>
      </w:r>
      <w:r w:rsidR="0083576A">
        <w:t>, l</w:t>
      </w:r>
      <w:r w:rsidR="00B36117">
        <w:t>a</w:t>
      </w:r>
      <w:r>
        <w:t xml:space="preserve"> Cour d’Appel du Québec, reprenant ce </w:t>
      </w:r>
      <w:r w:rsidR="0083576A">
        <w:t>qu’elle avait déjà dit dans l’arrêt</w:t>
      </w:r>
      <w:r>
        <w:t xml:space="preserve"> Bonenfant</w:t>
      </w:r>
      <w:r>
        <w:rPr>
          <w:rStyle w:val="Appelnotedebasdep"/>
        </w:rPr>
        <w:footnoteReference w:id="15"/>
      </w:r>
      <w:r w:rsidR="000F5FAA">
        <w:t xml:space="preserve"> en 1989,</w:t>
      </w:r>
      <w:r>
        <w:t xml:space="preserve"> écrit à ce sujet :</w:t>
      </w:r>
    </w:p>
    <w:p w:rsidR="00AA6AB1" w:rsidRDefault="003C5787" w:rsidP="00AA6AB1">
      <w:pPr>
        <w:pStyle w:val="Citationenretrait"/>
      </w:pPr>
      <w:r w:rsidRPr="00AD7D2C">
        <w:t>«</w:t>
      </w:r>
      <w:r>
        <w:t xml:space="preserve">Les dégâts causés par le trafic de stupéfiants, et particulièrement par le trafic de cocaïne, sont indéniables.  Il s’agit d’une </w:t>
      </w:r>
      <w:r w:rsidRPr="00AD7D2C">
        <w:t>«</w:t>
      </w:r>
      <w:r>
        <w:t>plaie sociale</w:t>
      </w:r>
      <w:r w:rsidRPr="00AD7D2C">
        <w:t>»</w:t>
      </w:r>
      <w:r>
        <w:t xml:space="preserve"> et le message des tribunaux doit être </w:t>
      </w:r>
      <w:r w:rsidRPr="00AD7D2C">
        <w:t>«</w:t>
      </w:r>
      <w:r>
        <w:t>sans équivoque</w:t>
      </w:r>
      <w:r w:rsidR="005727DF" w:rsidRPr="00AD7D2C">
        <w:t>»</w:t>
      </w:r>
      <w:r w:rsidR="009A3155">
        <w:t>.</w:t>
      </w:r>
      <w:r>
        <w:rPr>
          <w:rStyle w:val="Appelnotedebasdep"/>
        </w:rPr>
        <w:footnoteReference w:id="16"/>
      </w:r>
    </w:p>
    <w:p w:rsidR="00AA6AB1" w:rsidRDefault="003C5787" w:rsidP="004B5368">
      <w:pPr>
        <w:pStyle w:val="Paragraphe"/>
        <w:tabs>
          <w:tab w:val="clear" w:pos="360"/>
          <w:tab w:val="left" w:pos="708"/>
        </w:tabs>
        <w:spacing w:line="240" w:lineRule="auto"/>
        <w:ind w:right="-720"/>
      </w:pPr>
      <w:r>
        <w:t>Repris intégralement par la Cour d’Appel en 2011 dans l’arrêt Armeni</w:t>
      </w:r>
      <w:r>
        <w:rPr>
          <w:rStyle w:val="Appelnotedebasdep"/>
        </w:rPr>
        <w:footnoteReference w:id="17"/>
      </w:r>
      <w:r>
        <w:t>, ce passage est encore vrai en 2020.  Le Tribunal est d’ailleurs bien placé pour constater à quel point les drogues dures que sont la cocaïne et les métamphétamines sont un fléau, particulièrement chez nos jeunes.</w:t>
      </w:r>
    </w:p>
    <w:p w:rsidR="000F5FAA" w:rsidRDefault="003C5787" w:rsidP="004B5368">
      <w:pPr>
        <w:pStyle w:val="Paragraphe"/>
        <w:tabs>
          <w:tab w:val="clear" w:pos="360"/>
          <w:tab w:val="left" w:pos="708"/>
        </w:tabs>
        <w:spacing w:line="240" w:lineRule="auto"/>
        <w:ind w:right="-720"/>
      </w:pPr>
      <w:r>
        <w:t>Comme le dit la C</w:t>
      </w:r>
      <w:r w:rsidR="00B6555F">
        <w:t>our d’Appel dans l’arrêt Ricard</w:t>
      </w:r>
      <w:r>
        <w:rPr>
          <w:rStyle w:val="Appelnotedebasdep"/>
        </w:rPr>
        <w:footnoteReference w:id="18"/>
      </w:r>
      <w:r>
        <w:t xml:space="preserve">:  </w:t>
      </w:r>
    </w:p>
    <w:p w:rsidR="000F5FAA" w:rsidRDefault="003C5787" w:rsidP="000F5FAA">
      <w:pPr>
        <w:pStyle w:val="Citationenretrait"/>
      </w:pPr>
      <w:r w:rsidRPr="00AD7D2C">
        <w:t>«</w:t>
      </w:r>
      <w:r w:rsidR="00B6555F">
        <w:t>… l</w:t>
      </w:r>
      <w:r>
        <w:t>’acte de faire le trafic de stupéfiants ou de les posséder dans le but d’en faire le trafic, est l’expression d’un comportement hautement nuisible.  La peine associée à ce type de délit doit marquer tant l’esprit collectif que le délinquant lui-même afin de répondre adéquatement à la gravité objective de l’infraction.</w:t>
      </w:r>
      <w:r w:rsidR="004E21BD" w:rsidRPr="004E21BD">
        <w:t xml:space="preserve"> </w:t>
      </w:r>
      <w:r w:rsidR="004E21BD" w:rsidRPr="00AD7D2C">
        <w:t>»</w:t>
      </w:r>
      <w:r>
        <w:rPr>
          <w:rStyle w:val="Appelnotedebasdep"/>
        </w:rPr>
        <w:footnoteReference w:id="19"/>
      </w:r>
    </w:p>
    <w:p w:rsidR="00AA6AB1" w:rsidRDefault="003C5787" w:rsidP="004B5368">
      <w:pPr>
        <w:pStyle w:val="Paragraphe"/>
        <w:tabs>
          <w:tab w:val="clear" w:pos="360"/>
          <w:tab w:val="left" w:pos="708"/>
        </w:tabs>
        <w:spacing w:line="240" w:lineRule="auto"/>
        <w:ind w:right="-720"/>
      </w:pPr>
      <w:r>
        <w:t xml:space="preserve">Dans le présent dossier, plusieurs éléments rendent </w:t>
      </w:r>
      <w:r w:rsidR="002A7B24">
        <w:t>au surplus</w:t>
      </w:r>
      <w:r>
        <w:t xml:space="preserve"> les crimes commis par l’accusé particulièrement graves.</w:t>
      </w:r>
    </w:p>
    <w:p w:rsidR="00AA6AB1" w:rsidRDefault="003C5787" w:rsidP="004B5368">
      <w:pPr>
        <w:pStyle w:val="Paragraphe"/>
        <w:tabs>
          <w:tab w:val="clear" w:pos="360"/>
          <w:tab w:val="left" w:pos="708"/>
        </w:tabs>
        <w:spacing w:line="240" w:lineRule="auto"/>
        <w:ind w:right="-720"/>
      </w:pPr>
      <w:r>
        <w:t>On parle en effet ici de plusieurs centaines de transactions relatives à plusieurs types de drogues (cannabis, coca</w:t>
      </w:r>
      <w:r w:rsidR="00050F7D">
        <w:t>ï</w:t>
      </w:r>
      <w:r>
        <w:t>ne et métamphétamines) et ce, sur une longue période de temps.</w:t>
      </w:r>
    </w:p>
    <w:p w:rsidR="00050F7D" w:rsidRDefault="003C5787" w:rsidP="004B5368">
      <w:pPr>
        <w:pStyle w:val="Paragraphe"/>
        <w:tabs>
          <w:tab w:val="clear" w:pos="360"/>
          <w:tab w:val="left" w:pos="708"/>
        </w:tabs>
        <w:spacing w:line="240" w:lineRule="auto"/>
        <w:ind w:right="-720"/>
      </w:pPr>
      <w:r>
        <w:t>On est bien loin d’un évènement isolé ou d’un égarement passager.</w:t>
      </w:r>
    </w:p>
    <w:p w:rsidR="00050F7D" w:rsidRDefault="003C5787" w:rsidP="004B5368">
      <w:pPr>
        <w:pStyle w:val="Paragraphe"/>
        <w:tabs>
          <w:tab w:val="clear" w:pos="360"/>
          <w:tab w:val="left" w:pos="708"/>
        </w:tabs>
        <w:spacing w:line="240" w:lineRule="auto"/>
        <w:ind w:right="-720"/>
      </w:pPr>
      <w:r>
        <w:t>Au contraire, il est clair que l’accusé a</w:t>
      </w:r>
      <w:r w:rsidR="001534FB">
        <w:t>,</w:t>
      </w:r>
      <w:r w:rsidR="00FC61AA">
        <w:t xml:space="preserve"> en bonne partie</w:t>
      </w:r>
      <w:r w:rsidR="001534FB">
        <w:t xml:space="preserve"> </w:t>
      </w:r>
      <w:r>
        <w:t>par appât du gain, délibérément choisi de consacrer une partie de sa</w:t>
      </w:r>
      <w:r w:rsidR="00FC61AA">
        <w:t xml:space="preserve"> vie au trafic de stupéfiants, l</w:t>
      </w:r>
      <w:r>
        <w:t xml:space="preserve">e tout étant manifestement planifié et bien organisé. Pour s’en convaincre, il suffit de lire certains extraits de </w:t>
      </w:r>
      <w:r w:rsidR="00BF30D2">
        <w:t xml:space="preserve">la </w:t>
      </w:r>
      <w:r>
        <w:t>déclaration faite par l’accusé le jour de son arrestation et déposée sous S-1</w:t>
      </w:r>
      <w:r w:rsidR="00FC61AA">
        <w:t> :</w:t>
      </w:r>
    </w:p>
    <w:p w:rsidR="00050F7D" w:rsidRDefault="003C5787" w:rsidP="00050F7D">
      <w:pPr>
        <w:pStyle w:val="Citationenretrait"/>
      </w:pPr>
      <w:r w:rsidRPr="00AD7D2C">
        <w:t>«</w:t>
      </w:r>
      <w:r>
        <w:t>Je recevais un appel sur le cellulaire (…) la personne me disait une adresse.  Par la suite, je me rendais à l’adresse avec mon véhicule Ford Focus et je faisais la transaction.  Il n’y avait pas de vente de chez moi.  Environ 15-30 clients par jour.  (.</w:t>
      </w:r>
      <w:r w:rsidR="00FC61AA">
        <w:t>.</w:t>
      </w:r>
      <w:r>
        <w:t>.) L’argent collecté ne va pas à 100% à moi.  (…) À la fin de la journée, je garde ma quote, je remets l</w:t>
      </w:r>
      <w:r w:rsidR="00C8469D">
        <w:t>e</w:t>
      </w:r>
      <w:r>
        <w:t xml:space="preserve"> </w:t>
      </w:r>
      <w:r w:rsidRPr="00AD7D2C">
        <w:t>«</w:t>
      </w:r>
      <w:r>
        <w:t>Mail</w:t>
      </w:r>
      <w:r w:rsidRPr="00AD7D2C">
        <w:t>»</w:t>
      </w:r>
      <w:r>
        <w:t xml:space="preserve"> et la liste du stock.  (…) Je fais dimanche, lundi et samedi, midi à 23h00.</w:t>
      </w:r>
      <w:r w:rsidRPr="00AD7D2C">
        <w:t>»</w:t>
      </w:r>
    </w:p>
    <w:p w:rsidR="00FC61AA" w:rsidRDefault="003C5787" w:rsidP="00FC61AA">
      <w:pPr>
        <w:pStyle w:val="Paragraphe"/>
        <w:tabs>
          <w:tab w:val="clear" w:pos="360"/>
          <w:tab w:val="left" w:pos="708"/>
        </w:tabs>
        <w:spacing w:line="240" w:lineRule="auto"/>
        <w:ind w:right="-720"/>
      </w:pPr>
      <w:r>
        <w:t>Tout cela doit être considéré.</w:t>
      </w:r>
    </w:p>
    <w:p w:rsidR="00E03816" w:rsidRPr="00AC3E8B" w:rsidRDefault="003C5787" w:rsidP="004B5368">
      <w:pPr>
        <w:pStyle w:val="Paragraphe"/>
        <w:numPr>
          <w:ilvl w:val="0"/>
          <w:numId w:val="0"/>
        </w:numPr>
        <w:tabs>
          <w:tab w:val="left" w:pos="708"/>
        </w:tabs>
        <w:spacing w:line="240" w:lineRule="auto"/>
        <w:ind w:right="-720"/>
      </w:pPr>
      <w:r>
        <w:tab/>
      </w:r>
      <w:r w:rsidR="00050F7D">
        <w:rPr>
          <w:b/>
          <w:u w:val="single"/>
        </w:rPr>
        <w:t>Le profil de l’accusé</w:t>
      </w:r>
    </w:p>
    <w:p w:rsidR="00050F7D" w:rsidRDefault="003C5787" w:rsidP="004B5368">
      <w:pPr>
        <w:pStyle w:val="Paragraphe"/>
        <w:tabs>
          <w:tab w:val="clear" w:pos="360"/>
          <w:tab w:val="left" w:pos="708"/>
        </w:tabs>
        <w:spacing w:line="240" w:lineRule="auto"/>
        <w:ind w:right="-720"/>
      </w:pPr>
      <w:r>
        <w:t>L’accusé a 29 ans.</w:t>
      </w:r>
    </w:p>
    <w:p w:rsidR="002A7B24" w:rsidRPr="002A7B24" w:rsidRDefault="003C5787" w:rsidP="004B5368">
      <w:pPr>
        <w:pStyle w:val="Paragraphe"/>
        <w:tabs>
          <w:tab w:val="clear" w:pos="360"/>
          <w:tab w:val="left" w:pos="708"/>
        </w:tabs>
        <w:spacing w:line="240" w:lineRule="auto"/>
        <w:ind w:right="-720"/>
      </w:pPr>
      <w:r>
        <w:t>Il est en couple depuis trois ans et est père de deux très jeunes enfants</w:t>
      </w:r>
      <w:r w:rsidR="001534FB">
        <w:t>, dont un de quelques mois</w:t>
      </w:r>
      <w:r>
        <w:t xml:space="preserve">.  </w:t>
      </w:r>
    </w:p>
    <w:p w:rsidR="00050F7D" w:rsidRDefault="003C5787" w:rsidP="004B5368">
      <w:pPr>
        <w:pStyle w:val="Paragraphe"/>
        <w:tabs>
          <w:tab w:val="clear" w:pos="360"/>
          <w:tab w:val="left" w:pos="708"/>
        </w:tabs>
        <w:spacing w:line="240" w:lineRule="auto"/>
        <w:ind w:right="-720"/>
      </w:pPr>
      <w:r>
        <w:t>Il travaille à titre de contremaître ferrailleur au sein de l’entreprise Acier d’Armature Ferneuf Inc. et ce, depuis août 2018.</w:t>
      </w:r>
      <w:r>
        <w:rPr>
          <w:rStyle w:val="Appelnotedebasdep"/>
        </w:rPr>
        <w:footnoteReference w:id="20"/>
      </w:r>
    </w:p>
    <w:p w:rsidR="00050F7D" w:rsidRDefault="003C5787" w:rsidP="004B5368">
      <w:pPr>
        <w:pStyle w:val="Paragraphe"/>
        <w:tabs>
          <w:tab w:val="clear" w:pos="360"/>
          <w:tab w:val="left" w:pos="708"/>
        </w:tabs>
        <w:spacing w:line="240" w:lineRule="auto"/>
        <w:ind w:right="-720"/>
      </w:pPr>
      <w:r>
        <w:t>Il n’a aucun antécédent judiciaire.</w:t>
      </w:r>
    </w:p>
    <w:p w:rsidR="002A7B24" w:rsidRDefault="003C5787" w:rsidP="004B5368">
      <w:pPr>
        <w:pStyle w:val="Paragraphe"/>
        <w:tabs>
          <w:tab w:val="clear" w:pos="360"/>
          <w:tab w:val="left" w:pos="708"/>
        </w:tabs>
        <w:spacing w:line="240" w:lineRule="auto"/>
        <w:ind w:right="-720"/>
      </w:pPr>
      <w:r>
        <w:t>Afin d’en savoir davantage sur l’accusé, un rapport présentenciel fut demandé le 5 septembre 2019.</w:t>
      </w:r>
    </w:p>
    <w:p w:rsidR="002A7B24" w:rsidRDefault="003C5787" w:rsidP="004B5368">
      <w:pPr>
        <w:pStyle w:val="Paragraphe"/>
        <w:tabs>
          <w:tab w:val="clear" w:pos="360"/>
          <w:tab w:val="left" w:pos="708"/>
        </w:tabs>
        <w:spacing w:line="240" w:lineRule="auto"/>
        <w:ind w:right="-720"/>
      </w:pPr>
      <w:r>
        <w:t xml:space="preserve">Or, le 28 octobre 2019, le Tribunal recevait une lettre </w:t>
      </w:r>
      <w:r w:rsidR="006F0342">
        <w:t>du service de</w:t>
      </w:r>
      <w:r w:rsidR="00BF30D2">
        <w:t xml:space="preserve"> probation </w:t>
      </w:r>
      <w:r>
        <w:t>disant notamment ceci :</w:t>
      </w:r>
    </w:p>
    <w:p w:rsidR="002A7B24" w:rsidRDefault="003C5787" w:rsidP="002A7B24">
      <w:pPr>
        <w:pStyle w:val="Citationenretrait"/>
      </w:pPr>
      <w:r w:rsidRPr="00AD7D2C">
        <w:t>«</w:t>
      </w:r>
      <w:r>
        <w:t>Nous so</w:t>
      </w:r>
      <w:r w:rsidR="004E21BD">
        <w:t>u</w:t>
      </w:r>
      <w:r>
        <w:t>haitons informer la Cour de notre difficulté à vous transmettre l’évaluation demandée dans le délai initialement prévu en raison du manque d’implication de l’intimé.  Malgré nos diverses tentatives de fixer un rendez-vous dans l’optique de re</w:t>
      </w:r>
      <w:r w:rsidR="004E21BD">
        <w:t>n</w:t>
      </w:r>
      <w:r>
        <w:t xml:space="preserve">contrer le contrevenant, ce dernier s’est absenté </w:t>
      </w:r>
      <w:r w:rsidR="004E21BD">
        <w:t>à trois rencontres prévues.  Force est d’admettre que monsieur est peu motivé à prendre part au processus évaluatif.</w:t>
      </w:r>
      <w:r w:rsidR="004E21BD" w:rsidRPr="004E21BD">
        <w:t xml:space="preserve"> </w:t>
      </w:r>
      <w:r w:rsidR="004E21BD" w:rsidRPr="00AD7D2C">
        <w:t>»</w:t>
      </w:r>
      <w:r>
        <w:rPr>
          <w:rStyle w:val="Appelnotedebasdep"/>
        </w:rPr>
        <w:footnoteReference w:id="21"/>
      </w:r>
    </w:p>
    <w:p w:rsidR="00050F7D" w:rsidRDefault="003C5787" w:rsidP="004B5368">
      <w:pPr>
        <w:pStyle w:val="Paragraphe"/>
        <w:tabs>
          <w:tab w:val="clear" w:pos="360"/>
          <w:tab w:val="left" w:pos="708"/>
        </w:tabs>
        <w:spacing w:line="240" w:lineRule="auto"/>
        <w:ind w:right="-720"/>
      </w:pPr>
      <w:r>
        <w:t>Le 26 novembre 2019, suite à une déclaration de l’accusé disant qu’il allait cette fois pleinement collabor</w:t>
      </w:r>
      <w:r w:rsidR="00A85BEC">
        <w:t>er</w:t>
      </w:r>
      <w:r>
        <w:t>, le Tribunal réitérait sa demande de rapport présentenciel.</w:t>
      </w:r>
    </w:p>
    <w:p w:rsidR="004E21BD" w:rsidRDefault="003C5787" w:rsidP="004B5368">
      <w:pPr>
        <w:pStyle w:val="Paragraphe"/>
        <w:tabs>
          <w:tab w:val="clear" w:pos="360"/>
          <w:tab w:val="left" w:pos="708"/>
        </w:tabs>
        <w:spacing w:line="240" w:lineRule="auto"/>
        <w:ind w:right="-720"/>
      </w:pPr>
      <w:r>
        <w:t>Ce rapport, finalement reçu en février 2020, s’avère plutôt négatif.</w:t>
      </w:r>
    </w:p>
    <w:p w:rsidR="004E21BD" w:rsidRDefault="003C5787" w:rsidP="004B5368">
      <w:pPr>
        <w:pStyle w:val="Paragraphe"/>
        <w:tabs>
          <w:tab w:val="clear" w:pos="360"/>
          <w:tab w:val="left" w:pos="708"/>
        </w:tabs>
        <w:spacing w:line="240" w:lineRule="auto"/>
        <w:ind w:right="-720"/>
      </w:pPr>
      <w:r>
        <w:t>On peut notamment y lire ceci :</w:t>
      </w:r>
    </w:p>
    <w:p w:rsidR="00050F7D" w:rsidRDefault="003C5787" w:rsidP="004E21BD">
      <w:pPr>
        <w:pStyle w:val="Citationenretrait"/>
      </w:pPr>
      <w:r w:rsidRPr="00AD7D2C">
        <w:t>«</w:t>
      </w:r>
      <w:r>
        <w:t xml:space="preserve">Parallèlement à son intégration sur le marché du travail </w:t>
      </w:r>
      <w:r>
        <w:rPr>
          <w:rFonts w:cs="Arial"/>
        </w:rPr>
        <w:t xml:space="preserve">dès ses 18 ans, il a adhéré à un mode de vie </w:t>
      </w:r>
      <w:r w:rsidR="001534FB">
        <w:rPr>
          <w:rFonts w:cs="Arial"/>
        </w:rPr>
        <w:t>h</w:t>
      </w:r>
      <w:r w:rsidR="00FC61AA">
        <w:rPr>
          <w:rFonts w:cs="Arial"/>
        </w:rPr>
        <w:t xml:space="preserve">édoniste, festif et axé sur l’usage de diverses drogues ainsi que sur les sorties </w:t>
      </w:r>
      <w:r>
        <w:rPr>
          <w:rFonts w:cs="Arial"/>
        </w:rPr>
        <w:t>dans le milieu des bars.  Son acoquinement auprès de pairs consommateurs impliqués dans le milieu interlope a favorisé l’émergence de valeurs laxistes, majoritairement en lien avec les stupéfiants, et un usage plus régulier d’intoxicants.  Conséquemment au développement de son as</w:t>
      </w:r>
      <w:r w:rsidR="00E35EA5">
        <w:rPr>
          <w:rFonts w:cs="Arial"/>
        </w:rPr>
        <w:t xml:space="preserve">suétude aux stupéfiants et plus précisément à la </w:t>
      </w:r>
      <w:r w:rsidR="00E35EA5" w:rsidRPr="00E35EA5">
        <w:rPr>
          <w:rFonts w:cs="Arial"/>
          <w:i/>
        </w:rPr>
        <w:t>freebase</w:t>
      </w:r>
      <w:r w:rsidR="00F237D8">
        <w:rPr>
          <w:rFonts w:cs="Arial"/>
          <w:i/>
        </w:rPr>
        <w:t xml:space="preserve">, </w:t>
      </w:r>
      <w:r w:rsidR="00F237D8">
        <w:rPr>
          <w:rFonts w:cs="Arial"/>
        </w:rPr>
        <w:t>monsieur a révélé s’être adonné à des actes illicites, lesquels sont demeurés non judiciarisés, afin d’assouvir sa dépendance.  Reconnaissant que sa toxicomanie s’était répercutée dans plusieurs sphères de sa vie, vers l’âge de 24 ans, il a volontairement complété une démarche thérapeutique afin d’adresser concrètement cette problématique. Quelques mois suite à sa sortie de thérapie fermée, monsieur Fiorita a réintégré le marché du travail.  Cependant, il a rapidement repris ses habitudes d’usage de drogues avec ses pairs liés au monde des stupéfiants, desquels il ne s’était pas distancié, sous-estimant leur influence.  Il a ainsi rechuté à l’alcool, au cannabis illicite et à la coc</w:t>
      </w:r>
      <w:r w:rsidR="00A63BDC">
        <w:rPr>
          <w:rFonts w:cs="Arial"/>
        </w:rPr>
        <w:t>aï</w:t>
      </w:r>
      <w:r w:rsidR="00F237D8">
        <w:rPr>
          <w:rFonts w:cs="Arial"/>
        </w:rPr>
        <w:t>ne</w:t>
      </w:r>
      <w:r w:rsidR="00A63BDC">
        <w:rPr>
          <w:rFonts w:cs="Arial"/>
        </w:rPr>
        <w:t>.  Dans le cadre de cette période de consommation, laquelle a perduré jusqu’à récemment, il a peiné à maintenir une stabilité dans ses sphères de vie.  De fait, il est rapidement retourné vers un mode de vie principalement hédoniste et consommateur, ponctué de période de désoeuvrement.  L’intimé s’est alors vu dans l’incapacité d’assumer ses responsabilités financières.  C’est dans un tel contexte que le contrevenant a accepté une opportunité criminelle, le menant aux présente</w:t>
      </w:r>
      <w:r w:rsidR="00A85BEC">
        <w:rPr>
          <w:rFonts w:cs="Arial"/>
        </w:rPr>
        <w:t>s</w:t>
      </w:r>
      <w:r w:rsidR="00A63BDC">
        <w:rPr>
          <w:rFonts w:cs="Arial"/>
        </w:rPr>
        <w:t xml:space="preserve"> infractions.</w:t>
      </w:r>
      <w:r w:rsidR="00A63BDC" w:rsidRPr="00AD7D2C">
        <w:t>»</w:t>
      </w:r>
    </w:p>
    <w:p w:rsidR="00B051EF" w:rsidRDefault="003C5787" w:rsidP="00A63BDC">
      <w:pPr>
        <w:pStyle w:val="Paragraphe"/>
        <w:tabs>
          <w:tab w:val="clear" w:pos="360"/>
          <w:tab w:val="left" w:pos="708"/>
        </w:tabs>
        <w:spacing w:line="240" w:lineRule="auto"/>
        <w:ind w:right="-720"/>
      </w:pPr>
      <w:r>
        <w:t>Le rapport présentenciel se conclut ensuite par un</w:t>
      </w:r>
      <w:r w:rsidR="00A85BEC">
        <w:t>e</w:t>
      </w:r>
      <w:r>
        <w:t xml:space="preserve"> évaluation globale et quelques recommandations :</w:t>
      </w:r>
    </w:p>
    <w:p w:rsidR="00A63BDC" w:rsidRDefault="003C5787" w:rsidP="00A63BDC">
      <w:pPr>
        <w:pStyle w:val="Citationenretrait"/>
      </w:pPr>
      <w:r w:rsidRPr="00AD7D2C">
        <w:t>«</w:t>
      </w:r>
      <w:r>
        <w:t>Nous sommes face à un homme de 28 ans qui est perméable aux influences et qui tend à se montrer peu sélectif dans le choix de son entourage.  Il présente également des traits opportunistes, hédonistes et calculateurs.  Ces éléments, additionnés à ses valeurs laxistes ainsi qu’à des éléments d’immaturité et d’irresponsabilité, l’amènent à effectuer des choix peu judicieux.</w:t>
      </w:r>
    </w:p>
    <w:p w:rsidR="00A63BDC" w:rsidRDefault="003C5787" w:rsidP="00A63BDC">
      <w:pPr>
        <w:pStyle w:val="Citationenretrait"/>
      </w:pPr>
      <w:r>
        <w:t>Depuis son arrestation, soit en août 2018, peu de changements positifs ont été implantés.  Tardivement, dans les six derniers mois, l’intimé a verbalisé avoir cessé l’usage de coca</w:t>
      </w:r>
      <w:r w:rsidR="00A85BEC">
        <w:t>ï</w:t>
      </w:r>
      <w:r>
        <w:t>ne sans aide extérieure, s’être éloigné de ses pairs négatifs et avoir réintégré positivement le marché du travail.  Cependant, nous émettons un doute quant à la coupure de ses liens avec ses affiliation</w:t>
      </w:r>
      <w:r w:rsidR="00A85BEC">
        <w:t>s</w:t>
      </w:r>
      <w:r>
        <w:t xml:space="preserve"> liées au milieu des intoxicants en raison du maintien de sa consommation de cannabis illicite.  D’ailleurs, la légalisation de son usage de cette drogue est une option qu’il s’est récemment mis à contempler, mais qu’il n’a toujours pas actualisée.  De plus, nous doutons de sa stabilité professionnelle, alors qu’il n’a toujours pas pris en charge sa précarité financière.  Globalement, son réseau social est composé de quelques proches positifs qui n’ont cependant pas eu de rôle prépondérant dans une remise en question de ses choix irresponsables et délinquants par le passé.  Ainsi, les éléments susnommés nous amènent à conclure que le risque de récidive demeure présent à l’heure actuelle.</w:t>
      </w:r>
    </w:p>
    <w:p w:rsidR="00A63BDC" w:rsidRDefault="003C5787" w:rsidP="00033C0B">
      <w:pPr>
        <w:pStyle w:val="Citationenretrait"/>
      </w:pPr>
      <w:r>
        <w:t>En termes de réinsertion sociale, l’approfondissement de ses réflexions quant à ses valeurs laxistes ainsi que le développement de ses habiletés en matière de résolution de problèmes et de gestion financière lui seraient bénéfiques, entre autres, pour le maintien d’une stabilité professionnelle et pécuniaire au long terme.  Bien que l’atteinte de l’abstinence soit à privilégier, monsieur aurait tout intérêt à minimalement légaliser son usage de cannabis.  Ce faisant, cela lui permettrait d’effectuer une coupure réelle avec ses affiliations négatives.  Au surplus, il profiterait de bonifier son réseau social positif et de régulariser sa situation pécuniaire.  Nous estimons que monsieur Fiorita bénéficierait d’être accompagné par nos services afin d’approfondir ses réflexions et de favoriser une mobilisation concrète de sa part.  Cependant, ses démarches de réinsertions sociales seront tributaires de son ouverture à suivre les recommandations cliniques, alors qu’il véhicule une pensée magique face à ses fragilités actuelles.  De plus, nous jugeons pertinent que des conditions restrictives en matière d’affiliations judiciarisées et en lien avec le monde des stupéfiants lui soient octroyées.</w:t>
      </w:r>
    </w:p>
    <w:p w:rsidR="00033C0B" w:rsidRDefault="003C5787" w:rsidP="00033C0B">
      <w:pPr>
        <w:pStyle w:val="Citationenretrait"/>
      </w:pPr>
      <w:r>
        <w:t>Quant aux capacité</w:t>
      </w:r>
      <w:r w:rsidR="00E535D3">
        <w:t>s</w:t>
      </w:r>
      <w:r>
        <w:t xml:space="preserve"> du sujet à respecter des conditions légales, nous sommes d’avis que les lacunes au plan de l’assiduité qu’il a démontrées ainsi que sa tendance à privilégier des stratégies d’évitement puissent laisser présager certaines difficultés dans le cadre d’un tel suivi.  Finalement, si le Tribunal envisage l’imposition de service communautaire, nous désirons l’informer que monsieur répond aux critères d’admissibilité de cette mesure</w:t>
      </w:r>
      <w:r w:rsidR="00E535D3">
        <w:t>.</w:t>
      </w:r>
      <w:r w:rsidR="00E535D3" w:rsidRPr="00AD7D2C">
        <w:t>»</w:t>
      </w:r>
    </w:p>
    <w:p w:rsidR="00033C0B" w:rsidRDefault="003C5787" w:rsidP="00A63BDC">
      <w:pPr>
        <w:pStyle w:val="Paragraphe"/>
        <w:tabs>
          <w:tab w:val="clear" w:pos="360"/>
          <w:tab w:val="left" w:pos="708"/>
        </w:tabs>
        <w:spacing w:line="240" w:lineRule="auto"/>
        <w:ind w:right="-720"/>
      </w:pPr>
      <w:r>
        <w:t xml:space="preserve">Lors des représentations sur sentence tenues le 26 août 2020, l’accusé a témoigné pour essentiellement </w:t>
      </w:r>
      <w:r w:rsidR="00FC61AA">
        <w:t xml:space="preserve">nuancer voire contredire </w:t>
      </w:r>
      <w:r>
        <w:t>le rapport présentenciel et tenter de convaincre le Tribunal qu’il s’est repris en</w:t>
      </w:r>
      <w:r w:rsidR="005727DF">
        <w:t xml:space="preserve"> main au cours des derniers moi</w:t>
      </w:r>
      <w:r>
        <w:t>s.</w:t>
      </w:r>
    </w:p>
    <w:p w:rsidR="00E535D3" w:rsidRDefault="003C5787" w:rsidP="00A63BDC">
      <w:pPr>
        <w:pStyle w:val="Paragraphe"/>
        <w:tabs>
          <w:tab w:val="clear" w:pos="360"/>
          <w:tab w:val="left" w:pos="708"/>
        </w:tabs>
        <w:spacing w:line="240" w:lineRule="auto"/>
        <w:ind w:right="-720"/>
      </w:pPr>
      <w:r>
        <w:t>Par exemple, il insiste pour dire que ce n’est pas seulement par appât du gain qu’il faisait du trafic de drogues</w:t>
      </w:r>
      <w:r w:rsidR="00092453">
        <w:t>,</w:t>
      </w:r>
      <w:r>
        <w:t xml:space="preserve"> mais aussi pour payer sa propre consommation :  </w:t>
      </w:r>
      <w:r w:rsidRPr="00AD7D2C">
        <w:t>«</w:t>
      </w:r>
      <w:r>
        <w:t>… je consommais beaucoup à ce moment</w:t>
      </w:r>
      <w:r w:rsidR="00A85BEC">
        <w:t>-</w:t>
      </w:r>
      <w:r>
        <w:t>là … mais j’ai réussi à arrêter les drogues dures… ça fait presqu’un an que j’ai arrêté.</w:t>
      </w:r>
      <w:r w:rsidRPr="00E535D3">
        <w:t xml:space="preserve"> </w:t>
      </w:r>
      <w:r w:rsidRPr="00AD7D2C">
        <w:t>»</w:t>
      </w:r>
    </w:p>
    <w:p w:rsidR="00E535D3" w:rsidRDefault="003C5787" w:rsidP="00A63BDC">
      <w:pPr>
        <w:pStyle w:val="Paragraphe"/>
        <w:tabs>
          <w:tab w:val="clear" w:pos="360"/>
          <w:tab w:val="left" w:pos="708"/>
        </w:tabs>
        <w:spacing w:line="240" w:lineRule="auto"/>
        <w:ind w:right="-720"/>
      </w:pPr>
      <w:r>
        <w:t>Il ajoute qu’il ne consomme maintenant que du cannabis – de façon réduite – et qu’il s’approvisionne dorénavant à la Société québécoise du cannabis (</w:t>
      </w:r>
      <w:r w:rsidRPr="00AD7D2C">
        <w:t>«</w:t>
      </w:r>
      <w:r>
        <w:t>depuis quelques mois… printemps, début d’été</w:t>
      </w:r>
      <w:r w:rsidRPr="00AD7D2C">
        <w:t>»</w:t>
      </w:r>
      <w:r>
        <w:t>).  C’est sa femme, son avocat et son agente de probation qui, dit-il, l’ont incité à agir en ce sens.</w:t>
      </w:r>
    </w:p>
    <w:p w:rsidR="00E535D3" w:rsidRDefault="003C5787" w:rsidP="00A63BDC">
      <w:pPr>
        <w:pStyle w:val="Paragraphe"/>
        <w:tabs>
          <w:tab w:val="clear" w:pos="360"/>
          <w:tab w:val="left" w:pos="708"/>
        </w:tabs>
        <w:spacing w:line="240" w:lineRule="auto"/>
        <w:ind w:right="-720"/>
      </w:pPr>
      <w:r>
        <w:t xml:space="preserve">Il explique d’ailleurs en partie son absence aux rendez-vous </w:t>
      </w:r>
      <w:r w:rsidR="00A23170">
        <w:t xml:space="preserve">fixés pour la confection du rapport présentenciel par son problème de consommation :  </w:t>
      </w:r>
      <w:r w:rsidR="00A23170" w:rsidRPr="00AD7D2C">
        <w:t>«</w:t>
      </w:r>
      <w:r w:rsidR="00A23170">
        <w:t>Je n’étais pas nécessairement fiable à ce moment-là</w:t>
      </w:r>
      <w:r w:rsidR="00A23170" w:rsidRPr="00AD7D2C">
        <w:t>»</w:t>
      </w:r>
      <w:r w:rsidR="00A23170">
        <w:t xml:space="preserve">, dit-il. Rappelons que le tout remonte </w:t>
      </w:r>
      <w:r w:rsidR="00235EBE">
        <w:t xml:space="preserve">cependant </w:t>
      </w:r>
      <w:r w:rsidR="00A23170">
        <w:t>à moins d’un an…</w:t>
      </w:r>
    </w:p>
    <w:p w:rsidR="00B051EF" w:rsidRDefault="003C5787" w:rsidP="00A23170">
      <w:pPr>
        <w:pStyle w:val="Paragraphe"/>
        <w:tabs>
          <w:tab w:val="clear" w:pos="360"/>
          <w:tab w:val="left" w:pos="708"/>
        </w:tabs>
        <w:spacing w:line="240" w:lineRule="auto"/>
        <w:ind w:right="-720"/>
      </w:pPr>
      <w:r>
        <w:t>De même, il affirme qu’il serait en voie de régler ses problèmes financiers et, au plan social, ne fréquenterait plus que sa famille et ses collègues de travail.</w:t>
      </w:r>
    </w:p>
    <w:p w:rsidR="00A23170" w:rsidRDefault="003C5787" w:rsidP="00A23170">
      <w:pPr>
        <w:pStyle w:val="Paragraphe"/>
        <w:tabs>
          <w:tab w:val="clear" w:pos="360"/>
          <w:tab w:val="left" w:pos="708"/>
        </w:tabs>
        <w:spacing w:line="240" w:lineRule="auto"/>
        <w:ind w:right="-720"/>
      </w:pPr>
      <w:r>
        <w:t>Le Tribunal doit dire qu’il demeure perplexe face au témoignage de l’accusé, un témoignage souvent flou et imprécis qui contredit carrément à bien des égards le contenu du rapport présentenciel.</w:t>
      </w:r>
    </w:p>
    <w:p w:rsidR="00A23170" w:rsidRDefault="003C5787" w:rsidP="00A23170">
      <w:pPr>
        <w:pStyle w:val="Paragraphe"/>
        <w:tabs>
          <w:tab w:val="clear" w:pos="360"/>
          <w:tab w:val="left" w:pos="708"/>
        </w:tabs>
        <w:spacing w:line="240" w:lineRule="auto"/>
        <w:ind w:right="-720"/>
      </w:pPr>
      <w:r>
        <w:t>Le Tribunal entretien</w:t>
      </w:r>
      <w:r w:rsidR="00A85BEC">
        <w:t>t</w:t>
      </w:r>
      <w:r>
        <w:t xml:space="preserve"> </w:t>
      </w:r>
      <w:r w:rsidR="00FC61AA">
        <w:t xml:space="preserve">en fait </w:t>
      </w:r>
      <w:r>
        <w:t>des doutes quant à la réelle reprise en main que l’accusé dit avoir effectué</w:t>
      </w:r>
      <w:r w:rsidR="00A85BEC">
        <w:t>e</w:t>
      </w:r>
      <w:r>
        <w:t>, d’autant plus que cette reprise en main</w:t>
      </w:r>
      <w:r w:rsidR="001534FB">
        <w:t>,</w:t>
      </w:r>
      <w:r w:rsidR="00FC61AA">
        <w:t xml:space="preserve"> </w:t>
      </w:r>
      <w:r>
        <w:t>embryonnaire</w:t>
      </w:r>
      <w:r w:rsidR="00FC61AA">
        <w:t>, serait survenu</w:t>
      </w:r>
      <w:r w:rsidR="00FA6A23">
        <w:t xml:space="preserve">e </w:t>
      </w:r>
      <w:r>
        <w:t>quelques mois seulement avant la date des représentations sur sentence</w:t>
      </w:r>
      <w:r w:rsidR="00FA6A23">
        <w:t xml:space="preserve"> dans le présent dossier</w:t>
      </w:r>
      <w:r>
        <w:t>.  Il s’agit assurément d’une mobilisation très tardive…</w:t>
      </w:r>
    </w:p>
    <w:p w:rsidR="00D94A8C" w:rsidRDefault="003C5787" w:rsidP="00A23170">
      <w:pPr>
        <w:pStyle w:val="Paragraphe"/>
        <w:tabs>
          <w:tab w:val="clear" w:pos="360"/>
          <w:tab w:val="left" w:pos="708"/>
        </w:tabs>
        <w:spacing w:line="240" w:lineRule="auto"/>
        <w:ind w:right="-720"/>
      </w:pPr>
      <w:r>
        <w:t>Chose certaine, ces efforts de réhabilitation sont</w:t>
      </w:r>
      <w:r w:rsidR="00FA6A23">
        <w:t xml:space="preserve"> fragiles et</w:t>
      </w:r>
      <w:r>
        <w:t xml:space="preserve"> très récents et, à la lumière de l’ensemble de la preuve présentée, on est bien loin ici d’une démonstration particulièrement convaincante de réhabilitation comme dans les arrêts Lafrance</w:t>
      </w:r>
      <w:r>
        <w:rPr>
          <w:rStyle w:val="Appelnotedebasdep"/>
        </w:rPr>
        <w:footnoteReference w:id="22"/>
      </w:r>
      <w:r>
        <w:t>, Prokos</w:t>
      </w:r>
      <w:r>
        <w:rPr>
          <w:rStyle w:val="Appelnotedebasdep"/>
        </w:rPr>
        <w:footnoteReference w:id="23"/>
      </w:r>
      <w:r>
        <w:t xml:space="preserve"> et Bernier</w:t>
      </w:r>
      <w:r>
        <w:rPr>
          <w:rStyle w:val="Appelnotedebasdep"/>
        </w:rPr>
        <w:footnoteReference w:id="24"/>
      </w:r>
      <w:r w:rsidR="00FA6A23">
        <w:t>, arrêts précédemment cités.</w:t>
      </w:r>
    </w:p>
    <w:p w:rsidR="00D94A8C" w:rsidRDefault="003C5787" w:rsidP="00D94A8C">
      <w:pPr>
        <w:pStyle w:val="Paragraphe"/>
        <w:numPr>
          <w:ilvl w:val="0"/>
          <w:numId w:val="0"/>
        </w:numPr>
        <w:tabs>
          <w:tab w:val="left" w:pos="708"/>
        </w:tabs>
        <w:spacing w:line="240" w:lineRule="auto"/>
        <w:ind w:right="-720"/>
        <w:rPr>
          <w:b/>
          <w:u w:val="single"/>
        </w:rPr>
      </w:pPr>
      <w:r>
        <w:rPr>
          <w:b/>
          <w:u w:val="single"/>
        </w:rPr>
        <w:t>Les facteurs aggravants et atténuants</w:t>
      </w:r>
    </w:p>
    <w:p w:rsidR="00D94A8C" w:rsidRDefault="003C5787" w:rsidP="00D94A8C">
      <w:pPr>
        <w:pStyle w:val="Paragraphe"/>
        <w:tabs>
          <w:tab w:val="clear" w:pos="360"/>
          <w:tab w:val="left" w:pos="708"/>
        </w:tabs>
        <w:spacing w:line="240" w:lineRule="auto"/>
        <w:ind w:right="-720"/>
      </w:pPr>
      <w:r w:rsidRPr="00D94A8C">
        <w:t>Le Tribunal retient no</w:t>
      </w:r>
      <w:r>
        <w:t>tamment les facteurs aggravants et atténuants suivants :</w:t>
      </w:r>
    </w:p>
    <w:p w:rsidR="00D94A8C" w:rsidRDefault="003C5787" w:rsidP="00D94A8C">
      <w:pPr>
        <w:pStyle w:val="Paragraphe"/>
        <w:tabs>
          <w:tab w:val="clear" w:pos="360"/>
          <w:tab w:val="left" w:pos="708"/>
        </w:tabs>
        <w:spacing w:line="240" w:lineRule="auto"/>
        <w:ind w:right="-720"/>
      </w:pPr>
      <w:r>
        <w:t xml:space="preserve">Du côté des </w:t>
      </w:r>
      <w:r w:rsidRPr="00D94A8C">
        <w:rPr>
          <w:b/>
          <w:u w:val="single"/>
        </w:rPr>
        <w:t>facteurs aggravants </w:t>
      </w:r>
      <w:r>
        <w:t>:</w:t>
      </w:r>
    </w:p>
    <w:p w:rsidR="00D94A8C" w:rsidRDefault="003C5787" w:rsidP="00D94A8C">
      <w:pPr>
        <w:pStyle w:val="Paragraphe"/>
        <w:numPr>
          <w:ilvl w:val="0"/>
          <w:numId w:val="31"/>
        </w:numPr>
        <w:tabs>
          <w:tab w:val="left" w:pos="708"/>
        </w:tabs>
        <w:spacing w:line="240" w:lineRule="auto"/>
        <w:ind w:right="-720"/>
      </w:pPr>
      <w:r>
        <w:t>la nature des drogues trafiquées, notamment de la cocaïne et des métamphétamines, des drogues dures aux conséquences particulièrement nocives;</w:t>
      </w:r>
    </w:p>
    <w:p w:rsidR="00D94A8C" w:rsidRDefault="003C5787" w:rsidP="00D94A8C">
      <w:pPr>
        <w:pStyle w:val="Paragraphe"/>
        <w:numPr>
          <w:ilvl w:val="0"/>
          <w:numId w:val="31"/>
        </w:numPr>
        <w:tabs>
          <w:tab w:val="left" w:pos="708"/>
        </w:tabs>
        <w:spacing w:line="240" w:lineRule="auto"/>
        <w:ind w:right="-720"/>
      </w:pPr>
      <w:r>
        <w:t>la diversité des drogues trafiquées;</w:t>
      </w:r>
    </w:p>
    <w:p w:rsidR="00BF30D2" w:rsidRDefault="003C5787" w:rsidP="00D94A8C">
      <w:pPr>
        <w:pStyle w:val="Paragraphe"/>
        <w:numPr>
          <w:ilvl w:val="0"/>
          <w:numId w:val="31"/>
        </w:numPr>
        <w:tabs>
          <w:tab w:val="left" w:pos="708"/>
        </w:tabs>
        <w:spacing w:line="240" w:lineRule="auto"/>
        <w:ind w:right="-720"/>
      </w:pPr>
      <w:r>
        <w:t>la quantité non négligeable des drogues saisies;</w:t>
      </w:r>
    </w:p>
    <w:p w:rsidR="00D94A8C" w:rsidRDefault="003C5787" w:rsidP="00D94A8C">
      <w:pPr>
        <w:pStyle w:val="Paragraphe"/>
        <w:numPr>
          <w:ilvl w:val="0"/>
          <w:numId w:val="31"/>
        </w:numPr>
        <w:tabs>
          <w:tab w:val="left" w:pos="708"/>
        </w:tabs>
        <w:spacing w:line="240" w:lineRule="auto"/>
        <w:ind w:right="-720"/>
      </w:pPr>
      <w:r>
        <w:t>le nombre très élevé de transaction</w:t>
      </w:r>
      <w:r w:rsidR="003C7456">
        <w:t>s</w:t>
      </w:r>
      <w:r>
        <w:t xml:space="preserve"> de drogues concernées;</w:t>
      </w:r>
    </w:p>
    <w:p w:rsidR="00D94A8C" w:rsidRDefault="003C5787" w:rsidP="00D94A8C">
      <w:pPr>
        <w:pStyle w:val="Paragraphe"/>
        <w:numPr>
          <w:ilvl w:val="0"/>
          <w:numId w:val="31"/>
        </w:numPr>
        <w:tabs>
          <w:tab w:val="left" w:pos="708"/>
        </w:tabs>
        <w:spacing w:line="240" w:lineRule="auto"/>
        <w:ind w:right="-720"/>
      </w:pPr>
      <w:r>
        <w:t>la</w:t>
      </w:r>
      <w:r w:rsidR="003C7456">
        <w:t xml:space="preserve"> durée </w:t>
      </w:r>
      <w:r>
        <w:t xml:space="preserve">importante </w:t>
      </w:r>
      <w:r w:rsidR="003C7456">
        <w:t>des activités criminelles;</w:t>
      </w:r>
    </w:p>
    <w:p w:rsidR="003C7456" w:rsidRDefault="003C5787" w:rsidP="00D94A8C">
      <w:pPr>
        <w:pStyle w:val="Paragraphe"/>
        <w:numPr>
          <w:ilvl w:val="0"/>
          <w:numId w:val="31"/>
        </w:numPr>
        <w:tabs>
          <w:tab w:val="left" w:pos="708"/>
        </w:tabs>
        <w:spacing w:line="240" w:lineRule="auto"/>
        <w:ind w:right="-720"/>
      </w:pPr>
      <w:r>
        <w:t>le caractère planifié et organisé des activités criminelles;</w:t>
      </w:r>
    </w:p>
    <w:p w:rsidR="003C7456" w:rsidRDefault="003C5787" w:rsidP="00D94A8C">
      <w:pPr>
        <w:pStyle w:val="Paragraphe"/>
        <w:numPr>
          <w:ilvl w:val="0"/>
          <w:numId w:val="31"/>
        </w:numPr>
        <w:tabs>
          <w:tab w:val="left" w:pos="708"/>
        </w:tabs>
        <w:spacing w:line="240" w:lineRule="auto"/>
        <w:ind w:right="-720"/>
      </w:pPr>
      <w:r>
        <w:t>le fait que les activités criminelles furent en bonne partie motivées par l’appât du gain</w:t>
      </w:r>
      <w:r w:rsidR="001534FB">
        <w:t>;</w:t>
      </w:r>
      <w:r>
        <w:rPr>
          <w:rStyle w:val="Appelnotedebasdep"/>
        </w:rPr>
        <w:footnoteReference w:id="25"/>
      </w:r>
    </w:p>
    <w:p w:rsidR="003C7456" w:rsidRPr="00D94A8C" w:rsidRDefault="003C5787" w:rsidP="00D94A8C">
      <w:pPr>
        <w:pStyle w:val="Paragraphe"/>
        <w:numPr>
          <w:ilvl w:val="0"/>
          <w:numId w:val="31"/>
        </w:numPr>
        <w:tabs>
          <w:tab w:val="left" w:pos="708"/>
        </w:tabs>
        <w:spacing w:line="240" w:lineRule="auto"/>
        <w:ind w:right="-720"/>
      </w:pPr>
      <w:r>
        <w:t xml:space="preserve">le risque de récidive qui  </w:t>
      </w:r>
      <w:r w:rsidRPr="00AD7D2C">
        <w:t>«</w:t>
      </w:r>
      <w:r>
        <w:t>demeure présent à l’heure actuelle</w:t>
      </w:r>
      <w:r w:rsidRPr="00AD7D2C">
        <w:t>»</w:t>
      </w:r>
      <w:r>
        <w:t>, selon l’agente de probation.</w:t>
      </w:r>
    </w:p>
    <w:p w:rsidR="00D94A8C" w:rsidRDefault="003C5787" w:rsidP="003C7456">
      <w:pPr>
        <w:pStyle w:val="Paragraphe"/>
        <w:tabs>
          <w:tab w:val="clear" w:pos="360"/>
          <w:tab w:val="left" w:pos="708"/>
        </w:tabs>
        <w:spacing w:line="240" w:lineRule="auto"/>
        <w:ind w:right="-720"/>
      </w:pPr>
      <w:r>
        <w:t xml:space="preserve">Du côté des </w:t>
      </w:r>
      <w:r w:rsidRPr="00C6290E">
        <w:rPr>
          <w:b/>
          <w:u w:val="single"/>
        </w:rPr>
        <w:t>facteurs atténuants</w:t>
      </w:r>
      <w:r>
        <w:t> :</w:t>
      </w:r>
    </w:p>
    <w:p w:rsidR="003C7456" w:rsidRDefault="003C5787" w:rsidP="003C7456">
      <w:pPr>
        <w:pStyle w:val="Paragraphe"/>
        <w:numPr>
          <w:ilvl w:val="0"/>
          <w:numId w:val="33"/>
        </w:numPr>
        <w:tabs>
          <w:tab w:val="left" w:pos="708"/>
        </w:tabs>
        <w:spacing w:line="240" w:lineRule="auto"/>
        <w:ind w:right="-720"/>
      </w:pPr>
      <w:r>
        <w:t xml:space="preserve">le fait que l’accusé </w:t>
      </w:r>
      <w:r w:rsidR="00A85BEC">
        <w:t>a</w:t>
      </w:r>
      <w:r>
        <w:t xml:space="preserve"> collabor</w:t>
      </w:r>
      <w:r w:rsidR="00A85BEC">
        <w:t>é</w:t>
      </w:r>
      <w:r>
        <w:t xml:space="preserve"> suite à son arrestation;</w:t>
      </w:r>
    </w:p>
    <w:p w:rsidR="003C7456" w:rsidRDefault="003C5787" w:rsidP="003C7456">
      <w:pPr>
        <w:pStyle w:val="Paragraphe"/>
        <w:numPr>
          <w:ilvl w:val="0"/>
          <w:numId w:val="33"/>
        </w:numPr>
        <w:tabs>
          <w:tab w:val="left" w:pos="708"/>
        </w:tabs>
        <w:spacing w:line="240" w:lineRule="auto"/>
        <w:ind w:right="-720"/>
      </w:pPr>
      <w:r>
        <w:t>le plaidoyer de culpabilité, enregistré sans qu’aucun témoin n’ait eu à se déplacer;</w:t>
      </w:r>
    </w:p>
    <w:p w:rsidR="003C7456" w:rsidRDefault="003C5787" w:rsidP="003C7456">
      <w:pPr>
        <w:pStyle w:val="Paragraphe"/>
        <w:numPr>
          <w:ilvl w:val="0"/>
          <w:numId w:val="33"/>
        </w:numPr>
        <w:tabs>
          <w:tab w:val="left" w:pos="708"/>
        </w:tabs>
        <w:spacing w:line="240" w:lineRule="auto"/>
        <w:ind w:right="-720"/>
      </w:pPr>
      <w:r>
        <w:t xml:space="preserve">l’absence complète d’antécédents judiciaires; </w:t>
      </w:r>
    </w:p>
    <w:p w:rsidR="003C7456" w:rsidRDefault="003C5787" w:rsidP="003C7456">
      <w:pPr>
        <w:pStyle w:val="Paragraphe"/>
        <w:numPr>
          <w:ilvl w:val="0"/>
          <w:numId w:val="33"/>
        </w:numPr>
        <w:tabs>
          <w:tab w:val="left" w:pos="708"/>
        </w:tabs>
        <w:spacing w:line="240" w:lineRule="auto"/>
        <w:ind w:right="-720"/>
      </w:pPr>
      <w:r>
        <w:t>les efforts de réhabilitation – quoique récents – que l’accusé dit avoir fait</w:t>
      </w:r>
      <w:r w:rsidR="00C6290E">
        <w:t>s</w:t>
      </w:r>
      <w:r>
        <w:t>;</w:t>
      </w:r>
    </w:p>
    <w:p w:rsidR="003C7456" w:rsidRDefault="003C5787" w:rsidP="003C7456">
      <w:pPr>
        <w:pStyle w:val="Paragraphe"/>
        <w:numPr>
          <w:ilvl w:val="0"/>
          <w:numId w:val="33"/>
        </w:numPr>
        <w:tabs>
          <w:tab w:val="left" w:pos="708"/>
        </w:tabs>
        <w:spacing w:line="240" w:lineRule="auto"/>
        <w:ind w:right="-720"/>
      </w:pPr>
      <w:r>
        <w:t>l</w:t>
      </w:r>
      <w:r w:rsidR="00C6290E">
        <w:t>e fait que l’accusé travaille et semble avoir généralement été un actif pour la société.</w:t>
      </w:r>
    </w:p>
    <w:p w:rsidR="00C6290E" w:rsidRDefault="003C5787" w:rsidP="006167E0">
      <w:pPr>
        <w:pStyle w:val="Paragraphe"/>
        <w:numPr>
          <w:ilvl w:val="0"/>
          <w:numId w:val="0"/>
        </w:numPr>
        <w:tabs>
          <w:tab w:val="left" w:pos="708"/>
        </w:tabs>
        <w:spacing w:line="240" w:lineRule="auto"/>
        <w:ind w:right="-720"/>
        <w:rPr>
          <w:b/>
          <w:u w:val="single"/>
        </w:rPr>
      </w:pPr>
      <w:r>
        <w:rPr>
          <w:b/>
          <w:u w:val="single"/>
        </w:rPr>
        <w:t>La fourchette des peines</w:t>
      </w:r>
    </w:p>
    <w:p w:rsidR="00C6290E" w:rsidRPr="00C6290E" w:rsidRDefault="003C5787" w:rsidP="00C6290E">
      <w:pPr>
        <w:pStyle w:val="Paragraphe"/>
        <w:tabs>
          <w:tab w:val="clear" w:pos="360"/>
          <w:tab w:val="left" w:pos="708"/>
        </w:tabs>
        <w:spacing w:line="240" w:lineRule="auto"/>
        <w:ind w:right="-720"/>
        <w:rPr>
          <w:b/>
          <w:u w:val="single"/>
        </w:rPr>
      </w:pPr>
      <w:r>
        <w:t>La Cour d’Appel du Québec a maintes fois rappelé ces dernières années – notamment dans les arrêts Leblanc</w:t>
      </w:r>
      <w:r>
        <w:rPr>
          <w:rStyle w:val="Appelnotedebasdep"/>
        </w:rPr>
        <w:footnoteReference w:id="26"/>
      </w:r>
      <w:r>
        <w:t>, Stevens</w:t>
      </w:r>
      <w:r>
        <w:rPr>
          <w:rStyle w:val="Appelnotedebasdep"/>
        </w:rPr>
        <w:footnoteReference w:id="27"/>
      </w:r>
      <w:r>
        <w:t xml:space="preserve"> et Duhaim</w:t>
      </w:r>
      <w:r w:rsidR="00A85BEC">
        <w:t>e</w:t>
      </w:r>
      <w:r>
        <w:rPr>
          <w:rStyle w:val="Appelnotedebasdep"/>
        </w:rPr>
        <w:footnoteReference w:id="28"/>
      </w:r>
      <w:r>
        <w:t xml:space="preserve">  – qu’en matière de trafic et de possession en vue d’en faire le trafic de drogues dures, les peines vont de quelques mois d’emprisonnement à quatre ans de pénitencier.</w:t>
      </w:r>
    </w:p>
    <w:p w:rsidR="00C6290E" w:rsidRPr="00743573" w:rsidRDefault="003C5787" w:rsidP="00C6290E">
      <w:pPr>
        <w:pStyle w:val="Paragraphe"/>
        <w:tabs>
          <w:tab w:val="clear" w:pos="360"/>
          <w:tab w:val="left" w:pos="708"/>
        </w:tabs>
        <w:spacing w:line="240" w:lineRule="auto"/>
        <w:ind w:right="-720"/>
        <w:rPr>
          <w:b/>
          <w:u w:val="single"/>
        </w:rPr>
      </w:pPr>
      <w:r>
        <w:t>À l’intérieur de cette fou</w:t>
      </w:r>
      <w:r w:rsidR="00743573">
        <w:t>r</w:t>
      </w:r>
      <w:r>
        <w:t>chette, les peines varient en fonction du poids accordé aux différents objectifs en matière de détermination de la peine et des principes applicables, notamment celui visant à adapter la peine selon les facteurs ag</w:t>
      </w:r>
      <w:r w:rsidR="00743573">
        <w:t>gravants ou atténuants.</w:t>
      </w:r>
    </w:p>
    <w:p w:rsidR="00743573" w:rsidRPr="00743573" w:rsidRDefault="003C5787" w:rsidP="00C6290E">
      <w:pPr>
        <w:pStyle w:val="Paragraphe"/>
        <w:tabs>
          <w:tab w:val="clear" w:pos="360"/>
          <w:tab w:val="left" w:pos="708"/>
        </w:tabs>
        <w:spacing w:line="240" w:lineRule="auto"/>
        <w:ind w:right="-720"/>
        <w:rPr>
          <w:b/>
          <w:u w:val="single"/>
        </w:rPr>
      </w:pPr>
      <w:r>
        <w:t>Comme le dit la Cour Suprême dans l’arrêt Nasogaluak :</w:t>
      </w:r>
    </w:p>
    <w:p w:rsidR="00B051EF" w:rsidRDefault="003C5787" w:rsidP="00743573">
      <w:pPr>
        <w:pStyle w:val="Citationenretrait"/>
      </w:pPr>
      <w:r w:rsidRPr="00AD7D2C">
        <w:t>«</w:t>
      </w:r>
      <w:r>
        <w:t xml:space="preserve">(…) Sous réserve de certaines règles particulières prescrites par la loi, le prononcé d’une peine </w:t>
      </w:r>
      <w:r w:rsidRPr="00AD7D2C">
        <w:t>«</w:t>
      </w:r>
      <w:r w:rsidR="0089331A">
        <w:t>juste</w:t>
      </w:r>
      <w:r w:rsidR="0089331A" w:rsidRPr="00AD7D2C">
        <w:t>»</w:t>
      </w:r>
      <w:r w:rsidR="0089331A">
        <w:t xml:space="preserve"> reste un processus individualisé, qui oblige le juge à soupeser les objectifs de détermination de la peine de façon à tenir compte le mieux possible des circonstances de l’affaire.  Aucun objectif de détermination de la peine ne prime les autres.  Il  appartient au juge qui prononce la sanction de déterminer s’il faut accorder plus de poids à un ou plusieurs objectifs compte tenu des faits de l’espèce.  La peine sera par la suite ajustée – à la hausse ou à la baisse – dans la fourchette des peines appropriées pour des infractions similaires, selon l’importance relative des circonstances atténuantes ou aggravantes s’il en est. (…)</w:t>
      </w:r>
      <w:r w:rsidR="0089331A" w:rsidRPr="00AD7D2C">
        <w:t>»</w:t>
      </w:r>
      <w:r>
        <w:rPr>
          <w:rStyle w:val="Appelnotedebasdep"/>
        </w:rPr>
        <w:footnoteReference w:id="29"/>
      </w:r>
    </w:p>
    <w:p w:rsidR="006167E0" w:rsidRPr="006167E0" w:rsidRDefault="003C5787" w:rsidP="006167E0">
      <w:pPr>
        <w:pStyle w:val="Citationenretrait"/>
        <w:ind w:left="0"/>
        <w:rPr>
          <w:b/>
          <w:u w:val="single"/>
        </w:rPr>
      </w:pPr>
      <w:r>
        <w:rPr>
          <w:b/>
          <w:u w:val="single"/>
        </w:rPr>
        <w:t>La peine ju</w:t>
      </w:r>
      <w:r w:rsidR="00BF30D2">
        <w:rPr>
          <w:b/>
          <w:u w:val="single"/>
        </w:rPr>
        <w:t>s</w:t>
      </w:r>
      <w:r>
        <w:rPr>
          <w:b/>
          <w:u w:val="single"/>
        </w:rPr>
        <w:t>te et appropriée</w:t>
      </w:r>
    </w:p>
    <w:p w:rsidR="0089331A" w:rsidRDefault="003C5787" w:rsidP="0089331A">
      <w:pPr>
        <w:pStyle w:val="Paragraphe"/>
        <w:tabs>
          <w:tab w:val="clear" w:pos="360"/>
          <w:tab w:val="left" w:pos="708"/>
        </w:tabs>
        <w:spacing w:line="240" w:lineRule="auto"/>
        <w:ind w:right="-720"/>
      </w:pPr>
      <w:r>
        <w:t>Ayant à l’esprit les objectifs et principes applicables et après avoir considéré l’ensemble de la preuve présentée devant lui, le Tribunal en vient à la conclusion qu’une peine d’emprisonnement d’une certaine importance s’impose en l’espèce.</w:t>
      </w:r>
    </w:p>
    <w:p w:rsidR="006167E0" w:rsidRDefault="003C5787" w:rsidP="0089331A">
      <w:pPr>
        <w:pStyle w:val="Paragraphe"/>
        <w:tabs>
          <w:tab w:val="clear" w:pos="360"/>
          <w:tab w:val="left" w:pos="708"/>
        </w:tabs>
        <w:spacing w:line="240" w:lineRule="auto"/>
        <w:ind w:right="-720"/>
      </w:pPr>
      <w:r>
        <w:t>Les objectifs de dénonciation et de dissuasion, individuelle mais aussi collective, doivent en effet primer dans les circonstances du présent dossier.</w:t>
      </w:r>
    </w:p>
    <w:p w:rsidR="006167E0" w:rsidRDefault="003C5787" w:rsidP="0089331A">
      <w:pPr>
        <w:pStyle w:val="Paragraphe"/>
        <w:tabs>
          <w:tab w:val="clear" w:pos="360"/>
          <w:tab w:val="left" w:pos="708"/>
        </w:tabs>
        <w:spacing w:line="240" w:lineRule="auto"/>
        <w:ind w:right="-720"/>
      </w:pPr>
      <w:r>
        <w:t>On parle en effet ici de trafic de drogues – dont des drogues dures telles la cocaïne et les métamphétamines – sur une longue période de temps, le tout  étant effectué d’une manière planifiée et organisée.</w:t>
      </w:r>
    </w:p>
    <w:p w:rsidR="006167E0" w:rsidRDefault="003C5787" w:rsidP="0089331A">
      <w:pPr>
        <w:pStyle w:val="Paragraphe"/>
        <w:tabs>
          <w:tab w:val="clear" w:pos="360"/>
          <w:tab w:val="left" w:pos="708"/>
        </w:tabs>
        <w:spacing w:line="240" w:lineRule="auto"/>
        <w:ind w:right="-720"/>
      </w:pPr>
      <w:r>
        <w:t>Cela commande, sauf circonstances non présentes ici, une période d’emprisonnement qui aille bien au-delà de celle pouvant être purgée de façon discontinue.</w:t>
      </w:r>
      <w:r>
        <w:rPr>
          <w:rStyle w:val="Appelnotedebasdep"/>
        </w:rPr>
        <w:footnoteReference w:id="30"/>
      </w:r>
    </w:p>
    <w:p w:rsidR="008B13EC" w:rsidRDefault="003C5787" w:rsidP="0089331A">
      <w:pPr>
        <w:pStyle w:val="Paragraphe"/>
        <w:tabs>
          <w:tab w:val="clear" w:pos="360"/>
          <w:tab w:val="left" w:pos="708"/>
        </w:tabs>
        <w:spacing w:line="240" w:lineRule="auto"/>
        <w:ind w:right="-720"/>
      </w:pPr>
      <w:r>
        <w:t>Cela dit, vu notamment l’absence complète d’antécédents judiciaires et certains éléments mis en preuve, l’objectif de réhabilitation doit aussi être apprécié et c</w:t>
      </w:r>
      <w:r w:rsidR="00BF30D2">
        <w:t>onsidéré même si on est ici</w:t>
      </w:r>
      <w:r>
        <w:t xml:space="preserve"> loin d’un cas où cet objectif pourrait devenir prééminent en raison d’une démonstration particulièrement convaincante de réhabilitation. </w:t>
      </w:r>
    </w:p>
    <w:p w:rsidR="008B13EC" w:rsidRDefault="003C5787" w:rsidP="0089331A">
      <w:pPr>
        <w:pStyle w:val="Paragraphe"/>
        <w:tabs>
          <w:tab w:val="clear" w:pos="360"/>
          <w:tab w:val="left" w:pos="708"/>
        </w:tabs>
        <w:spacing w:line="240" w:lineRule="auto"/>
        <w:ind w:right="-720"/>
      </w:pPr>
      <w:r>
        <w:t>Dans le présent dossier, il ne faut également pas perdre de vue que les crimes sont très graves et que les facteurs aggra</w:t>
      </w:r>
      <w:r w:rsidR="006F5505">
        <w:t>vants – nombreux et importants – l’emportent sur les facteurs atténuants.</w:t>
      </w:r>
    </w:p>
    <w:p w:rsidR="006F5505" w:rsidRDefault="003C5787" w:rsidP="0089331A">
      <w:pPr>
        <w:pStyle w:val="Paragraphe"/>
        <w:tabs>
          <w:tab w:val="clear" w:pos="360"/>
          <w:tab w:val="left" w:pos="708"/>
        </w:tabs>
        <w:spacing w:line="240" w:lineRule="auto"/>
        <w:ind w:right="-720"/>
      </w:pPr>
      <w:r>
        <w:t>Voilà pourquoi le Tribunal entend imposer une peine d’emprisonnement d’une durée non négligeable</w:t>
      </w:r>
      <w:r w:rsidR="00092453">
        <w:t>,</w:t>
      </w:r>
      <w:r>
        <w:t xml:space="preserve"> mais en accompagnant celle-ci d’une ordonnance de probation incluant l’obligation d’effectuer un certain nombre d’heures </w:t>
      </w:r>
      <w:r w:rsidR="002E7A2D">
        <w:t xml:space="preserve">de travaux </w:t>
      </w:r>
      <w:r>
        <w:t>communautaires.  Cette condition permettra de tenir compte tant de l’objectif de réhabilitation</w:t>
      </w:r>
      <w:r w:rsidR="005727DF">
        <w:t xml:space="preserve"> que de l’objectif de réparation</w:t>
      </w:r>
      <w:r>
        <w:t xml:space="preserve"> de</w:t>
      </w:r>
      <w:r w:rsidR="005727DF">
        <w:t>s</w:t>
      </w:r>
      <w:r>
        <w:t xml:space="preserve"> torts causés à la collectivité.</w:t>
      </w:r>
    </w:p>
    <w:p w:rsidR="006F5505" w:rsidRDefault="003C5787" w:rsidP="0089331A">
      <w:pPr>
        <w:pStyle w:val="Paragraphe"/>
        <w:tabs>
          <w:tab w:val="clear" w:pos="360"/>
          <w:tab w:val="left" w:pos="708"/>
        </w:tabs>
        <w:spacing w:line="240" w:lineRule="auto"/>
        <w:ind w:right="-720"/>
      </w:pPr>
      <w:r>
        <w:t>Finalement, toujours dans une perspective de réhabilitation, le Tribunal imposera à l’accusé un suivi probatoire et l’obligati</w:t>
      </w:r>
      <w:r w:rsidR="005727DF">
        <w:t>on d’assister hebdomadairement à</w:t>
      </w:r>
      <w:r>
        <w:t xml:space="preserve"> une réunion AA et</w:t>
      </w:r>
      <w:r w:rsidR="00092453">
        <w:t>/</w:t>
      </w:r>
      <w:r>
        <w:t>ou NA.</w:t>
      </w:r>
    </w:p>
    <w:p w:rsidR="00876069" w:rsidRDefault="003C5787" w:rsidP="0089331A">
      <w:pPr>
        <w:pStyle w:val="Paragraphe"/>
        <w:tabs>
          <w:tab w:val="clear" w:pos="360"/>
          <w:tab w:val="left" w:pos="708"/>
        </w:tabs>
        <w:spacing w:line="240" w:lineRule="auto"/>
        <w:ind w:right="-720"/>
      </w:pPr>
      <w:r>
        <w:t>De l’avis</w:t>
      </w:r>
      <w:r w:rsidR="00BF30D2">
        <w:t xml:space="preserve"> du Tribunal et pour reprendre d</w:t>
      </w:r>
      <w:r>
        <w:t>es termes</w:t>
      </w:r>
      <w:r w:rsidR="001534FB">
        <w:t xml:space="preserve"> déjà </w:t>
      </w:r>
      <w:r>
        <w:t>utilisés par la Cour d’Appel</w:t>
      </w:r>
      <w:r w:rsidR="001534FB">
        <w:t xml:space="preserve">, </w:t>
      </w:r>
      <w:r>
        <w:t xml:space="preserve">une telle peine </w:t>
      </w:r>
      <w:r w:rsidRPr="00AD7D2C">
        <w:t>«</w:t>
      </w:r>
      <w:r>
        <w:t>choisi une solution nuancée, respectant l’intérêt social et la personne du prévenu tout en demeurant fidèle aux principes de droit applicables à la détermination de la peine.</w:t>
      </w:r>
      <w:r w:rsidRPr="00876069">
        <w:t xml:space="preserve"> </w:t>
      </w:r>
      <w:r w:rsidRPr="00AD7D2C">
        <w:t>»</w:t>
      </w:r>
      <w:r>
        <w:rPr>
          <w:rStyle w:val="Appelnotedebasdep"/>
        </w:rPr>
        <w:footnoteReference w:id="31"/>
      </w:r>
    </w:p>
    <w:p w:rsidR="006F5505" w:rsidRPr="008E5C1C" w:rsidRDefault="003C5787" w:rsidP="006F5505">
      <w:pPr>
        <w:pStyle w:val="Paragraphe"/>
        <w:numPr>
          <w:ilvl w:val="0"/>
          <w:numId w:val="0"/>
        </w:numPr>
        <w:tabs>
          <w:tab w:val="left" w:pos="708"/>
        </w:tabs>
        <w:spacing w:line="240" w:lineRule="auto"/>
        <w:ind w:right="-720"/>
        <w:rPr>
          <w:b/>
        </w:rPr>
      </w:pPr>
      <w:r w:rsidRPr="008E5C1C">
        <w:rPr>
          <w:b/>
        </w:rPr>
        <w:t>POUR CES MOTIFS, LE TRIBUNAL :</w:t>
      </w:r>
    </w:p>
    <w:p w:rsidR="006F5505" w:rsidRDefault="003C5787" w:rsidP="006F5505">
      <w:pPr>
        <w:pStyle w:val="Paragraphe"/>
        <w:numPr>
          <w:ilvl w:val="0"/>
          <w:numId w:val="0"/>
        </w:numPr>
        <w:tabs>
          <w:tab w:val="left" w:pos="708"/>
        </w:tabs>
        <w:spacing w:line="240" w:lineRule="auto"/>
        <w:ind w:right="-720"/>
      </w:pPr>
      <w:r w:rsidRPr="008E5C1C">
        <w:rPr>
          <w:b/>
        </w:rPr>
        <w:t>CONDAMNE</w:t>
      </w:r>
      <w:r>
        <w:t xml:space="preserve"> l’accusé à di</w:t>
      </w:r>
      <w:r w:rsidR="00092453">
        <w:t>x</w:t>
      </w:r>
      <w:r>
        <w:t xml:space="preserve"> mois d’emprisonnement sur chaque chef;</w:t>
      </w:r>
    </w:p>
    <w:p w:rsidR="006F5505" w:rsidRDefault="003C5787" w:rsidP="006F5505">
      <w:pPr>
        <w:pStyle w:val="Paragraphe"/>
        <w:numPr>
          <w:ilvl w:val="0"/>
          <w:numId w:val="0"/>
        </w:numPr>
        <w:tabs>
          <w:tab w:val="left" w:pos="708"/>
        </w:tabs>
        <w:spacing w:line="240" w:lineRule="auto"/>
        <w:ind w:right="-720"/>
      </w:pPr>
      <w:r w:rsidRPr="008E5C1C">
        <w:rPr>
          <w:b/>
        </w:rPr>
        <w:t>ORDONNE</w:t>
      </w:r>
      <w:r>
        <w:t xml:space="preserve"> que l’accusé soit soumis à une ordonnance de probation d’une durée de deux ans, aux conditions obligatoires prévues à l’article 732.1 (2) du Code criminel et aux conditions particulières suivantes :</w:t>
      </w:r>
    </w:p>
    <w:p w:rsidR="004C48AF" w:rsidRDefault="003C5787" w:rsidP="006F5505">
      <w:pPr>
        <w:pStyle w:val="Paragraphe"/>
        <w:numPr>
          <w:ilvl w:val="0"/>
          <w:numId w:val="36"/>
        </w:numPr>
        <w:tabs>
          <w:tab w:val="left" w:pos="708"/>
        </w:tabs>
        <w:spacing w:line="240" w:lineRule="auto"/>
        <w:ind w:right="-720"/>
      </w:pPr>
      <w:r>
        <w:t>Se présenter à un agent de probation dans les deux jours ouvrables suivant l’entrée en vigueur de l’ordonnance de probation et, par la suite, selon les modalités de temps et de formes fixées par l’agent de probation et ce, pour un an;</w:t>
      </w:r>
    </w:p>
    <w:p w:rsidR="004C48AF" w:rsidRDefault="003C5787" w:rsidP="006F5505">
      <w:pPr>
        <w:pStyle w:val="Paragraphe"/>
        <w:numPr>
          <w:ilvl w:val="0"/>
          <w:numId w:val="36"/>
        </w:numPr>
        <w:tabs>
          <w:tab w:val="left" w:pos="708"/>
        </w:tabs>
        <w:spacing w:line="240" w:lineRule="auto"/>
        <w:ind w:right="-720"/>
      </w:pPr>
      <w:r>
        <w:t>Suivre toutes les directives de l’agent de probation;</w:t>
      </w:r>
    </w:p>
    <w:p w:rsidR="004C48AF" w:rsidRDefault="003C5787" w:rsidP="006F5505">
      <w:pPr>
        <w:pStyle w:val="Paragraphe"/>
        <w:numPr>
          <w:ilvl w:val="0"/>
          <w:numId w:val="36"/>
        </w:numPr>
        <w:tabs>
          <w:tab w:val="left" w:pos="708"/>
        </w:tabs>
        <w:spacing w:line="240" w:lineRule="auto"/>
        <w:ind w:right="-720"/>
      </w:pPr>
      <w:r>
        <w:t>Effectuer 120 heures de service communautaire dans un délai d’un an et respecter les modalités d’exécution indiquées par un agent de probation ou tout autre intervenant désigné par celui-ci;</w:t>
      </w:r>
    </w:p>
    <w:p w:rsidR="004C48AF" w:rsidRDefault="003C5787" w:rsidP="006F5505">
      <w:pPr>
        <w:pStyle w:val="Paragraphe"/>
        <w:numPr>
          <w:ilvl w:val="0"/>
          <w:numId w:val="36"/>
        </w:numPr>
        <w:tabs>
          <w:tab w:val="left" w:pos="708"/>
        </w:tabs>
        <w:spacing w:line="240" w:lineRule="auto"/>
        <w:ind w:right="-720"/>
      </w:pPr>
      <w:r>
        <w:t>Assister à des réunions AA et</w:t>
      </w:r>
      <w:r w:rsidR="00092453">
        <w:t>/</w:t>
      </w:r>
      <w:r>
        <w:t>ou NA à raison d’une fois par semaine et en faire la preuve à l’agent de probation et ce, pour un an;</w:t>
      </w:r>
    </w:p>
    <w:p w:rsidR="004C48AF" w:rsidRDefault="003C5787" w:rsidP="006F5505">
      <w:pPr>
        <w:pStyle w:val="Paragraphe"/>
        <w:numPr>
          <w:ilvl w:val="0"/>
          <w:numId w:val="36"/>
        </w:numPr>
        <w:tabs>
          <w:tab w:val="left" w:pos="708"/>
        </w:tabs>
        <w:spacing w:line="240" w:lineRule="auto"/>
        <w:ind w:right="-720"/>
      </w:pPr>
      <w:r>
        <w:t xml:space="preserve">S’abstenir de consommer </w:t>
      </w:r>
      <w:r w:rsidR="00F13A04">
        <w:t xml:space="preserve">des drogues ou d’autres </w:t>
      </w:r>
      <w:r>
        <w:t>substances dont la possession simple est interdite par la loi ou d’en avoir en sa possession sauf sur ordonnance médicale validement obtenue;</w:t>
      </w:r>
    </w:p>
    <w:p w:rsidR="008E5C1C" w:rsidRDefault="003C5787" w:rsidP="006F5505">
      <w:pPr>
        <w:pStyle w:val="Paragraphe"/>
        <w:numPr>
          <w:ilvl w:val="0"/>
          <w:numId w:val="36"/>
        </w:numPr>
        <w:tabs>
          <w:tab w:val="left" w:pos="708"/>
        </w:tabs>
        <w:spacing w:line="240" w:lineRule="auto"/>
        <w:ind w:right="-720"/>
      </w:pPr>
      <w:r>
        <w:t>Ne pas communiquer ou tenter de communiquer de quelque façon que ce soit avec des personnes qui, à sa connaissance, ont des antécédents judiciaires ou des causes pendantes;</w:t>
      </w:r>
    </w:p>
    <w:p w:rsidR="006F5505" w:rsidRDefault="003C5787" w:rsidP="006F5505">
      <w:pPr>
        <w:pStyle w:val="Paragraphe"/>
        <w:numPr>
          <w:ilvl w:val="0"/>
          <w:numId w:val="36"/>
        </w:numPr>
        <w:tabs>
          <w:tab w:val="left" w:pos="708"/>
        </w:tabs>
        <w:spacing w:line="240" w:lineRule="auto"/>
        <w:ind w:right="-720"/>
      </w:pPr>
      <w:r>
        <w:t>Ne pas communiquer ou tent</w:t>
      </w:r>
      <w:r w:rsidR="00876069">
        <w:t>er de communiquer de quelque</w:t>
      </w:r>
      <w:r>
        <w:t xml:space="preserve"> façon que ce soit avec des personnes faisant la vente, le trafic, l’usage de drogues ou qui en ont en leur possession;</w:t>
      </w:r>
      <w:r w:rsidR="004C48AF">
        <w:t xml:space="preserve"> </w:t>
      </w:r>
    </w:p>
    <w:p w:rsidR="008E5C1C" w:rsidRDefault="003C5787" w:rsidP="008E5C1C">
      <w:pPr>
        <w:pStyle w:val="Paragraphe"/>
        <w:numPr>
          <w:ilvl w:val="0"/>
          <w:numId w:val="0"/>
        </w:numPr>
        <w:tabs>
          <w:tab w:val="left" w:pos="708"/>
        </w:tabs>
        <w:spacing w:line="240" w:lineRule="auto"/>
        <w:ind w:right="-720"/>
      </w:pPr>
      <w:r w:rsidRPr="008E5C1C">
        <w:rPr>
          <w:b/>
        </w:rPr>
        <w:t>INTERDIT</w:t>
      </w:r>
      <w:r>
        <w:t xml:space="preserve"> à l’ac</w:t>
      </w:r>
      <w:r w:rsidR="00876069">
        <w:t>cusé, en vertu de l’article 109</w:t>
      </w:r>
      <w:r>
        <w:t xml:space="preserve">(2) du </w:t>
      </w:r>
      <w:r w:rsidRPr="00876069">
        <w:rPr>
          <w:i/>
        </w:rPr>
        <w:t>Code criminel</w:t>
      </w:r>
      <w:r>
        <w:t>, d’avoir en sa possession des armes à feu, munitions et substances explosives pour une période de dix ans et des armes prohibées ou à usage restreint à perpétuité;</w:t>
      </w:r>
    </w:p>
    <w:p w:rsidR="008E5C1C" w:rsidRDefault="003C5787" w:rsidP="008E5C1C">
      <w:pPr>
        <w:pStyle w:val="Paragraphe"/>
        <w:numPr>
          <w:ilvl w:val="0"/>
          <w:numId w:val="0"/>
        </w:numPr>
        <w:tabs>
          <w:tab w:val="left" w:pos="708"/>
        </w:tabs>
        <w:spacing w:line="240" w:lineRule="auto"/>
        <w:ind w:right="-720"/>
      </w:pPr>
      <w:r w:rsidRPr="008E5C1C">
        <w:rPr>
          <w:b/>
        </w:rPr>
        <w:t>ORDONNE</w:t>
      </w:r>
      <w:r>
        <w:t xml:space="preserve"> la confiscation et la destruction des substances saisies et la confiscation de l’argent saisi au profit du Procureur général.</w:t>
      </w:r>
    </w:p>
    <w:p w:rsidR="00AE2BEA" w:rsidRDefault="00AE2BEA" w:rsidP="00D9411E">
      <w:pPr>
        <w:pStyle w:val="Paragraphe"/>
        <w:numPr>
          <w:ilvl w:val="0"/>
          <w:numId w:val="0"/>
        </w:numPr>
        <w:tabs>
          <w:tab w:val="left" w:pos="708"/>
        </w:tabs>
        <w:spacing w:line="240" w:lineRule="auto"/>
        <w:ind w:right="-720"/>
      </w:pPr>
    </w:p>
    <w:p w:rsidR="00876069" w:rsidRDefault="00876069" w:rsidP="00D9411E">
      <w:pPr>
        <w:pStyle w:val="Paragraphe"/>
        <w:numPr>
          <w:ilvl w:val="0"/>
          <w:numId w:val="0"/>
        </w:numPr>
        <w:tabs>
          <w:tab w:val="left" w:pos="708"/>
        </w:tabs>
        <w:spacing w:line="240" w:lineRule="auto"/>
        <w:ind w:right="-720"/>
      </w:pPr>
    </w:p>
    <w:p w:rsidR="00876069" w:rsidRDefault="00876069" w:rsidP="00D9411E">
      <w:pPr>
        <w:pStyle w:val="Paragraphe"/>
        <w:numPr>
          <w:ilvl w:val="0"/>
          <w:numId w:val="0"/>
        </w:numPr>
        <w:tabs>
          <w:tab w:val="left" w:pos="708"/>
        </w:tabs>
        <w:spacing w:line="240" w:lineRule="auto"/>
        <w:ind w:right="-720"/>
      </w:pPr>
    </w:p>
    <w:tbl>
      <w:tblPr>
        <w:tblW w:w="9505" w:type="dxa"/>
        <w:tblLayout w:type="fixed"/>
        <w:tblCellMar>
          <w:left w:w="70" w:type="dxa"/>
          <w:right w:w="70" w:type="dxa"/>
        </w:tblCellMar>
        <w:tblLook w:val="04A0" w:firstRow="1" w:lastRow="0" w:firstColumn="1" w:lastColumn="0" w:noHBand="0" w:noVBand="1"/>
      </w:tblPr>
      <w:tblGrid>
        <w:gridCol w:w="2230"/>
        <w:gridCol w:w="2637"/>
        <w:gridCol w:w="4638"/>
      </w:tblGrid>
      <w:tr w:rsidR="000B376D" w:rsidTr="00173845">
        <w:trPr>
          <w:cantSplit/>
        </w:trPr>
        <w:tc>
          <w:tcPr>
            <w:tcW w:w="4867" w:type="dxa"/>
            <w:gridSpan w:val="2"/>
            <w:tcMar>
              <w:top w:w="0" w:type="dxa"/>
              <w:left w:w="0" w:type="dxa"/>
              <w:bottom w:w="0" w:type="dxa"/>
              <w:right w:w="0" w:type="dxa"/>
            </w:tcMar>
          </w:tcPr>
          <w:p w:rsidR="00E03816" w:rsidRPr="00876069" w:rsidRDefault="00E03816" w:rsidP="00602640">
            <w:pPr>
              <w:ind w:right="-720"/>
              <w:rPr>
                <w:b/>
              </w:rPr>
            </w:pPr>
          </w:p>
          <w:p w:rsidR="00006DE0" w:rsidRPr="00876069" w:rsidRDefault="00006DE0" w:rsidP="00602640">
            <w:pPr>
              <w:ind w:right="-720"/>
              <w:rPr>
                <w:b/>
              </w:rPr>
            </w:pPr>
          </w:p>
          <w:p w:rsidR="00BB75CA" w:rsidRPr="00876069" w:rsidRDefault="00BB75CA" w:rsidP="00602640">
            <w:pPr>
              <w:ind w:right="-720"/>
              <w:rPr>
                <w:b/>
              </w:rPr>
            </w:pPr>
          </w:p>
        </w:tc>
        <w:tc>
          <w:tcPr>
            <w:tcW w:w="4638" w:type="dxa"/>
            <w:tcMar>
              <w:top w:w="0" w:type="dxa"/>
              <w:left w:w="0" w:type="dxa"/>
              <w:bottom w:w="0" w:type="dxa"/>
              <w:right w:w="0" w:type="dxa"/>
            </w:tcMar>
            <w:hideMark/>
          </w:tcPr>
          <w:p w:rsidR="00E03816" w:rsidRPr="00876069" w:rsidRDefault="003C5787" w:rsidP="00602640">
            <w:pPr>
              <w:pStyle w:val="zSoquijdatSignature3Juge"/>
              <w:ind w:right="-720"/>
              <w:rPr>
                <w:b/>
              </w:rPr>
            </w:pPr>
            <w:r w:rsidRPr="00876069">
              <w:rPr>
                <w:b/>
              </w:rPr>
              <w:t>__________________________________</w:t>
            </w:r>
          </w:p>
          <w:p w:rsidR="00E03816" w:rsidRPr="00876069" w:rsidRDefault="003C5787" w:rsidP="00602640">
            <w:pPr>
              <w:pStyle w:val="zSoquijdatSignature3Juge"/>
              <w:ind w:right="-720"/>
              <w:rPr>
                <w:b/>
              </w:rPr>
            </w:pPr>
            <w:r w:rsidRPr="00876069">
              <w:rPr>
                <w:b/>
              </w:rPr>
              <w:t>BERTRAND ST-ARNAUD, J.C.Q.</w:t>
            </w:r>
          </w:p>
          <w:p w:rsidR="00E03816" w:rsidRPr="00876069" w:rsidRDefault="003C5787" w:rsidP="00602640">
            <w:pPr>
              <w:pStyle w:val="zSoquijdatSignature3Juge"/>
              <w:ind w:right="-720"/>
              <w:rPr>
                <w:b/>
              </w:rPr>
            </w:pPr>
            <w:r w:rsidRPr="00876069">
              <w:rPr>
                <w:b/>
              </w:rPr>
              <w:t>JS 1525</w:t>
            </w:r>
          </w:p>
        </w:tc>
      </w:tr>
      <w:tr w:rsidR="000B376D" w:rsidTr="00173845">
        <w:tc>
          <w:tcPr>
            <w:tcW w:w="9505" w:type="dxa"/>
            <w:gridSpan w:val="3"/>
          </w:tcPr>
          <w:p w:rsidR="00E03816" w:rsidRDefault="00E03816" w:rsidP="00602640">
            <w:pPr>
              <w:ind w:right="-720"/>
            </w:pPr>
          </w:p>
        </w:tc>
      </w:tr>
      <w:tr w:rsidR="000B376D" w:rsidTr="00173845">
        <w:trPr>
          <w:cantSplit/>
        </w:trPr>
        <w:tc>
          <w:tcPr>
            <w:tcW w:w="9505" w:type="dxa"/>
            <w:gridSpan w:val="3"/>
            <w:hideMark/>
          </w:tcPr>
          <w:p w:rsidR="008D7ED2" w:rsidRDefault="008D7ED2" w:rsidP="00A1120F">
            <w:pPr>
              <w:pStyle w:val="zSoquijdatNomProcureurDem"/>
              <w:ind w:right="-720"/>
            </w:pPr>
          </w:p>
          <w:p w:rsidR="008D7ED2" w:rsidRDefault="008D7ED2" w:rsidP="00A1120F">
            <w:pPr>
              <w:pStyle w:val="zSoquijdatNomProcureurDem"/>
              <w:ind w:right="-720"/>
            </w:pPr>
          </w:p>
          <w:p w:rsidR="008D7ED2" w:rsidRDefault="008D7ED2" w:rsidP="00A1120F">
            <w:pPr>
              <w:pStyle w:val="zSoquijdatNomProcureurDem"/>
              <w:ind w:right="-720"/>
            </w:pPr>
          </w:p>
          <w:p w:rsidR="00E03816" w:rsidRDefault="003C5787" w:rsidP="00A1120F">
            <w:pPr>
              <w:pStyle w:val="zSoquijdatNomProcureurDem"/>
              <w:ind w:right="-720"/>
            </w:pPr>
            <w:r>
              <w:t>Me</w:t>
            </w:r>
            <w:r w:rsidR="008E5C1C">
              <w:t xml:space="preserve"> Maxime Séguin-Durand</w:t>
            </w:r>
            <w:r w:rsidR="00876069">
              <w:t>,</w:t>
            </w:r>
            <w:r>
              <w:t xml:space="preserve"> </w:t>
            </w:r>
            <w:r>
              <w:fldChar w:fldCharType="begin"/>
            </w:r>
            <w:r>
              <w:instrText xml:space="preserve"> </w:instrText>
            </w:r>
            <w:r>
              <w:fldChar w:fldCharType="end"/>
            </w:r>
          </w:p>
        </w:tc>
      </w:tr>
      <w:tr w:rsidR="000B376D" w:rsidTr="00173845">
        <w:trPr>
          <w:cantSplit/>
        </w:trPr>
        <w:tc>
          <w:tcPr>
            <w:tcW w:w="9505" w:type="dxa"/>
            <w:gridSpan w:val="3"/>
            <w:hideMark/>
          </w:tcPr>
          <w:p w:rsidR="00E03816" w:rsidRDefault="003C5787" w:rsidP="00602640">
            <w:pPr>
              <w:pStyle w:val="zSoquijlblProcureurDem"/>
              <w:ind w:right="-720"/>
            </w:pPr>
            <w:r>
              <w:t xml:space="preserve">Procureur de la poursuivante </w:t>
            </w:r>
            <w:r>
              <w:fldChar w:fldCharType="begin"/>
            </w:r>
            <w:r>
              <w:instrText xml:space="preserve">  </w:instrText>
            </w:r>
            <w:r>
              <w:fldChar w:fldCharType="end"/>
            </w:r>
          </w:p>
        </w:tc>
      </w:tr>
      <w:tr w:rsidR="000B376D" w:rsidTr="00173845">
        <w:trPr>
          <w:cantSplit/>
        </w:trPr>
        <w:tc>
          <w:tcPr>
            <w:tcW w:w="9505" w:type="dxa"/>
            <w:gridSpan w:val="3"/>
          </w:tcPr>
          <w:p w:rsidR="00E03816" w:rsidRDefault="00E03816" w:rsidP="00602640">
            <w:pPr>
              <w:ind w:right="-720"/>
            </w:pPr>
          </w:p>
        </w:tc>
      </w:tr>
      <w:tr w:rsidR="000B376D" w:rsidTr="00173845">
        <w:trPr>
          <w:cantSplit/>
        </w:trPr>
        <w:tc>
          <w:tcPr>
            <w:tcW w:w="9505" w:type="dxa"/>
            <w:gridSpan w:val="3"/>
            <w:hideMark/>
          </w:tcPr>
          <w:p w:rsidR="00E03816" w:rsidRDefault="003C5787" w:rsidP="00A1120F">
            <w:pPr>
              <w:pStyle w:val="zSoquijdatNomProcureurDef"/>
              <w:ind w:right="-720"/>
            </w:pPr>
            <w:r>
              <w:t xml:space="preserve">Me </w:t>
            </w:r>
            <w:r w:rsidR="008E5C1C">
              <w:t>Martin Pilotte</w:t>
            </w:r>
            <w:r w:rsidR="00876069">
              <w:t>,</w:t>
            </w:r>
            <w:r>
              <w:fldChar w:fldCharType="begin"/>
            </w:r>
            <w:r>
              <w:instrText xml:space="preserve">  </w:instrText>
            </w:r>
            <w:r>
              <w:fldChar w:fldCharType="end"/>
            </w:r>
          </w:p>
        </w:tc>
      </w:tr>
      <w:tr w:rsidR="000B376D" w:rsidTr="00173845">
        <w:trPr>
          <w:cantSplit/>
        </w:trPr>
        <w:tc>
          <w:tcPr>
            <w:tcW w:w="9505" w:type="dxa"/>
            <w:gridSpan w:val="3"/>
            <w:hideMark/>
          </w:tcPr>
          <w:p w:rsidR="00E03816" w:rsidRDefault="003C5787" w:rsidP="00602640">
            <w:pPr>
              <w:pStyle w:val="zSoquijlblProcureurDef"/>
              <w:ind w:right="-720"/>
            </w:pPr>
            <w:r>
              <w:t>Procureur de l’accusé</w:t>
            </w:r>
            <w:r>
              <w:fldChar w:fldCharType="begin"/>
            </w:r>
            <w:r>
              <w:instrText xml:space="preserve">  </w:instrText>
            </w:r>
            <w:r>
              <w:fldChar w:fldCharType="end"/>
            </w:r>
          </w:p>
        </w:tc>
      </w:tr>
      <w:tr w:rsidR="000B376D" w:rsidTr="00173845">
        <w:tc>
          <w:tcPr>
            <w:tcW w:w="9505" w:type="dxa"/>
            <w:gridSpan w:val="3"/>
          </w:tcPr>
          <w:p w:rsidR="00E03816" w:rsidRDefault="00E03816" w:rsidP="00602640">
            <w:pPr>
              <w:ind w:right="-720"/>
            </w:pPr>
          </w:p>
        </w:tc>
      </w:tr>
      <w:tr w:rsidR="000B376D" w:rsidTr="00173845">
        <w:tc>
          <w:tcPr>
            <w:tcW w:w="2230" w:type="dxa"/>
            <w:hideMark/>
          </w:tcPr>
          <w:p w:rsidR="00E03816" w:rsidRDefault="003C5787" w:rsidP="00602640">
            <w:pPr>
              <w:pStyle w:val="zSoquijlblDateAudience"/>
              <w:ind w:right="-720"/>
            </w:pPr>
            <w:r>
              <w:t>Date d’audience :</w:t>
            </w:r>
          </w:p>
        </w:tc>
        <w:tc>
          <w:tcPr>
            <w:tcW w:w="7275" w:type="dxa"/>
            <w:gridSpan w:val="2"/>
            <w:hideMark/>
          </w:tcPr>
          <w:p w:rsidR="00E03816" w:rsidRDefault="003C5787" w:rsidP="00602640">
            <w:pPr>
              <w:pStyle w:val="zSoquijdatDateAudience"/>
              <w:ind w:right="-720"/>
            </w:pPr>
            <w:r>
              <w:t>26 août 2020</w:t>
            </w:r>
            <w:r>
              <w:fldChar w:fldCharType="begin"/>
            </w:r>
            <w:r>
              <w:instrText xml:space="preserve">  </w:instrText>
            </w:r>
            <w:r>
              <w:fldChar w:fldCharType="end"/>
            </w:r>
          </w:p>
        </w:tc>
      </w:tr>
    </w:tbl>
    <w:p w:rsidR="00612922" w:rsidRDefault="00612922"/>
    <w:sectPr w:rsidR="00612922" w:rsidSect="001A4D7D">
      <w:head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E9A" w:rsidRDefault="003C5787">
      <w:r>
        <w:separator/>
      </w:r>
    </w:p>
  </w:endnote>
  <w:endnote w:type="continuationSeparator" w:id="0">
    <w:p w:rsidR="00094E9A" w:rsidRDefault="003C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2CE" w:rsidRDefault="003C5787" w:rsidP="00E03816">
      <w:r>
        <w:separator/>
      </w:r>
    </w:p>
  </w:footnote>
  <w:footnote w:type="continuationSeparator" w:id="0">
    <w:p w:rsidR="009F02CE" w:rsidRDefault="003C5787" w:rsidP="00E03816">
      <w:r>
        <w:continuationSeparator/>
      </w:r>
    </w:p>
  </w:footnote>
  <w:footnote w:id="1">
    <w:p w:rsidR="00DA56E8" w:rsidRDefault="003C5787">
      <w:pPr>
        <w:pStyle w:val="Notedebasdepage"/>
      </w:pPr>
      <w:r>
        <w:rPr>
          <w:rStyle w:val="Appelnotedebasdep"/>
        </w:rPr>
        <w:footnoteRef/>
      </w:r>
      <w:r>
        <w:t xml:space="preserve"> </w:t>
      </w:r>
      <w:r w:rsidR="006C073D">
        <w:t xml:space="preserve"> </w:t>
      </w:r>
      <w:r>
        <w:t>R. c. M.V. (2014) QCCA 878.</w:t>
      </w:r>
    </w:p>
  </w:footnote>
  <w:footnote w:id="2">
    <w:p w:rsidR="00DA56E8" w:rsidRDefault="003C5787">
      <w:pPr>
        <w:pStyle w:val="Notedebasdepage"/>
      </w:pPr>
      <w:r>
        <w:rPr>
          <w:rStyle w:val="Appelnotedebasdep"/>
        </w:rPr>
        <w:footnoteRef/>
      </w:r>
      <w:r>
        <w:t xml:space="preserve"> </w:t>
      </w:r>
      <w:r w:rsidR="006C073D">
        <w:t xml:space="preserve"> </w:t>
      </w:r>
      <w:r w:rsidR="007E0884">
        <w:t>R. c. Stevens (2014) QCCA 444</w:t>
      </w:r>
      <w:r w:rsidR="00CF585D">
        <w:t>, par. 35</w:t>
      </w:r>
      <w:r w:rsidR="007E0884">
        <w:t>.</w:t>
      </w:r>
    </w:p>
  </w:footnote>
  <w:footnote w:id="3">
    <w:p w:rsidR="00DA56E8" w:rsidRDefault="003C5787">
      <w:pPr>
        <w:pStyle w:val="Notedebasdepage"/>
      </w:pPr>
      <w:r>
        <w:rPr>
          <w:rStyle w:val="Appelnotedebasdep"/>
        </w:rPr>
        <w:footnoteRef/>
      </w:r>
      <w:r w:rsidR="006C073D">
        <w:t xml:space="preserve"> </w:t>
      </w:r>
      <w:r>
        <w:t xml:space="preserve"> </w:t>
      </w:r>
      <w:r w:rsidR="006C073D">
        <w:t>R. c. Duhaime (2015) QCCA 685, par. 3.</w:t>
      </w:r>
    </w:p>
  </w:footnote>
  <w:footnote w:id="4">
    <w:p w:rsidR="007E0884" w:rsidRDefault="003C5787">
      <w:pPr>
        <w:pStyle w:val="Notedebasdepage"/>
      </w:pPr>
      <w:r>
        <w:rPr>
          <w:rStyle w:val="Appelnotedebasdep"/>
        </w:rPr>
        <w:footnoteRef/>
      </w:r>
      <w:r w:rsidR="006C073D">
        <w:t xml:space="preserve">  R. c. Bernier (2015) QCCA 963, par. 43.</w:t>
      </w:r>
    </w:p>
  </w:footnote>
  <w:footnote w:id="5">
    <w:p w:rsidR="004069F9" w:rsidRDefault="003C5787">
      <w:pPr>
        <w:pStyle w:val="Notedebasdepage"/>
      </w:pPr>
      <w:r>
        <w:rPr>
          <w:rStyle w:val="Appelnotedebasdep"/>
        </w:rPr>
        <w:footnoteRef/>
      </w:r>
      <w:r>
        <w:t xml:space="preserve"> </w:t>
      </w:r>
      <w:r w:rsidR="006C073D">
        <w:t xml:space="preserve"> </w:t>
      </w:r>
      <w:r>
        <w:t xml:space="preserve">Précité, note </w:t>
      </w:r>
      <w:r w:rsidR="00CF585D">
        <w:t>1</w:t>
      </w:r>
      <w:r>
        <w:t>, par. 9.</w:t>
      </w:r>
    </w:p>
  </w:footnote>
  <w:footnote w:id="6">
    <w:p w:rsidR="00A13F6A" w:rsidRDefault="003C5787">
      <w:pPr>
        <w:pStyle w:val="Notedebasdepage"/>
      </w:pPr>
      <w:r>
        <w:rPr>
          <w:rStyle w:val="Appelnotedebasdep"/>
        </w:rPr>
        <w:footnoteRef/>
      </w:r>
      <w:r>
        <w:t xml:space="preserve"> </w:t>
      </w:r>
      <w:r w:rsidR="006C073D">
        <w:t xml:space="preserve"> </w:t>
      </w:r>
      <w:r>
        <w:t xml:space="preserve">R. c. Lafrance </w:t>
      </w:r>
      <w:r w:rsidR="006C073D">
        <w:t>(</w:t>
      </w:r>
      <w:r w:rsidRPr="006C073D">
        <w:t>19</w:t>
      </w:r>
      <w:r w:rsidR="006C073D" w:rsidRPr="006C073D">
        <w:t>9</w:t>
      </w:r>
      <w:r w:rsidRPr="006C073D">
        <w:t>3)</w:t>
      </w:r>
      <w:r>
        <w:t xml:space="preserve"> QCCA 4290.</w:t>
      </w:r>
    </w:p>
  </w:footnote>
  <w:footnote w:id="7">
    <w:p w:rsidR="00CF585D" w:rsidRDefault="003C5787">
      <w:pPr>
        <w:pStyle w:val="Notedebasdepage"/>
      </w:pPr>
      <w:r>
        <w:rPr>
          <w:rStyle w:val="Appelnotedebasdep"/>
        </w:rPr>
        <w:footnoteRef/>
      </w:r>
      <w:r>
        <w:t xml:space="preserve">  R. c. Prokos (1998) QCCA 12949.</w:t>
      </w:r>
    </w:p>
  </w:footnote>
  <w:footnote w:id="8">
    <w:p w:rsidR="00B6555F" w:rsidRDefault="003C5787">
      <w:pPr>
        <w:pStyle w:val="Notedebasdepage"/>
      </w:pPr>
      <w:r>
        <w:rPr>
          <w:rStyle w:val="Appelnotedebasdep"/>
        </w:rPr>
        <w:footnoteRef/>
      </w:r>
      <w:r>
        <w:t xml:space="preserve">  R. c. Larouche (2012) QCCA 2272, par. 39.</w:t>
      </w:r>
    </w:p>
  </w:footnote>
  <w:footnote w:id="9">
    <w:p w:rsidR="00934B13" w:rsidRDefault="003C5787">
      <w:pPr>
        <w:pStyle w:val="Notedebasdepage"/>
      </w:pPr>
      <w:r>
        <w:rPr>
          <w:rStyle w:val="Appelnotedebasdep"/>
        </w:rPr>
        <w:footnoteRef/>
      </w:r>
      <w:r>
        <w:t xml:space="preserve"> </w:t>
      </w:r>
      <w:r w:rsidR="006C073D">
        <w:t xml:space="preserve"> </w:t>
      </w:r>
      <w:r w:rsidR="00B6555F">
        <w:t>Précité, note 2, par. 34</w:t>
      </w:r>
      <w:r>
        <w:t>.</w:t>
      </w:r>
    </w:p>
  </w:footnote>
  <w:footnote w:id="10">
    <w:p w:rsidR="006C073D" w:rsidRDefault="003C5787">
      <w:pPr>
        <w:pStyle w:val="Notedebasdepage"/>
      </w:pPr>
      <w:r>
        <w:rPr>
          <w:rStyle w:val="Appelnotedebasdep"/>
        </w:rPr>
        <w:footnoteRef/>
      </w:r>
      <w:r w:rsidR="00B6555F">
        <w:t xml:space="preserve"> Précité, note 3</w:t>
      </w:r>
      <w:r>
        <w:t>, par. 3.</w:t>
      </w:r>
    </w:p>
  </w:footnote>
  <w:footnote w:id="11">
    <w:p w:rsidR="0054149E" w:rsidRDefault="003C5787">
      <w:pPr>
        <w:pStyle w:val="Notedebasdepage"/>
      </w:pPr>
      <w:r>
        <w:rPr>
          <w:rStyle w:val="Appelnotedebasdep"/>
        </w:rPr>
        <w:footnoteRef/>
      </w:r>
      <w:r>
        <w:t xml:space="preserve"> Précité, note </w:t>
      </w:r>
      <w:r w:rsidR="00B6555F">
        <w:t>4</w:t>
      </w:r>
      <w:r>
        <w:t>, par. 46.</w:t>
      </w:r>
    </w:p>
  </w:footnote>
  <w:footnote w:id="12">
    <w:p w:rsidR="00BD3281" w:rsidRDefault="003C5787">
      <w:pPr>
        <w:pStyle w:val="Notedebasdepage"/>
      </w:pPr>
      <w:r>
        <w:rPr>
          <w:rStyle w:val="Appelnotedebasdep"/>
        </w:rPr>
        <w:footnoteRef/>
      </w:r>
      <w:r>
        <w:rPr>
          <w:i/>
        </w:rPr>
        <w:t xml:space="preserve"> </w:t>
      </w:r>
      <w:r w:rsidRPr="00BD3281">
        <w:rPr>
          <w:i/>
        </w:rPr>
        <w:t>Code criminel</w:t>
      </w:r>
      <w:r>
        <w:t xml:space="preserve">, L.R.C. 1985, c. C-46, article 718.1. </w:t>
      </w:r>
    </w:p>
  </w:footnote>
  <w:footnote w:id="13">
    <w:p w:rsidR="00B6555F" w:rsidRDefault="003C5787">
      <w:pPr>
        <w:pStyle w:val="Notedebasdepage"/>
      </w:pPr>
      <w:r>
        <w:rPr>
          <w:rStyle w:val="Appelnotedebasdep"/>
        </w:rPr>
        <w:footnoteRef/>
      </w:r>
      <w:r>
        <w:t xml:space="preserve"> Précité, note 8.</w:t>
      </w:r>
    </w:p>
  </w:footnote>
  <w:footnote w:id="14">
    <w:p w:rsidR="00115512" w:rsidRDefault="003C5787">
      <w:pPr>
        <w:pStyle w:val="Notedebasdepage"/>
      </w:pPr>
      <w:r>
        <w:rPr>
          <w:rStyle w:val="Appelnotedebasdep"/>
        </w:rPr>
        <w:footnoteRef/>
      </w:r>
      <w:r w:rsidR="000F5FAA">
        <w:t xml:space="preserve"> </w:t>
      </w:r>
      <w:r>
        <w:t>R. c. Mantha (2001) QCCA 12056.</w:t>
      </w:r>
    </w:p>
  </w:footnote>
  <w:footnote w:id="15">
    <w:p w:rsidR="00115512" w:rsidRDefault="003C5787">
      <w:pPr>
        <w:pStyle w:val="Notedebasdepage"/>
      </w:pPr>
      <w:r>
        <w:rPr>
          <w:rStyle w:val="Appelnotedebasdep"/>
        </w:rPr>
        <w:footnoteRef/>
      </w:r>
      <w:r>
        <w:t xml:space="preserve"> R. c. Bonenfant (1989) QCCA 925.</w:t>
      </w:r>
    </w:p>
  </w:footnote>
  <w:footnote w:id="16">
    <w:p w:rsidR="000F5FAA" w:rsidRDefault="003C5787">
      <w:pPr>
        <w:pStyle w:val="Notedebasdepage"/>
      </w:pPr>
      <w:r>
        <w:rPr>
          <w:rStyle w:val="Appelnotedebasdep"/>
        </w:rPr>
        <w:footnoteRef/>
      </w:r>
      <w:r w:rsidR="001534FB">
        <w:t xml:space="preserve"> Précité, note 14</w:t>
      </w:r>
      <w:r>
        <w:t>, par. 143.</w:t>
      </w:r>
    </w:p>
  </w:footnote>
  <w:footnote w:id="17">
    <w:p w:rsidR="00AA6AB1" w:rsidRDefault="003C5787">
      <w:pPr>
        <w:pStyle w:val="Notedebasdepage"/>
      </w:pPr>
      <w:r>
        <w:rPr>
          <w:rStyle w:val="Appelnotedebasdep"/>
        </w:rPr>
        <w:footnoteRef/>
      </w:r>
      <w:r>
        <w:t xml:space="preserve"> R. c. Armeni (2011) QCCA 1574.</w:t>
      </w:r>
    </w:p>
  </w:footnote>
  <w:footnote w:id="18">
    <w:p w:rsidR="00B6555F" w:rsidRDefault="003C5787">
      <w:pPr>
        <w:pStyle w:val="Notedebasdepage"/>
      </w:pPr>
      <w:r>
        <w:rPr>
          <w:rStyle w:val="Appelnotedebasdep"/>
        </w:rPr>
        <w:footnoteRef/>
      </w:r>
      <w:r>
        <w:t xml:space="preserve"> R. c. Ricard (2014) QCCA 1160.</w:t>
      </w:r>
    </w:p>
  </w:footnote>
  <w:footnote w:id="19">
    <w:p w:rsidR="000F5FAA" w:rsidRDefault="003C5787">
      <w:pPr>
        <w:pStyle w:val="Notedebasdepage"/>
      </w:pPr>
      <w:r>
        <w:rPr>
          <w:rStyle w:val="Appelnotedebasdep"/>
        </w:rPr>
        <w:footnoteRef/>
      </w:r>
      <w:r>
        <w:t xml:space="preserve"> </w:t>
      </w:r>
      <w:r w:rsidR="00FC61AA">
        <w:t xml:space="preserve">Précité, note </w:t>
      </w:r>
      <w:r w:rsidR="001534FB" w:rsidRPr="001534FB">
        <w:t>18</w:t>
      </w:r>
      <w:r w:rsidR="00FC61AA" w:rsidRPr="001534FB">
        <w:t>,</w:t>
      </w:r>
      <w:r w:rsidR="00FC61AA">
        <w:t xml:space="preserve"> par. 4.</w:t>
      </w:r>
    </w:p>
  </w:footnote>
  <w:footnote w:id="20">
    <w:p w:rsidR="002A7B24" w:rsidRDefault="003C5787">
      <w:pPr>
        <w:pStyle w:val="Notedebasdepage"/>
      </w:pPr>
      <w:r>
        <w:rPr>
          <w:rStyle w:val="Appelnotedebasdep"/>
        </w:rPr>
        <w:footnoteRef/>
      </w:r>
      <w:r>
        <w:t xml:space="preserve"> Voir lettres déposées sous S-3.</w:t>
      </w:r>
    </w:p>
  </w:footnote>
  <w:footnote w:id="21">
    <w:p w:rsidR="004E21BD" w:rsidRDefault="003C5787">
      <w:pPr>
        <w:pStyle w:val="Notedebasdepage"/>
      </w:pPr>
      <w:r>
        <w:rPr>
          <w:rStyle w:val="Appelnotedebasdep"/>
        </w:rPr>
        <w:footnoteRef/>
      </w:r>
      <w:r>
        <w:t xml:space="preserve"> Voir lettre déposée sous S-4.</w:t>
      </w:r>
    </w:p>
  </w:footnote>
  <w:footnote w:id="22">
    <w:p w:rsidR="00D94A8C" w:rsidRDefault="003C5787">
      <w:pPr>
        <w:pStyle w:val="Notedebasdepage"/>
      </w:pPr>
      <w:r>
        <w:rPr>
          <w:rStyle w:val="Appelnotedebasdep"/>
        </w:rPr>
        <w:footnoteRef/>
      </w:r>
      <w:r w:rsidR="001534FB">
        <w:t xml:space="preserve"> Précité, note 6</w:t>
      </w:r>
      <w:r>
        <w:t>.</w:t>
      </w:r>
    </w:p>
  </w:footnote>
  <w:footnote w:id="23">
    <w:p w:rsidR="00D94A8C" w:rsidRDefault="003C5787" w:rsidP="00D94A8C">
      <w:pPr>
        <w:pStyle w:val="Notedebasdepage"/>
      </w:pPr>
      <w:r>
        <w:rPr>
          <w:rStyle w:val="Appelnotedebasdep"/>
        </w:rPr>
        <w:footnoteRef/>
      </w:r>
      <w:r w:rsidR="001534FB">
        <w:t xml:space="preserve"> Précité, note 7</w:t>
      </w:r>
      <w:r>
        <w:t>.</w:t>
      </w:r>
    </w:p>
  </w:footnote>
  <w:footnote w:id="24">
    <w:p w:rsidR="00D94A8C" w:rsidRDefault="003C5787">
      <w:pPr>
        <w:pStyle w:val="Notedebasdepage"/>
      </w:pPr>
      <w:r>
        <w:rPr>
          <w:rStyle w:val="Appelnotedebasdep"/>
        </w:rPr>
        <w:footnoteRef/>
      </w:r>
      <w:r>
        <w:t xml:space="preserve"> Précité, note 4.</w:t>
      </w:r>
    </w:p>
  </w:footnote>
  <w:footnote w:id="25">
    <w:p w:rsidR="003C7456" w:rsidRDefault="003C5787" w:rsidP="003C7456">
      <w:pPr>
        <w:pStyle w:val="Notedebasdepage"/>
        <w:ind w:left="180" w:right="-720" w:hanging="180"/>
      </w:pPr>
      <w:r>
        <w:rPr>
          <w:rStyle w:val="Appelnotedebasdep"/>
        </w:rPr>
        <w:footnoteRef/>
      </w:r>
      <w:r>
        <w:t xml:space="preserve"> Le rapport présentenciel écrit à cet égard :  </w:t>
      </w:r>
      <w:r w:rsidRPr="00AD7D2C">
        <w:t>«</w:t>
      </w:r>
      <w:r>
        <w:t xml:space="preserve">Il a d’emblée reconnu son niveau d’implication dans un réseau </w:t>
      </w:r>
      <w:r w:rsidR="005727DF">
        <w:t xml:space="preserve">organisé </w:t>
      </w:r>
      <w:r>
        <w:t>de vente de drogues, durant une période prolongée.  Il a identifié que l’appât du gain a été sa principale source de motivation à l’air délictuel, alors qu’il était sans revenu et qu’il souhaitait maintenir un rythme de vie hédoniste et consommateur</w:t>
      </w:r>
      <w:r w:rsidR="0089331A">
        <w:t>.</w:t>
      </w:r>
      <w:r w:rsidRPr="00AD7D2C">
        <w:t>»</w:t>
      </w:r>
      <w:r>
        <w:t xml:space="preserve">  Lors des représentations sur sentence, l’accusé dira plutôt essentiellement qu’il vendait pour payer sa consom</w:t>
      </w:r>
      <w:r w:rsidR="00BF30D2">
        <w:t>mation, ce sur quoi le Tribunal émet certains doutes.</w:t>
      </w:r>
    </w:p>
  </w:footnote>
  <w:footnote w:id="26">
    <w:p w:rsidR="00C6290E" w:rsidRDefault="003C5787">
      <w:pPr>
        <w:pStyle w:val="Notedebasdepage"/>
      </w:pPr>
      <w:r>
        <w:rPr>
          <w:rStyle w:val="Appelnotedebasdep"/>
        </w:rPr>
        <w:footnoteRef/>
      </w:r>
      <w:r w:rsidR="00FA6A23">
        <w:t xml:space="preserve"> R. c. Leblanc (2014) QCCA 1908, par. 26.</w:t>
      </w:r>
    </w:p>
  </w:footnote>
  <w:footnote w:id="27">
    <w:p w:rsidR="00C6290E" w:rsidRDefault="003C5787">
      <w:pPr>
        <w:pStyle w:val="Notedebasdepage"/>
      </w:pPr>
      <w:r>
        <w:rPr>
          <w:rStyle w:val="Appelnotedebasdep"/>
        </w:rPr>
        <w:footnoteRef/>
      </w:r>
      <w:r w:rsidR="00FA6A23">
        <w:t xml:space="preserve"> Précité, note 2</w:t>
      </w:r>
      <w:r>
        <w:t>, par. 34.</w:t>
      </w:r>
    </w:p>
  </w:footnote>
  <w:footnote w:id="28">
    <w:p w:rsidR="00C6290E" w:rsidRDefault="003C5787">
      <w:pPr>
        <w:pStyle w:val="Notedebasdepage"/>
      </w:pPr>
      <w:r>
        <w:rPr>
          <w:rStyle w:val="Appelnotedebasdep"/>
        </w:rPr>
        <w:footnoteRef/>
      </w:r>
      <w:r w:rsidR="00FA6A23">
        <w:t xml:space="preserve"> Précité, note 3, par.12.</w:t>
      </w:r>
      <w:r>
        <w:t xml:space="preserve"> </w:t>
      </w:r>
    </w:p>
  </w:footnote>
  <w:footnote w:id="29">
    <w:p w:rsidR="0089331A" w:rsidRDefault="003C5787">
      <w:pPr>
        <w:pStyle w:val="Notedebasdepage"/>
      </w:pPr>
      <w:r>
        <w:rPr>
          <w:rStyle w:val="Appelnotedebasdep"/>
        </w:rPr>
        <w:footnoteRef/>
      </w:r>
      <w:r w:rsidR="00BF30D2">
        <w:t xml:space="preserve"> R. c. Nasogaluak (2010) 1</w:t>
      </w:r>
      <w:r w:rsidR="001534FB">
        <w:t xml:space="preserve"> </w:t>
      </w:r>
      <w:r>
        <w:t>R.C.S. 206, par. 43.</w:t>
      </w:r>
    </w:p>
  </w:footnote>
  <w:footnote w:id="30">
    <w:p w:rsidR="006167E0" w:rsidRDefault="003C5787" w:rsidP="008B13EC">
      <w:pPr>
        <w:pStyle w:val="Notedebasdepage"/>
        <w:ind w:left="180" w:hanging="180"/>
      </w:pPr>
      <w:r>
        <w:rPr>
          <w:rStyle w:val="Appelnotedebasdep"/>
        </w:rPr>
        <w:footnoteRef/>
      </w:r>
      <w:r>
        <w:t xml:space="preserve"> Au cours des dernières années, le Tribunal a d’ailleurs imposé des peines variant entre </w:t>
      </w:r>
      <w:r w:rsidR="008B13EC">
        <w:t>11 et 14 mois d’emprisonnement pour des crimes similaires commis dans des circonstances similaires :  voir, notamment</w:t>
      </w:r>
      <w:r w:rsidR="008B13EC" w:rsidRPr="008B13EC">
        <w:rPr>
          <w:i/>
        </w:rPr>
        <w:t>, R. c. Jérôme St-Jean</w:t>
      </w:r>
      <w:r w:rsidR="008B13EC">
        <w:t>, C.Q. Beauharnois, 760-01-080541-161, 5 octobre 2016, j. St-Arnaud;</w:t>
      </w:r>
      <w:r w:rsidR="00BF30D2">
        <w:t xml:space="preserve"> </w:t>
      </w:r>
      <w:r w:rsidR="008B13EC">
        <w:t xml:space="preserve"> </w:t>
      </w:r>
      <w:r w:rsidR="008B13EC" w:rsidRPr="008B13EC">
        <w:rPr>
          <w:i/>
        </w:rPr>
        <w:t xml:space="preserve">R. c. Lionel </w:t>
      </w:r>
      <w:r w:rsidR="00BF30D2">
        <w:rPr>
          <w:i/>
        </w:rPr>
        <w:t xml:space="preserve"> </w:t>
      </w:r>
      <w:r w:rsidR="008B13EC" w:rsidRPr="008B13EC">
        <w:rPr>
          <w:i/>
        </w:rPr>
        <w:t>Sabourin</w:t>
      </w:r>
      <w:r w:rsidR="008B13EC">
        <w:t xml:space="preserve">, C.Q. </w:t>
      </w:r>
      <w:r w:rsidR="00BF30D2">
        <w:t xml:space="preserve"> </w:t>
      </w:r>
      <w:r w:rsidR="008B13EC">
        <w:t>Beauharnois, 760-01-080455-162,</w:t>
      </w:r>
      <w:r w:rsidR="00BF30D2">
        <w:t xml:space="preserve"> </w:t>
      </w:r>
      <w:r w:rsidR="008B13EC">
        <w:t xml:space="preserve"> 21 </w:t>
      </w:r>
      <w:r w:rsidR="00BF30D2">
        <w:t xml:space="preserve"> </w:t>
      </w:r>
      <w:r w:rsidR="008B13EC">
        <w:t>février 2017, j. St-Arnaud.</w:t>
      </w:r>
    </w:p>
  </w:footnote>
  <w:footnote w:id="31">
    <w:p w:rsidR="00876069" w:rsidRDefault="003C5787">
      <w:pPr>
        <w:pStyle w:val="Notedebasdepage"/>
      </w:pPr>
      <w:r>
        <w:rPr>
          <w:rStyle w:val="Appelnotedebasdep"/>
        </w:rPr>
        <w:footnoteRef/>
      </w:r>
      <w:r>
        <w:t xml:space="preserve"> Précité, note </w:t>
      </w:r>
      <w:r w:rsidR="001534FB">
        <w:t>6</w:t>
      </w:r>
      <w:r>
        <w:t>, p.10 (j. Lebel).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2CE" w:rsidRDefault="009F02CE" w:rsidP="001A4D7D">
    <w:pPr>
      <w:pStyle w:val="En-tte"/>
      <w:rPr>
        <w:b/>
      </w:rPr>
    </w:pPr>
  </w:p>
  <w:p w:rsidR="009F02CE" w:rsidRPr="00AD7D2C" w:rsidRDefault="003C5787" w:rsidP="00AD7D2C">
    <w:pPr>
      <w:pStyle w:val="En-tte"/>
      <w:tabs>
        <w:tab w:val="clear" w:pos="4320"/>
        <w:tab w:val="clear" w:pos="8640"/>
      </w:tabs>
      <w:ind w:right="-720"/>
    </w:pPr>
    <w:r>
      <w:t xml:space="preserve">760-01-092579-181     </w:t>
    </w:r>
    <w:r>
      <w:tab/>
    </w:r>
    <w:r>
      <w:tab/>
    </w:r>
    <w:r>
      <w:tab/>
    </w:r>
    <w:r>
      <w:tab/>
    </w:r>
    <w:r>
      <w:tab/>
    </w:r>
    <w:r>
      <w:tab/>
    </w:r>
    <w:r>
      <w:tab/>
      <w:t xml:space="preserve">                 </w:t>
    </w:r>
    <w:r w:rsidRPr="00AD7D2C">
      <w:t xml:space="preserve">PAGE : </w:t>
    </w:r>
    <w:sdt>
      <w:sdtPr>
        <w:id w:val="1005631703"/>
        <w:docPartObj>
          <w:docPartGallery w:val="Page Numbers (Top of Page)"/>
          <w:docPartUnique/>
        </w:docPartObj>
      </w:sdtPr>
      <w:sdtEndPr/>
      <w:sdtContent>
        <w:r w:rsidRPr="00AD7D2C">
          <w:fldChar w:fldCharType="begin"/>
        </w:r>
        <w:r w:rsidRPr="00AD7D2C">
          <w:instrText>PAGE   \* MERGEFORMAT</w:instrText>
        </w:r>
        <w:r w:rsidRPr="00AD7D2C">
          <w:fldChar w:fldCharType="separate"/>
        </w:r>
        <w:r w:rsidR="00B51E5A" w:rsidRPr="00B51E5A">
          <w:rPr>
            <w:noProof/>
            <w:lang w:val="fr-FR"/>
          </w:rPr>
          <w:t>11</w:t>
        </w:r>
        <w:r w:rsidRPr="00AD7D2C">
          <w:fldChar w:fldCharType="end"/>
        </w:r>
      </w:sdtContent>
    </w:sdt>
  </w:p>
  <w:p w:rsidR="009F02CE" w:rsidRDefault="009F02C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35D5D"/>
    <w:multiLevelType w:val="hybridMultilevel"/>
    <w:tmpl w:val="FBAE0F6C"/>
    <w:lvl w:ilvl="0" w:tplc="A3CC4866">
      <w:start w:val="3"/>
      <w:numFmt w:val="bullet"/>
      <w:lvlText w:val="-"/>
      <w:lvlJc w:val="left"/>
      <w:pPr>
        <w:ind w:left="720" w:hanging="360"/>
      </w:pPr>
      <w:rPr>
        <w:rFonts w:ascii="Arial" w:eastAsia="Times New Roman" w:hAnsi="Arial" w:cs="Arial" w:hint="default"/>
      </w:rPr>
    </w:lvl>
    <w:lvl w:ilvl="1" w:tplc="01381AF2" w:tentative="1">
      <w:start w:val="1"/>
      <w:numFmt w:val="bullet"/>
      <w:lvlText w:val="o"/>
      <w:lvlJc w:val="left"/>
      <w:pPr>
        <w:ind w:left="1440" w:hanging="360"/>
      </w:pPr>
      <w:rPr>
        <w:rFonts w:ascii="Courier New" w:hAnsi="Courier New" w:cs="Courier New" w:hint="default"/>
      </w:rPr>
    </w:lvl>
    <w:lvl w:ilvl="2" w:tplc="F8B006A6" w:tentative="1">
      <w:start w:val="1"/>
      <w:numFmt w:val="bullet"/>
      <w:lvlText w:val=""/>
      <w:lvlJc w:val="left"/>
      <w:pPr>
        <w:ind w:left="2160" w:hanging="360"/>
      </w:pPr>
      <w:rPr>
        <w:rFonts w:ascii="Wingdings" w:hAnsi="Wingdings" w:hint="default"/>
      </w:rPr>
    </w:lvl>
    <w:lvl w:ilvl="3" w:tplc="68D8C572" w:tentative="1">
      <w:start w:val="1"/>
      <w:numFmt w:val="bullet"/>
      <w:lvlText w:val=""/>
      <w:lvlJc w:val="left"/>
      <w:pPr>
        <w:ind w:left="2880" w:hanging="360"/>
      </w:pPr>
      <w:rPr>
        <w:rFonts w:ascii="Symbol" w:hAnsi="Symbol" w:hint="default"/>
      </w:rPr>
    </w:lvl>
    <w:lvl w:ilvl="4" w:tplc="5FCEED54" w:tentative="1">
      <w:start w:val="1"/>
      <w:numFmt w:val="bullet"/>
      <w:lvlText w:val="o"/>
      <w:lvlJc w:val="left"/>
      <w:pPr>
        <w:ind w:left="3600" w:hanging="360"/>
      </w:pPr>
      <w:rPr>
        <w:rFonts w:ascii="Courier New" w:hAnsi="Courier New" w:cs="Courier New" w:hint="default"/>
      </w:rPr>
    </w:lvl>
    <w:lvl w:ilvl="5" w:tplc="42E0DF18" w:tentative="1">
      <w:start w:val="1"/>
      <w:numFmt w:val="bullet"/>
      <w:lvlText w:val=""/>
      <w:lvlJc w:val="left"/>
      <w:pPr>
        <w:ind w:left="4320" w:hanging="360"/>
      </w:pPr>
      <w:rPr>
        <w:rFonts w:ascii="Wingdings" w:hAnsi="Wingdings" w:hint="default"/>
      </w:rPr>
    </w:lvl>
    <w:lvl w:ilvl="6" w:tplc="3A9E1C68" w:tentative="1">
      <w:start w:val="1"/>
      <w:numFmt w:val="bullet"/>
      <w:lvlText w:val=""/>
      <w:lvlJc w:val="left"/>
      <w:pPr>
        <w:ind w:left="5040" w:hanging="360"/>
      </w:pPr>
      <w:rPr>
        <w:rFonts w:ascii="Symbol" w:hAnsi="Symbol" w:hint="default"/>
      </w:rPr>
    </w:lvl>
    <w:lvl w:ilvl="7" w:tplc="13A872E4" w:tentative="1">
      <w:start w:val="1"/>
      <w:numFmt w:val="bullet"/>
      <w:lvlText w:val="o"/>
      <w:lvlJc w:val="left"/>
      <w:pPr>
        <w:ind w:left="5760" w:hanging="360"/>
      </w:pPr>
      <w:rPr>
        <w:rFonts w:ascii="Courier New" w:hAnsi="Courier New" w:cs="Courier New" w:hint="default"/>
      </w:rPr>
    </w:lvl>
    <w:lvl w:ilvl="8" w:tplc="36EA0508" w:tentative="1">
      <w:start w:val="1"/>
      <w:numFmt w:val="bullet"/>
      <w:lvlText w:val=""/>
      <w:lvlJc w:val="left"/>
      <w:pPr>
        <w:ind w:left="6480" w:hanging="360"/>
      </w:pPr>
      <w:rPr>
        <w:rFonts w:ascii="Wingdings" w:hAnsi="Wingdings" w:hint="default"/>
      </w:rPr>
    </w:lvl>
  </w:abstractNum>
  <w:abstractNum w:abstractNumId="1">
    <w:nsid w:val="1E3C08B9"/>
    <w:multiLevelType w:val="hybridMultilevel"/>
    <w:tmpl w:val="057A91C8"/>
    <w:lvl w:ilvl="0" w:tplc="7AFA4C5A">
      <w:start w:val="3"/>
      <w:numFmt w:val="bullet"/>
      <w:lvlText w:val="-"/>
      <w:lvlJc w:val="left"/>
      <w:pPr>
        <w:ind w:left="1065" w:hanging="360"/>
      </w:pPr>
      <w:rPr>
        <w:rFonts w:ascii="Arial" w:eastAsia="Times New Roman" w:hAnsi="Arial" w:cs="Arial" w:hint="default"/>
      </w:rPr>
    </w:lvl>
    <w:lvl w:ilvl="1" w:tplc="746CB3AA" w:tentative="1">
      <w:start w:val="1"/>
      <w:numFmt w:val="bullet"/>
      <w:lvlText w:val="o"/>
      <w:lvlJc w:val="left"/>
      <w:pPr>
        <w:ind w:left="1785" w:hanging="360"/>
      </w:pPr>
      <w:rPr>
        <w:rFonts w:ascii="Courier New" w:hAnsi="Courier New" w:cs="Courier New" w:hint="default"/>
      </w:rPr>
    </w:lvl>
    <w:lvl w:ilvl="2" w:tplc="2B408D1A" w:tentative="1">
      <w:start w:val="1"/>
      <w:numFmt w:val="bullet"/>
      <w:lvlText w:val=""/>
      <w:lvlJc w:val="left"/>
      <w:pPr>
        <w:ind w:left="2505" w:hanging="360"/>
      </w:pPr>
      <w:rPr>
        <w:rFonts w:ascii="Wingdings" w:hAnsi="Wingdings" w:hint="default"/>
      </w:rPr>
    </w:lvl>
    <w:lvl w:ilvl="3" w:tplc="A118A38A" w:tentative="1">
      <w:start w:val="1"/>
      <w:numFmt w:val="bullet"/>
      <w:lvlText w:val=""/>
      <w:lvlJc w:val="left"/>
      <w:pPr>
        <w:ind w:left="3225" w:hanging="360"/>
      </w:pPr>
      <w:rPr>
        <w:rFonts w:ascii="Symbol" w:hAnsi="Symbol" w:hint="default"/>
      </w:rPr>
    </w:lvl>
    <w:lvl w:ilvl="4" w:tplc="6EA889E8" w:tentative="1">
      <w:start w:val="1"/>
      <w:numFmt w:val="bullet"/>
      <w:lvlText w:val="o"/>
      <w:lvlJc w:val="left"/>
      <w:pPr>
        <w:ind w:left="3945" w:hanging="360"/>
      </w:pPr>
      <w:rPr>
        <w:rFonts w:ascii="Courier New" w:hAnsi="Courier New" w:cs="Courier New" w:hint="default"/>
      </w:rPr>
    </w:lvl>
    <w:lvl w:ilvl="5" w:tplc="FFA2B1FE" w:tentative="1">
      <w:start w:val="1"/>
      <w:numFmt w:val="bullet"/>
      <w:lvlText w:val=""/>
      <w:lvlJc w:val="left"/>
      <w:pPr>
        <w:ind w:left="4665" w:hanging="360"/>
      </w:pPr>
      <w:rPr>
        <w:rFonts w:ascii="Wingdings" w:hAnsi="Wingdings" w:hint="default"/>
      </w:rPr>
    </w:lvl>
    <w:lvl w:ilvl="6" w:tplc="DF7A0752" w:tentative="1">
      <w:start w:val="1"/>
      <w:numFmt w:val="bullet"/>
      <w:lvlText w:val=""/>
      <w:lvlJc w:val="left"/>
      <w:pPr>
        <w:ind w:left="5385" w:hanging="360"/>
      </w:pPr>
      <w:rPr>
        <w:rFonts w:ascii="Symbol" w:hAnsi="Symbol" w:hint="default"/>
      </w:rPr>
    </w:lvl>
    <w:lvl w:ilvl="7" w:tplc="3F1476C6" w:tentative="1">
      <w:start w:val="1"/>
      <w:numFmt w:val="bullet"/>
      <w:lvlText w:val="o"/>
      <w:lvlJc w:val="left"/>
      <w:pPr>
        <w:ind w:left="6105" w:hanging="360"/>
      </w:pPr>
      <w:rPr>
        <w:rFonts w:ascii="Courier New" w:hAnsi="Courier New" w:cs="Courier New" w:hint="default"/>
      </w:rPr>
    </w:lvl>
    <w:lvl w:ilvl="8" w:tplc="26DC222C" w:tentative="1">
      <w:start w:val="1"/>
      <w:numFmt w:val="bullet"/>
      <w:lvlText w:val=""/>
      <w:lvlJc w:val="left"/>
      <w:pPr>
        <w:ind w:left="6825" w:hanging="360"/>
      </w:pPr>
      <w:rPr>
        <w:rFonts w:ascii="Wingdings" w:hAnsi="Wingdings" w:hint="default"/>
      </w:rPr>
    </w:lvl>
  </w:abstractNum>
  <w:abstractNum w:abstractNumId="2">
    <w:nsid w:val="2CC65A0C"/>
    <w:multiLevelType w:val="hybridMultilevel"/>
    <w:tmpl w:val="89B0BD56"/>
    <w:lvl w:ilvl="0" w:tplc="E77C018C">
      <w:start w:val="1"/>
      <w:numFmt w:val="bullet"/>
      <w:lvlText w:val=""/>
      <w:lvlJc w:val="left"/>
      <w:pPr>
        <w:tabs>
          <w:tab w:val="num" w:pos="720"/>
        </w:tabs>
        <w:ind w:left="720" w:hanging="360"/>
      </w:pPr>
      <w:rPr>
        <w:rFonts w:ascii="Symbol" w:hAnsi="Symbol" w:hint="default"/>
      </w:rPr>
    </w:lvl>
    <w:lvl w:ilvl="1" w:tplc="A1D85B32">
      <w:start w:val="1"/>
      <w:numFmt w:val="bullet"/>
      <w:lvlText w:val="o"/>
      <w:lvlJc w:val="left"/>
      <w:pPr>
        <w:tabs>
          <w:tab w:val="num" w:pos="1440"/>
        </w:tabs>
        <w:ind w:left="1440" w:hanging="360"/>
      </w:pPr>
      <w:rPr>
        <w:rFonts w:ascii="Courier New" w:hAnsi="Courier New" w:cs="Courier New" w:hint="default"/>
      </w:rPr>
    </w:lvl>
    <w:lvl w:ilvl="2" w:tplc="00867AB4">
      <w:start w:val="1"/>
      <w:numFmt w:val="bullet"/>
      <w:lvlText w:val=""/>
      <w:lvlJc w:val="left"/>
      <w:pPr>
        <w:tabs>
          <w:tab w:val="num" w:pos="2160"/>
        </w:tabs>
        <w:ind w:left="2160" w:hanging="360"/>
      </w:pPr>
      <w:rPr>
        <w:rFonts w:ascii="Wingdings" w:hAnsi="Wingdings" w:hint="default"/>
      </w:rPr>
    </w:lvl>
    <w:lvl w:ilvl="3" w:tplc="D83644D0">
      <w:start w:val="1"/>
      <w:numFmt w:val="bullet"/>
      <w:lvlText w:val=""/>
      <w:lvlJc w:val="left"/>
      <w:pPr>
        <w:tabs>
          <w:tab w:val="num" w:pos="2880"/>
        </w:tabs>
        <w:ind w:left="2880" w:hanging="360"/>
      </w:pPr>
      <w:rPr>
        <w:rFonts w:ascii="Symbol" w:hAnsi="Symbol" w:hint="default"/>
      </w:rPr>
    </w:lvl>
    <w:lvl w:ilvl="4" w:tplc="6CE2A922">
      <w:start w:val="1"/>
      <w:numFmt w:val="bullet"/>
      <w:lvlText w:val="o"/>
      <w:lvlJc w:val="left"/>
      <w:pPr>
        <w:tabs>
          <w:tab w:val="num" w:pos="3600"/>
        </w:tabs>
        <w:ind w:left="3600" w:hanging="360"/>
      </w:pPr>
      <w:rPr>
        <w:rFonts w:ascii="Courier New" w:hAnsi="Courier New" w:cs="Courier New" w:hint="default"/>
      </w:rPr>
    </w:lvl>
    <w:lvl w:ilvl="5" w:tplc="07E2DF2A">
      <w:start w:val="1"/>
      <w:numFmt w:val="bullet"/>
      <w:lvlText w:val=""/>
      <w:lvlJc w:val="left"/>
      <w:pPr>
        <w:tabs>
          <w:tab w:val="num" w:pos="4320"/>
        </w:tabs>
        <w:ind w:left="4320" w:hanging="360"/>
      </w:pPr>
      <w:rPr>
        <w:rFonts w:ascii="Wingdings" w:hAnsi="Wingdings" w:hint="default"/>
      </w:rPr>
    </w:lvl>
    <w:lvl w:ilvl="6" w:tplc="FE882B70">
      <w:start w:val="1"/>
      <w:numFmt w:val="bullet"/>
      <w:lvlText w:val=""/>
      <w:lvlJc w:val="left"/>
      <w:pPr>
        <w:tabs>
          <w:tab w:val="num" w:pos="5040"/>
        </w:tabs>
        <w:ind w:left="5040" w:hanging="360"/>
      </w:pPr>
      <w:rPr>
        <w:rFonts w:ascii="Symbol" w:hAnsi="Symbol" w:hint="default"/>
      </w:rPr>
    </w:lvl>
    <w:lvl w:ilvl="7" w:tplc="D6F62000">
      <w:start w:val="1"/>
      <w:numFmt w:val="bullet"/>
      <w:lvlText w:val="o"/>
      <w:lvlJc w:val="left"/>
      <w:pPr>
        <w:tabs>
          <w:tab w:val="num" w:pos="5760"/>
        </w:tabs>
        <w:ind w:left="5760" w:hanging="360"/>
      </w:pPr>
      <w:rPr>
        <w:rFonts w:ascii="Courier New" w:hAnsi="Courier New" w:cs="Courier New" w:hint="default"/>
      </w:rPr>
    </w:lvl>
    <w:lvl w:ilvl="8" w:tplc="23C6D558">
      <w:start w:val="1"/>
      <w:numFmt w:val="bullet"/>
      <w:lvlText w:val=""/>
      <w:lvlJc w:val="left"/>
      <w:pPr>
        <w:tabs>
          <w:tab w:val="num" w:pos="6480"/>
        </w:tabs>
        <w:ind w:left="6480" w:hanging="360"/>
      </w:pPr>
      <w:rPr>
        <w:rFonts w:ascii="Wingdings" w:hAnsi="Wingdings" w:hint="default"/>
      </w:rPr>
    </w:lvl>
  </w:abstractNum>
  <w:abstractNum w:abstractNumId="3">
    <w:nsid w:val="2D2E7F88"/>
    <w:multiLevelType w:val="hybridMultilevel"/>
    <w:tmpl w:val="AEDCAE20"/>
    <w:lvl w:ilvl="0" w:tplc="AEAC9EDC">
      <w:start w:val="3"/>
      <w:numFmt w:val="bullet"/>
      <w:lvlText w:val="-"/>
      <w:lvlJc w:val="left"/>
      <w:pPr>
        <w:ind w:left="720" w:hanging="360"/>
      </w:pPr>
      <w:rPr>
        <w:rFonts w:ascii="Arial" w:eastAsia="Times New Roman" w:hAnsi="Arial" w:cs="Arial" w:hint="default"/>
      </w:rPr>
    </w:lvl>
    <w:lvl w:ilvl="1" w:tplc="FB14CBF6" w:tentative="1">
      <w:start w:val="1"/>
      <w:numFmt w:val="bullet"/>
      <w:lvlText w:val="o"/>
      <w:lvlJc w:val="left"/>
      <w:pPr>
        <w:ind w:left="1440" w:hanging="360"/>
      </w:pPr>
      <w:rPr>
        <w:rFonts w:ascii="Courier New" w:hAnsi="Courier New" w:cs="Courier New" w:hint="default"/>
      </w:rPr>
    </w:lvl>
    <w:lvl w:ilvl="2" w:tplc="4008E850" w:tentative="1">
      <w:start w:val="1"/>
      <w:numFmt w:val="bullet"/>
      <w:lvlText w:val=""/>
      <w:lvlJc w:val="left"/>
      <w:pPr>
        <w:ind w:left="2160" w:hanging="360"/>
      </w:pPr>
      <w:rPr>
        <w:rFonts w:ascii="Wingdings" w:hAnsi="Wingdings" w:hint="default"/>
      </w:rPr>
    </w:lvl>
    <w:lvl w:ilvl="3" w:tplc="E138DA02" w:tentative="1">
      <w:start w:val="1"/>
      <w:numFmt w:val="bullet"/>
      <w:lvlText w:val=""/>
      <w:lvlJc w:val="left"/>
      <w:pPr>
        <w:ind w:left="2880" w:hanging="360"/>
      </w:pPr>
      <w:rPr>
        <w:rFonts w:ascii="Symbol" w:hAnsi="Symbol" w:hint="default"/>
      </w:rPr>
    </w:lvl>
    <w:lvl w:ilvl="4" w:tplc="14AA1084" w:tentative="1">
      <w:start w:val="1"/>
      <w:numFmt w:val="bullet"/>
      <w:lvlText w:val="o"/>
      <w:lvlJc w:val="left"/>
      <w:pPr>
        <w:ind w:left="3600" w:hanging="360"/>
      </w:pPr>
      <w:rPr>
        <w:rFonts w:ascii="Courier New" w:hAnsi="Courier New" w:cs="Courier New" w:hint="default"/>
      </w:rPr>
    </w:lvl>
    <w:lvl w:ilvl="5" w:tplc="EF566BF0" w:tentative="1">
      <w:start w:val="1"/>
      <w:numFmt w:val="bullet"/>
      <w:lvlText w:val=""/>
      <w:lvlJc w:val="left"/>
      <w:pPr>
        <w:ind w:left="4320" w:hanging="360"/>
      </w:pPr>
      <w:rPr>
        <w:rFonts w:ascii="Wingdings" w:hAnsi="Wingdings" w:hint="default"/>
      </w:rPr>
    </w:lvl>
    <w:lvl w:ilvl="6" w:tplc="75F6D056" w:tentative="1">
      <w:start w:val="1"/>
      <w:numFmt w:val="bullet"/>
      <w:lvlText w:val=""/>
      <w:lvlJc w:val="left"/>
      <w:pPr>
        <w:ind w:left="5040" w:hanging="360"/>
      </w:pPr>
      <w:rPr>
        <w:rFonts w:ascii="Symbol" w:hAnsi="Symbol" w:hint="default"/>
      </w:rPr>
    </w:lvl>
    <w:lvl w:ilvl="7" w:tplc="18D86D5C" w:tentative="1">
      <w:start w:val="1"/>
      <w:numFmt w:val="bullet"/>
      <w:lvlText w:val="o"/>
      <w:lvlJc w:val="left"/>
      <w:pPr>
        <w:ind w:left="5760" w:hanging="360"/>
      </w:pPr>
      <w:rPr>
        <w:rFonts w:ascii="Courier New" w:hAnsi="Courier New" w:cs="Courier New" w:hint="default"/>
      </w:rPr>
    </w:lvl>
    <w:lvl w:ilvl="8" w:tplc="F61C5682" w:tentative="1">
      <w:start w:val="1"/>
      <w:numFmt w:val="bullet"/>
      <w:lvlText w:val=""/>
      <w:lvlJc w:val="left"/>
      <w:pPr>
        <w:ind w:left="6480" w:hanging="360"/>
      </w:pPr>
      <w:rPr>
        <w:rFonts w:ascii="Wingdings" w:hAnsi="Wingdings" w:hint="default"/>
      </w:rPr>
    </w:lvl>
  </w:abstractNum>
  <w:abstractNum w:abstractNumId="4">
    <w:nsid w:val="40803DF1"/>
    <w:multiLevelType w:val="hybridMultilevel"/>
    <w:tmpl w:val="2C8A157A"/>
    <w:lvl w:ilvl="0" w:tplc="3ADC7D18">
      <w:start w:val="3"/>
      <w:numFmt w:val="bullet"/>
      <w:lvlText w:val="-"/>
      <w:lvlJc w:val="left"/>
      <w:pPr>
        <w:ind w:left="1440" w:hanging="360"/>
      </w:pPr>
      <w:rPr>
        <w:rFonts w:ascii="Arial" w:eastAsia="Times New Roman" w:hAnsi="Arial" w:cs="Arial" w:hint="default"/>
      </w:rPr>
    </w:lvl>
    <w:lvl w:ilvl="1" w:tplc="7B9A6132" w:tentative="1">
      <w:start w:val="1"/>
      <w:numFmt w:val="bullet"/>
      <w:lvlText w:val="o"/>
      <w:lvlJc w:val="left"/>
      <w:pPr>
        <w:ind w:left="2160" w:hanging="360"/>
      </w:pPr>
      <w:rPr>
        <w:rFonts w:ascii="Courier New" w:hAnsi="Courier New" w:cs="Courier New" w:hint="default"/>
      </w:rPr>
    </w:lvl>
    <w:lvl w:ilvl="2" w:tplc="40A2F354" w:tentative="1">
      <w:start w:val="1"/>
      <w:numFmt w:val="bullet"/>
      <w:lvlText w:val=""/>
      <w:lvlJc w:val="left"/>
      <w:pPr>
        <w:ind w:left="2880" w:hanging="360"/>
      </w:pPr>
      <w:rPr>
        <w:rFonts w:ascii="Wingdings" w:hAnsi="Wingdings" w:hint="default"/>
      </w:rPr>
    </w:lvl>
    <w:lvl w:ilvl="3" w:tplc="73C02E16" w:tentative="1">
      <w:start w:val="1"/>
      <w:numFmt w:val="bullet"/>
      <w:lvlText w:val=""/>
      <w:lvlJc w:val="left"/>
      <w:pPr>
        <w:ind w:left="3600" w:hanging="360"/>
      </w:pPr>
      <w:rPr>
        <w:rFonts w:ascii="Symbol" w:hAnsi="Symbol" w:hint="default"/>
      </w:rPr>
    </w:lvl>
    <w:lvl w:ilvl="4" w:tplc="77A684EA" w:tentative="1">
      <w:start w:val="1"/>
      <w:numFmt w:val="bullet"/>
      <w:lvlText w:val="o"/>
      <w:lvlJc w:val="left"/>
      <w:pPr>
        <w:ind w:left="4320" w:hanging="360"/>
      </w:pPr>
      <w:rPr>
        <w:rFonts w:ascii="Courier New" w:hAnsi="Courier New" w:cs="Courier New" w:hint="default"/>
      </w:rPr>
    </w:lvl>
    <w:lvl w:ilvl="5" w:tplc="69B020E8" w:tentative="1">
      <w:start w:val="1"/>
      <w:numFmt w:val="bullet"/>
      <w:lvlText w:val=""/>
      <w:lvlJc w:val="left"/>
      <w:pPr>
        <w:ind w:left="5040" w:hanging="360"/>
      </w:pPr>
      <w:rPr>
        <w:rFonts w:ascii="Wingdings" w:hAnsi="Wingdings" w:hint="default"/>
      </w:rPr>
    </w:lvl>
    <w:lvl w:ilvl="6" w:tplc="D8B0578E" w:tentative="1">
      <w:start w:val="1"/>
      <w:numFmt w:val="bullet"/>
      <w:lvlText w:val=""/>
      <w:lvlJc w:val="left"/>
      <w:pPr>
        <w:ind w:left="5760" w:hanging="360"/>
      </w:pPr>
      <w:rPr>
        <w:rFonts w:ascii="Symbol" w:hAnsi="Symbol" w:hint="default"/>
      </w:rPr>
    </w:lvl>
    <w:lvl w:ilvl="7" w:tplc="53DEC1A6" w:tentative="1">
      <w:start w:val="1"/>
      <w:numFmt w:val="bullet"/>
      <w:lvlText w:val="o"/>
      <w:lvlJc w:val="left"/>
      <w:pPr>
        <w:ind w:left="6480" w:hanging="360"/>
      </w:pPr>
      <w:rPr>
        <w:rFonts w:ascii="Courier New" w:hAnsi="Courier New" w:cs="Courier New" w:hint="default"/>
      </w:rPr>
    </w:lvl>
    <w:lvl w:ilvl="8" w:tplc="B82C06EC" w:tentative="1">
      <w:start w:val="1"/>
      <w:numFmt w:val="bullet"/>
      <w:lvlText w:val=""/>
      <w:lvlJc w:val="left"/>
      <w:pPr>
        <w:ind w:left="7200" w:hanging="360"/>
      </w:pPr>
      <w:rPr>
        <w:rFonts w:ascii="Wingdings" w:hAnsi="Wingdings" w:hint="default"/>
      </w:rPr>
    </w:lvl>
  </w:abstractNum>
  <w:abstractNum w:abstractNumId="5">
    <w:nsid w:val="428F250E"/>
    <w:multiLevelType w:val="hybridMultilevel"/>
    <w:tmpl w:val="6AFCDF78"/>
    <w:lvl w:ilvl="0" w:tplc="D2F0FDFA">
      <w:start w:val="1"/>
      <w:numFmt w:val="bullet"/>
      <w:lvlText w:val=""/>
      <w:lvlJc w:val="left"/>
      <w:pPr>
        <w:ind w:left="1440" w:hanging="360"/>
      </w:pPr>
      <w:rPr>
        <w:rFonts w:ascii="Symbol" w:hAnsi="Symbol" w:hint="default"/>
      </w:rPr>
    </w:lvl>
    <w:lvl w:ilvl="1" w:tplc="01521950" w:tentative="1">
      <w:start w:val="1"/>
      <w:numFmt w:val="bullet"/>
      <w:lvlText w:val="o"/>
      <w:lvlJc w:val="left"/>
      <w:pPr>
        <w:ind w:left="2160" w:hanging="360"/>
      </w:pPr>
      <w:rPr>
        <w:rFonts w:ascii="Courier New" w:hAnsi="Courier New" w:cs="Courier New" w:hint="default"/>
      </w:rPr>
    </w:lvl>
    <w:lvl w:ilvl="2" w:tplc="64A0B428" w:tentative="1">
      <w:start w:val="1"/>
      <w:numFmt w:val="bullet"/>
      <w:lvlText w:val=""/>
      <w:lvlJc w:val="left"/>
      <w:pPr>
        <w:ind w:left="2880" w:hanging="360"/>
      </w:pPr>
      <w:rPr>
        <w:rFonts w:ascii="Wingdings" w:hAnsi="Wingdings" w:hint="default"/>
      </w:rPr>
    </w:lvl>
    <w:lvl w:ilvl="3" w:tplc="DDF2406E" w:tentative="1">
      <w:start w:val="1"/>
      <w:numFmt w:val="bullet"/>
      <w:lvlText w:val=""/>
      <w:lvlJc w:val="left"/>
      <w:pPr>
        <w:ind w:left="3600" w:hanging="360"/>
      </w:pPr>
      <w:rPr>
        <w:rFonts w:ascii="Symbol" w:hAnsi="Symbol" w:hint="default"/>
      </w:rPr>
    </w:lvl>
    <w:lvl w:ilvl="4" w:tplc="27A65E86" w:tentative="1">
      <w:start w:val="1"/>
      <w:numFmt w:val="bullet"/>
      <w:lvlText w:val="o"/>
      <w:lvlJc w:val="left"/>
      <w:pPr>
        <w:ind w:left="4320" w:hanging="360"/>
      </w:pPr>
      <w:rPr>
        <w:rFonts w:ascii="Courier New" w:hAnsi="Courier New" w:cs="Courier New" w:hint="default"/>
      </w:rPr>
    </w:lvl>
    <w:lvl w:ilvl="5" w:tplc="B2701A0A" w:tentative="1">
      <w:start w:val="1"/>
      <w:numFmt w:val="bullet"/>
      <w:lvlText w:val=""/>
      <w:lvlJc w:val="left"/>
      <w:pPr>
        <w:ind w:left="5040" w:hanging="360"/>
      </w:pPr>
      <w:rPr>
        <w:rFonts w:ascii="Wingdings" w:hAnsi="Wingdings" w:hint="default"/>
      </w:rPr>
    </w:lvl>
    <w:lvl w:ilvl="6" w:tplc="7854963A" w:tentative="1">
      <w:start w:val="1"/>
      <w:numFmt w:val="bullet"/>
      <w:lvlText w:val=""/>
      <w:lvlJc w:val="left"/>
      <w:pPr>
        <w:ind w:left="5760" w:hanging="360"/>
      </w:pPr>
      <w:rPr>
        <w:rFonts w:ascii="Symbol" w:hAnsi="Symbol" w:hint="default"/>
      </w:rPr>
    </w:lvl>
    <w:lvl w:ilvl="7" w:tplc="BBCAC800" w:tentative="1">
      <w:start w:val="1"/>
      <w:numFmt w:val="bullet"/>
      <w:lvlText w:val="o"/>
      <w:lvlJc w:val="left"/>
      <w:pPr>
        <w:ind w:left="6480" w:hanging="360"/>
      </w:pPr>
      <w:rPr>
        <w:rFonts w:ascii="Courier New" w:hAnsi="Courier New" w:cs="Courier New" w:hint="default"/>
      </w:rPr>
    </w:lvl>
    <w:lvl w:ilvl="8" w:tplc="3640ABDC" w:tentative="1">
      <w:start w:val="1"/>
      <w:numFmt w:val="bullet"/>
      <w:lvlText w:val=""/>
      <w:lvlJc w:val="left"/>
      <w:pPr>
        <w:ind w:left="7200" w:hanging="360"/>
      </w:pPr>
      <w:rPr>
        <w:rFonts w:ascii="Wingdings" w:hAnsi="Wingdings" w:hint="default"/>
      </w:rPr>
    </w:lvl>
  </w:abstractNum>
  <w:abstractNum w:abstractNumId="6">
    <w:nsid w:val="42C001CB"/>
    <w:multiLevelType w:val="hybridMultilevel"/>
    <w:tmpl w:val="145C6520"/>
    <w:lvl w:ilvl="0" w:tplc="470E6A4E">
      <w:start w:val="3"/>
      <w:numFmt w:val="bullet"/>
      <w:lvlText w:val="-"/>
      <w:lvlJc w:val="left"/>
      <w:pPr>
        <w:ind w:left="720" w:hanging="360"/>
      </w:pPr>
      <w:rPr>
        <w:rFonts w:ascii="Arial" w:eastAsia="Times New Roman" w:hAnsi="Arial" w:cs="Arial" w:hint="default"/>
      </w:rPr>
    </w:lvl>
    <w:lvl w:ilvl="1" w:tplc="D130DE94" w:tentative="1">
      <w:start w:val="1"/>
      <w:numFmt w:val="bullet"/>
      <w:lvlText w:val="o"/>
      <w:lvlJc w:val="left"/>
      <w:pPr>
        <w:ind w:left="1440" w:hanging="360"/>
      </w:pPr>
      <w:rPr>
        <w:rFonts w:ascii="Courier New" w:hAnsi="Courier New" w:cs="Courier New" w:hint="default"/>
      </w:rPr>
    </w:lvl>
    <w:lvl w:ilvl="2" w:tplc="5F34A70A" w:tentative="1">
      <w:start w:val="1"/>
      <w:numFmt w:val="bullet"/>
      <w:lvlText w:val=""/>
      <w:lvlJc w:val="left"/>
      <w:pPr>
        <w:ind w:left="2160" w:hanging="360"/>
      </w:pPr>
      <w:rPr>
        <w:rFonts w:ascii="Wingdings" w:hAnsi="Wingdings" w:hint="default"/>
      </w:rPr>
    </w:lvl>
    <w:lvl w:ilvl="3" w:tplc="C2C23CC4" w:tentative="1">
      <w:start w:val="1"/>
      <w:numFmt w:val="bullet"/>
      <w:lvlText w:val=""/>
      <w:lvlJc w:val="left"/>
      <w:pPr>
        <w:ind w:left="2880" w:hanging="360"/>
      </w:pPr>
      <w:rPr>
        <w:rFonts w:ascii="Symbol" w:hAnsi="Symbol" w:hint="default"/>
      </w:rPr>
    </w:lvl>
    <w:lvl w:ilvl="4" w:tplc="81FADB52" w:tentative="1">
      <w:start w:val="1"/>
      <w:numFmt w:val="bullet"/>
      <w:lvlText w:val="o"/>
      <w:lvlJc w:val="left"/>
      <w:pPr>
        <w:ind w:left="3600" w:hanging="360"/>
      </w:pPr>
      <w:rPr>
        <w:rFonts w:ascii="Courier New" w:hAnsi="Courier New" w:cs="Courier New" w:hint="default"/>
      </w:rPr>
    </w:lvl>
    <w:lvl w:ilvl="5" w:tplc="5F001284" w:tentative="1">
      <w:start w:val="1"/>
      <w:numFmt w:val="bullet"/>
      <w:lvlText w:val=""/>
      <w:lvlJc w:val="left"/>
      <w:pPr>
        <w:ind w:left="4320" w:hanging="360"/>
      </w:pPr>
      <w:rPr>
        <w:rFonts w:ascii="Wingdings" w:hAnsi="Wingdings" w:hint="default"/>
      </w:rPr>
    </w:lvl>
    <w:lvl w:ilvl="6" w:tplc="A484DB66" w:tentative="1">
      <w:start w:val="1"/>
      <w:numFmt w:val="bullet"/>
      <w:lvlText w:val=""/>
      <w:lvlJc w:val="left"/>
      <w:pPr>
        <w:ind w:left="5040" w:hanging="360"/>
      </w:pPr>
      <w:rPr>
        <w:rFonts w:ascii="Symbol" w:hAnsi="Symbol" w:hint="default"/>
      </w:rPr>
    </w:lvl>
    <w:lvl w:ilvl="7" w:tplc="973E8C56" w:tentative="1">
      <w:start w:val="1"/>
      <w:numFmt w:val="bullet"/>
      <w:lvlText w:val="o"/>
      <w:lvlJc w:val="left"/>
      <w:pPr>
        <w:ind w:left="5760" w:hanging="360"/>
      </w:pPr>
      <w:rPr>
        <w:rFonts w:ascii="Courier New" w:hAnsi="Courier New" w:cs="Courier New" w:hint="default"/>
      </w:rPr>
    </w:lvl>
    <w:lvl w:ilvl="8" w:tplc="36B8B85E" w:tentative="1">
      <w:start w:val="1"/>
      <w:numFmt w:val="bullet"/>
      <w:lvlText w:val=""/>
      <w:lvlJc w:val="left"/>
      <w:pPr>
        <w:ind w:left="6480" w:hanging="360"/>
      </w:pPr>
      <w:rPr>
        <w:rFonts w:ascii="Wingdings" w:hAnsi="Wingdings" w:hint="default"/>
      </w:rPr>
    </w:lvl>
  </w:abstractNum>
  <w:abstractNum w:abstractNumId="7">
    <w:nsid w:val="44367B9D"/>
    <w:multiLevelType w:val="hybridMultilevel"/>
    <w:tmpl w:val="12AA8A0E"/>
    <w:lvl w:ilvl="0" w:tplc="40E28C14">
      <w:start w:val="16"/>
      <w:numFmt w:val="bullet"/>
      <w:lvlText w:val="-"/>
      <w:lvlJc w:val="left"/>
      <w:pPr>
        <w:ind w:left="1440" w:hanging="360"/>
      </w:pPr>
      <w:rPr>
        <w:rFonts w:ascii="Arial" w:eastAsia="Times New Roman" w:hAnsi="Arial" w:cs="Arial" w:hint="default"/>
      </w:rPr>
    </w:lvl>
    <w:lvl w:ilvl="1" w:tplc="54EEC654" w:tentative="1">
      <w:start w:val="1"/>
      <w:numFmt w:val="bullet"/>
      <w:lvlText w:val="o"/>
      <w:lvlJc w:val="left"/>
      <w:pPr>
        <w:ind w:left="2160" w:hanging="360"/>
      </w:pPr>
      <w:rPr>
        <w:rFonts w:ascii="Courier New" w:hAnsi="Courier New" w:cs="Courier New" w:hint="default"/>
      </w:rPr>
    </w:lvl>
    <w:lvl w:ilvl="2" w:tplc="11625080" w:tentative="1">
      <w:start w:val="1"/>
      <w:numFmt w:val="bullet"/>
      <w:lvlText w:val=""/>
      <w:lvlJc w:val="left"/>
      <w:pPr>
        <w:ind w:left="2880" w:hanging="360"/>
      </w:pPr>
      <w:rPr>
        <w:rFonts w:ascii="Wingdings" w:hAnsi="Wingdings" w:hint="default"/>
      </w:rPr>
    </w:lvl>
    <w:lvl w:ilvl="3" w:tplc="D02CA56C" w:tentative="1">
      <w:start w:val="1"/>
      <w:numFmt w:val="bullet"/>
      <w:lvlText w:val=""/>
      <w:lvlJc w:val="left"/>
      <w:pPr>
        <w:ind w:left="3600" w:hanging="360"/>
      </w:pPr>
      <w:rPr>
        <w:rFonts w:ascii="Symbol" w:hAnsi="Symbol" w:hint="default"/>
      </w:rPr>
    </w:lvl>
    <w:lvl w:ilvl="4" w:tplc="B59CB07A" w:tentative="1">
      <w:start w:val="1"/>
      <w:numFmt w:val="bullet"/>
      <w:lvlText w:val="o"/>
      <w:lvlJc w:val="left"/>
      <w:pPr>
        <w:ind w:left="4320" w:hanging="360"/>
      </w:pPr>
      <w:rPr>
        <w:rFonts w:ascii="Courier New" w:hAnsi="Courier New" w:cs="Courier New" w:hint="default"/>
      </w:rPr>
    </w:lvl>
    <w:lvl w:ilvl="5" w:tplc="DFEAC588" w:tentative="1">
      <w:start w:val="1"/>
      <w:numFmt w:val="bullet"/>
      <w:lvlText w:val=""/>
      <w:lvlJc w:val="left"/>
      <w:pPr>
        <w:ind w:left="5040" w:hanging="360"/>
      </w:pPr>
      <w:rPr>
        <w:rFonts w:ascii="Wingdings" w:hAnsi="Wingdings" w:hint="default"/>
      </w:rPr>
    </w:lvl>
    <w:lvl w:ilvl="6" w:tplc="96025732" w:tentative="1">
      <w:start w:val="1"/>
      <w:numFmt w:val="bullet"/>
      <w:lvlText w:val=""/>
      <w:lvlJc w:val="left"/>
      <w:pPr>
        <w:ind w:left="5760" w:hanging="360"/>
      </w:pPr>
      <w:rPr>
        <w:rFonts w:ascii="Symbol" w:hAnsi="Symbol" w:hint="default"/>
      </w:rPr>
    </w:lvl>
    <w:lvl w:ilvl="7" w:tplc="91FA88A2" w:tentative="1">
      <w:start w:val="1"/>
      <w:numFmt w:val="bullet"/>
      <w:lvlText w:val="o"/>
      <w:lvlJc w:val="left"/>
      <w:pPr>
        <w:ind w:left="6480" w:hanging="360"/>
      </w:pPr>
      <w:rPr>
        <w:rFonts w:ascii="Courier New" w:hAnsi="Courier New" w:cs="Courier New" w:hint="default"/>
      </w:rPr>
    </w:lvl>
    <w:lvl w:ilvl="8" w:tplc="2168FAE4" w:tentative="1">
      <w:start w:val="1"/>
      <w:numFmt w:val="bullet"/>
      <w:lvlText w:val=""/>
      <w:lvlJc w:val="left"/>
      <w:pPr>
        <w:ind w:left="7200" w:hanging="360"/>
      </w:pPr>
      <w:rPr>
        <w:rFonts w:ascii="Wingdings" w:hAnsi="Wingdings" w:hint="default"/>
      </w:rPr>
    </w:lvl>
  </w:abstractNum>
  <w:abstractNum w:abstractNumId="8">
    <w:nsid w:val="554F080A"/>
    <w:multiLevelType w:val="hybridMultilevel"/>
    <w:tmpl w:val="0E46E704"/>
    <w:lvl w:ilvl="0" w:tplc="69B48B76">
      <w:start w:val="3"/>
      <w:numFmt w:val="bullet"/>
      <w:lvlText w:val="-"/>
      <w:lvlJc w:val="left"/>
      <w:pPr>
        <w:ind w:left="720" w:hanging="360"/>
      </w:pPr>
      <w:rPr>
        <w:rFonts w:ascii="Arial" w:eastAsia="Times New Roman" w:hAnsi="Arial" w:cs="Arial" w:hint="default"/>
      </w:rPr>
    </w:lvl>
    <w:lvl w:ilvl="1" w:tplc="9926F4D6" w:tentative="1">
      <w:start w:val="1"/>
      <w:numFmt w:val="bullet"/>
      <w:lvlText w:val="o"/>
      <w:lvlJc w:val="left"/>
      <w:pPr>
        <w:ind w:left="1440" w:hanging="360"/>
      </w:pPr>
      <w:rPr>
        <w:rFonts w:ascii="Courier New" w:hAnsi="Courier New" w:cs="Courier New" w:hint="default"/>
      </w:rPr>
    </w:lvl>
    <w:lvl w:ilvl="2" w:tplc="80A80A58" w:tentative="1">
      <w:start w:val="1"/>
      <w:numFmt w:val="bullet"/>
      <w:lvlText w:val=""/>
      <w:lvlJc w:val="left"/>
      <w:pPr>
        <w:ind w:left="2160" w:hanging="360"/>
      </w:pPr>
      <w:rPr>
        <w:rFonts w:ascii="Wingdings" w:hAnsi="Wingdings" w:hint="default"/>
      </w:rPr>
    </w:lvl>
    <w:lvl w:ilvl="3" w:tplc="35EA9FF8" w:tentative="1">
      <w:start w:val="1"/>
      <w:numFmt w:val="bullet"/>
      <w:lvlText w:val=""/>
      <w:lvlJc w:val="left"/>
      <w:pPr>
        <w:ind w:left="2880" w:hanging="360"/>
      </w:pPr>
      <w:rPr>
        <w:rFonts w:ascii="Symbol" w:hAnsi="Symbol" w:hint="default"/>
      </w:rPr>
    </w:lvl>
    <w:lvl w:ilvl="4" w:tplc="748EE258" w:tentative="1">
      <w:start w:val="1"/>
      <w:numFmt w:val="bullet"/>
      <w:lvlText w:val="o"/>
      <w:lvlJc w:val="left"/>
      <w:pPr>
        <w:ind w:left="3600" w:hanging="360"/>
      </w:pPr>
      <w:rPr>
        <w:rFonts w:ascii="Courier New" w:hAnsi="Courier New" w:cs="Courier New" w:hint="default"/>
      </w:rPr>
    </w:lvl>
    <w:lvl w:ilvl="5" w:tplc="F4866DD0" w:tentative="1">
      <w:start w:val="1"/>
      <w:numFmt w:val="bullet"/>
      <w:lvlText w:val=""/>
      <w:lvlJc w:val="left"/>
      <w:pPr>
        <w:ind w:left="4320" w:hanging="360"/>
      </w:pPr>
      <w:rPr>
        <w:rFonts w:ascii="Wingdings" w:hAnsi="Wingdings" w:hint="default"/>
      </w:rPr>
    </w:lvl>
    <w:lvl w:ilvl="6" w:tplc="2FF4EB6C" w:tentative="1">
      <w:start w:val="1"/>
      <w:numFmt w:val="bullet"/>
      <w:lvlText w:val=""/>
      <w:lvlJc w:val="left"/>
      <w:pPr>
        <w:ind w:left="5040" w:hanging="360"/>
      </w:pPr>
      <w:rPr>
        <w:rFonts w:ascii="Symbol" w:hAnsi="Symbol" w:hint="default"/>
      </w:rPr>
    </w:lvl>
    <w:lvl w:ilvl="7" w:tplc="207A30A8" w:tentative="1">
      <w:start w:val="1"/>
      <w:numFmt w:val="bullet"/>
      <w:lvlText w:val="o"/>
      <w:lvlJc w:val="left"/>
      <w:pPr>
        <w:ind w:left="5760" w:hanging="360"/>
      </w:pPr>
      <w:rPr>
        <w:rFonts w:ascii="Courier New" w:hAnsi="Courier New" w:cs="Courier New" w:hint="default"/>
      </w:rPr>
    </w:lvl>
    <w:lvl w:ilvl="8" w:tplc="FE687E88" w:tentative="1">
      <w:start w:val="1"/>
      <w:numFmt w:val="bullet"/>
      <w:lvlText w:val=""/>
      <w:lvlJc w:val="left"/>
      <w:pPr>
        <w:ind w:left="6480" w:hanging="360"/>
      </w:pPr>
      <w:rPr>
        <w:rFonts w:ascii="Wingdings" w:hAnsi="Wingdings" w:hint="default"/>
      </w:rPr>
    </w:lvl>
  </w:abstractNum>
  <w:abstractNum w:abstractNumId="9">
    <w:nsid w:val="609C0DCC"/>
    <w:multiLevelType w:val="multilevel"/>
    <w:tmpl w:val="C1848992"/>
    <w:lvl w:ilvl="0">
      <w:start w:val="1"/>
      <w:numFmt w:val="decimal"/>
      <w:pStyle w:val="Paragraphe"/>
      <w:lvlText w:val="[%1]"/>
      <w:lvlJc w:val="left"/>
      <w:pPr>
        <w:tabs>
          <w:tab w:val="num" w:pos="360"/>
        </w:tabs>
        <w:ind w:left="0" w:firstLine="0"/>
      </w:pPr>
      <w:rPr>
        <w:rFonts w:ascii="Arial" w:hAnsi="Arial" w:cs="Times New Roman"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6865293D"/>
    <w:multiLevelType w:val="hybridMultilevel"/>
    <w:tmpl w:val="21F86F48"/>
    <w:lvl w:ilvl="0" w:tplc="CF94DBEE">
      <w:start w:val="3"/>
      <w:numFmt w:val="bullet"/>
      <w:lvlText w:val="-"/>
      <w:lvlJc w:val="left"/>
      <w:pPr>
        <w:ind w:left="1080" w:hanging="360"/>
      </w:pPr>
      <w:rPr>
        <w:rFonts w:ascii="Arial" w:eastAsia="Times New Roman" w:hAnsi="Arial" w:cs="Arial" w:hint="default"/>
      </w:rPr>
    </w:lvl>
    <w:lvl w:ilvl="1" w:tplc="BBF68676">
      <w:start w:val="3"/>
      <w:numFmt w:val="bullet"/>
      <w:lvlText w:val="-"/>
      <w:lvlJc w:val="left"/>
      <w:pPr>
        <w:ind w:left="1800" w:hanging="360"/>
      </w:pPr>
      <w:rPr>
        <w:rFonts w:ascii="Arial" w:eastAsia="Times New Roman" w:hAnsi="Arial" w:cs="Arial" w:hint="default"/>
      </w:rPr>
    </w:lvl>
    <w:lvl w:ilvl="2" w:tplc="D6E8367A">
      <w:start w:val="1"/>
      <w:numFmt w:val="bullet"/>
      <w:lvlText w:val=""/>
      <w:lvlJc w:val="left"/>
      <w:pPr>
        <w:ind w:left="2520" w:hanging="360"/>
      </w:pPr>
      <w:rPr>
        <w:rFonts w:ascii="Wingdings" w:hAnsi="Wingdings" w:hint="default"/>
      </w:rPr>
    </w:lvl>
    <w:lvl w:ilvl="3" w:tplc="3ACE42F4">
      <w:start w:val="1"/>
      <w:numFmt w:val="bullet"/>
      <w:lvlText w:val=""/>
      <w:lvlJc w:val="left"/>
      <w:pPr>
        <w:ind w:left="3240" w:hanging="360"/>
      </w:pPr>
      <w:rPr>
        <w:rFonts w:ascii="Symbol" w:hAnsi="Symbol" w:hint="default"/>
      </w:rPr>
    </w:lvl>
    <w:lvl w:ilvl="4" w:tplc="141E1AFE">
      <w:start w:val="1"/>
      <w:numFmt w:val="bullet"/>
      <w:lvlText w:val="o"/>
      <w:lvlJc w:val="left"/>
      <w:pPr>
        <w:ind w:left="3960" w:hanging="360"/>
      </w:pPr>
      <w:rPr>
        <w:rFonts w:ascii="Courier New" w:hAnsi="Courier New" w:cs="Courier New" w:hint="default"/>
      </w:rPr>
    </w:lvl>
    <w:lvl w:ilvl="5" w:tplc="CD8E5330">
      <w:start w:val="1"/>
      <w:numFmt w:val="bullet"/>
      <w:lvlText w:val=""/>
      <w:lvlJc w:val="left"/>
      <w:pPr>
        <w:ind w:left="4680" w:hanging="360"/>
      </w:pPr>
      <w:rPr>
        <w:rFonts w:ascii="Wingdings" w:hAnsi="Wingdings" w:hint="default"/>
      </w:rPr>
    </w:lvl>
    <w:lvl w:ilvl="6" w:tplc="AA0E5130">
      <w:start w:val="1"/>
      <w:numFmt w:val="bullet"/>
      <w:lvlText w:val=""/>
      <w:lvlJc w:val="left"/>
      <w:pPr>
        <w:ind w:left="5400" w:hanging="360"/>
      </w:pPr>
      <w:rPr>
        <w:rFonts w:ascii="Symbol" w:hAnsi="Symbol" w:hint="default"/>
      </w:rPr>
    </w:lvl>
    <w:lvl w:ilvl="7" w:tplc="1EC4C548">
      <w:start w:val="1"/>
      <w:numFmt w:val="bullet"/>
      <w:lvlText w:val="o"/>
      <w:lvlJc w:val="left"/>
      <w:pPr>
        <w:ind w:left="6120" w:hanging="360"/>
      </w:pPr>
      <w:rPr>
        <w:rFonts w:ascii="Courier New" w:hAnsi="Courier New" w:cs="Courier New" w:hint="default"/>
      </w:rPr>
    </w:lvl>
    <w:lvl w:ilvl="8" w:tplc="18D4C568">
      <w:start w:val="1"/>
      <w:numFmt w:val="bullet"/>
      <w:lvlText w:val=""/>
      <w:lvlJc w:val="left"/>
      <w:pPr>
        <w:ind w:left="6840" w:hanging="360"/>
      </w:pPr>
      <w:rPr>
        <w:rFonts w:ascii="Wingdings" w:hAnsi="Wingdings" w:hint="default"/>
      </w:rPr>
    </w:lvl>
  </w:abstractNum>
  <w:abstractNum w:abstractNumId="11">
    <w:nsid w:val="77A42796"/>
    <w:multiLevelType w:val="hybridMultilevel"/>
    <w:tmpl w:val="C5BE8798"/>
    <w:lvl w:ilvl="0" w:tplc="920C3D9C">
      <w:start w:val="3"/>
      <w:numFmt w:val="bullet"/>
      <w:lvlText w:val="-"/>
      <w:lvlJc w:val="left"/>
      <w:pPr>
        <w:ind w:left="720" w:hanging="360"/>
      </w:pPr>
      <w:rPr>
        <w:rFonts w:ascii="Arial" w:eastAsia="Times New Roman" w:hAnsi="Arial" w:cs="Arial" w:hint="default"/>
      </w:rPr>
    </w:lvl>
    <w:lvl w:ilvl="1" w:tplc="EC4A8F38" w:tentative="1">
      <w:start w:val="1"/>
      <w:numFmt w:val="bullet"/>
      <w:lvlText w:val="o"/>
      <w:lvlJc w:val="left"/>
      <w:pPr>
        <w:ind w:left="1440" w:hanging="360"/>
      </w:pPr>
      <w:rPr>
        <w:rFonts w:ascii="Courier New" w:hAnsi="Courier New" w:cs="Courier New" w:hint="default"/>
      </w:rPr>
    </w:lvl>
    <w:lvl w:ilvl="2" w:tplc="F6AE0C8C" w:tentative="1">
      <w:start w:val="1"/>
      <w:numFmt w:val="bullet"/>
      <w:lvlText w:val=""/>
      <w:lvlJc w:val="left"/>
      <w:pPr>
        <w:ind w:left="2160" w:hanging="360"/>
      </w:pPr>
      <w:rPr>
        <w:rFonts w:ascii="Wingdings" w:hAnsi="Wingdings" w:hint="default"/>
      </w:rPr>
    </w:lvl>
    <w:lvl w:ilvl="3" w:tplc="9AA8C6E6" w:tentative="1">
      <w:start w:val="1"/>
      <w:numFmt w:val="bullet"/>
      <w:lvlText w:val=""/>
      <w:lvlJc w:val="left"/>
      <w:pPr>
        <w:ind w:left="2880" w:hanging="360"/>
      </w:pPr>
      <w:rPr>
        <w:rFonts w:ascii="Symbol" w:hAnsi="Symbol" w:hint="default"/>
      </w:rPr>
    </w:lvl>
    <w:lvl w:ilvl="4" w:tplc="DF74FC94" w:tentative="1">
      <w:start w:val="1"/>
      <w:numFmt w:val="bullet"/>
      <w:lvlText w:val="o"/>
      <w:lvlJc w:val="left"/>
      <w:pPr>
        <w:ind w:left="3600" w:hanging="360"/>
      </w:pPr>
      <w:rPr>
        <w:rFonts w:ascii="Courier New" w:hAnsi="Courier New" w:cs="Courier New" w:hint="default"/>
      </w:rPr>
    </w:lvl>
    <w:lvl w:ilvl="5" w:tplc="61DA57AE" w:tentative="1">
      <w:start w:val="1"/>
      <w:numFmt w:val="bullet"/>
      <w:lvlText w:val=""/>
      <w:lvlJc w:val="left"/>
      <w:pPr>
        <w:ind w:left="4320" w:hanging="360"/>
      </w:pPr>
      <w:rPr>
        <w:rFonts w:ascii="Wingdings" w:hAnsi="Wingdings" w:hint="default"/>
      </w:rPr>
    </w:lvl>
    <w:lvl w:ilvl="6" w:tplc="34E820AE" w:tentative="1">
      <w:start w:val="1"/>
      <w:numFmt w:val="bullet"/>
      <w:lvlText w:val=""/>
      <w:lvlJc w:val="left"/>
      <w:pPr>
        <w:ind w:left="5040" w:hanging="360"/>
      </w:pPr>
      <w:rPr>
        <w:rFonts w:ascii="Symbol" w:hAnsi="Symbol" w:hint="default"/>
      </w:rPr>
    </w:lvl>
    <w:lvl w:ilvl="7" w:tplc="2CBA3BDE" w:tentative="1">
      <w:start w:val="1"/>
      <w:numFmt w:val="bullet"/>
      <w:lvlText w:val="o"/>
      <w:lvlJc w:val="left"/>
      <w:pPr>
        <w:ind w:left="5760" w:hanging="360"/>
      </w:pPr>
      <w:rPr>
        <w:rFonts w:ascii="Courier New" w:hAnsi="Courier New" w:cs="Courier New" w:hint="default"/>
      </w:rPr>
    </w:lvl>
    <w:lvl w:ilvl="8" w:tplc="30B6327A" w:tentative="1">
      <w:start w:val="1"/>
      <w:numFmt w:val="bullet"/>
      <w:lvlText w:val=""/>
      <w:lvlJc w:val="left"/>
      <w:pPr>
        <w:ind w:left="6480" w:hanging="360"/>
      </w:pPr>
      <w:rPr>
        <w:rFonts w:ascii="Wingdings" w:hAnsi="Wingdings" w:hint="default"/>
      </w:rPr>
    </w:lvl>
  </w:abstractNum>
  <w:abstractNum w:abstractNumId="12">
    <w:nsid w:val="7A0C6514"/>
    <w:multiLevelType w:val="hybridMultilevel"/>
    <w:tmpl w:val="19A09312"/>
    <w:lvl w:ilvl="0" w:tplc="2B608470">
      <w:start w:val="3"/>
      <w:numFmt w:val="bullet"/>
      <w:lvlText w:val="-"/>
      <w:lvlJc w:val="left"/>
      <w:pPr>
        <w:ind w:left="720" w:hanging="360"/>
      </w:pPr>
      <w:rPr>
        <w:rFonts w:ascii="Arial" w:eastAsia="Times New Roman" w:hAnsi="Arial" w:cs="Arial" w:hint="default"/>
      </w:rPr>
    </w:lvl>
    <w:lvl w:ilvl="1" w:tplc="31F4EA18" w:tentative="1">
      <w:start w:val="1"/>
      <w:numFmt w:val="bullet"/>
      <w:lvlText w:val="o"/>
      <w:lvlJc w:val="left"/>
      <w:pPr>
        <w:ind w:left="1440" w:hanging="360"/>
      </w:pPr>
      <w:rPr>
        <w:rFonts w:ascii="Courier New" w:hAnsi="Courier New" w:cs="Courier New" w:hint="default"/>
      </w:rPr>
    </w:lvl>
    <w:lvl w:ilvl="2" w:tplc="60842740" w:tentative="1">
      <w:start w:val="1"/>
      <w:numFmt w:val="bullet"/>
      <w:lvlText w:val=""/>
      <w:lvlJc w:val="left"/>
      <w:pPr>
        <w:ind w:left="2160" w:hanging="360"/>
      </w:pPr>
      <w:rPr>
        <w:rFonts w:ascii="Wingdings" w:hAnsi="Wingdings" w:hint="default"/>
      </w:rPr>
    </w:lvl>
    <w:lvl w:ilvl="3" w:tplc="13F87866" w:tentative="1">
      <w:start w:val="1"/>
      <w:numFmt w:val="bullet"/>
      <w:lvlText w:val=""/>
      <w:lvlJc w:val="left"/>
      <w:pPr>
        <w:ind w:left="2880" w:hanging="360"/>
      </w:pPr>
      <w:rPr>
        <w:rFonts w:ascii="Symbol" w:hAnsi="Symbol" w:hint="default"/>
      </w:rPr>
    </w:lvl>
    <w:lvl w:ilvl="4" w:tplc="7616CC2A" w:tentative="1">
      <w:start w:val="1"/>
      <w:numFmt w:val="bullet"/>
      <w:lvlText w:val="o"/>
      <w:lvlJc w:val="left"/>
      <w:pPr>
        <w:ind w:left="3600" w:hanging="360"/>
      </w:pPr>
      <w:rPr>
        <w:rFonts w:ascii="Courier New" w:hAnsi="Courier New" w:cs="Courier New" w:hint="default"/>
      </w:rPr>
    </w:lvl>
    <w:lvl w:ilvl="5" w:tplc="0F7C592C" w:tentative="1">
      <w:start w:val="1"/>
      <w:numFmt w:val="bullet"/>
      <w:lvlText w:val=""/>
      <w:lvlJc w:val="left"/>
      <w:pPr>
        <w:ind w:left="4320" w:hanging="360"/>
      </w:pPr>
      <w:rPr>
        <w:rFonts w:ascii="Wingdings" w:hAnsi="Wingdings" w:hint="default"/>
      </w:rPr>
    </w:lvl>
    <w:lvl w:ilvl="6" w:tplc="8612DD16" w:tentative="1">
      <w:start w:val="1"/>
      <w:numFmt w:val="bullet"/>
      <w:lvlText w:val=""/>
      <w:lvlJc w:val="left"/>
      <w:pPr>
        <w:ind w:left="5040" w:hanging="360"/>
      </w:pPr>
      <w:rPr>
        <w:rFonts w:ascii="Symbol" w:hAnsi="Symbol" w:hint="default"/>
      </w:rPr>
    </w:lvl>
    <w:lvl w:ilvl="7" w:tplc="1B10B8B4" w:tentative="1">
      <w:start w:val="1"/>
      <w:numFmt w:val="bullet"/>
      <w:lvlText w:val="o"/>
      <w:lvlJc w:val="left"/>
      <w:pPr>
        <w:ind w:left="5760" w:hanging="360"/>
      </w:pPr>
      <w:rPr>
        <w:rFonts w:ascii="Courier New" w:hAnsi="Courier New" w:cs="Courier New" w:hint="default"/>
      </w:rPr>
    </w:lvl>
    <w:lvl w:ilvl="8" w:tplc="89F03AA2"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
  </w:num>
  <w:num w:numId="4">
    <w:abstractNumId w:val="1"/>
  </w:num>
  <w:num w:numId="5">
    <w:abstractNumId w:va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816"/>
    <w:rsid w:val="00000EBA"/>
    <w:rsid w:val="00006DE0"/>
    <w:rsid w:val="00007725"/>
    <w:rsid w:val="00024D73"/>
    <w:rsid w:val="00033C0B"/>
    <w:rsid w:val="000374CC"/>
    <w:rsid w:val="000421C4"/>
    <w:rsid w:val="00050F7D"/>
    <w:rsid w:val="00092453"/>
    <w:rsid w:val="0009482C"/>
    <w:rsid w:val="00094E9A"/>
    <w:rsid w:val="000A1714"/>
    <w:rsid w:val="000B376D"/>
    <w:rsid w:val="000C2C25"/>
    <w:rsid w:val="000C3D0A"/>
    <w:rsid w:val="000F5FAA"/>
    <w:rsid w:val="00102D40"/>
    <w:rsid w:val="00115512"/>
    <w:rsid w:val="001534FB"/>
    <w:rsid w:val="00173845"/>
    <w:rsid w:val="00182790"/>
    <w:rsid w:val="001A4D7D"/>
    <w:rsid w:val="001B2930"/>
    <w:rsid w:val="00202D7D"/>
    <w:rsid w:val="002044FD"/>
    <w:rsid w:val="00210309"/>
    <w:rsid w:val="00235EBE"/>
    <w:rsid w:val="00236A42"/>
    <w:rsid w:val="0026311B"/>
    <w:rsid w:val="002A7B24"/>
    <w:rsid w:val="002C2F4C"/>
    <w:rsid w:val="002D520B"/>
    <w:rsid w:val="002E7A2D"/>
    <w:rsid w:val="00332065"/>
    <w:rsid w:val="003346ED"/>
    <w:rsid w:val="00343AEB"/>
    <w:rsid w:val="00375246"/>
    <w:rsid w:val="003856CF"/>
    <w:rsid w:val="003C5787"/>
    <w:rsid w:val="003C7456"/>
    <w:rsid w:val="003E07D0"/>
    <w:rsid w:val="003E29A1"/>
    <w:rsid w:val="00401F4A"/>
    <w:rsid w:val="00404747"/>
    <w:rsid w:val="004069F9"/>
    <w:rsid w:val="00410A34"/>
    <w:rsid w:val="00444113"/>
    <w:rsid w:val="00482CC5"/>
    <w:rsid w:val="004B4B11"/>
    <w:rsid w:val="004B5368"/>
    <w:rsid w:val="004C48AF"/>
    <w:rsid w:val="004D4082"/>
    <w:rsid w:val="004E21BD"/>
    <w:rsid w:val="0051212F"/>
    <w:rsid w:val="0054149E"/>
    <w:rsid w:val="0054215A"/>
    <w:rsid w:val="005727DF"/>
    <w:rsid w:val="005C7ADB"/>
    <w:rsid w:val="005E3AB3"/>
    <w:rsid w:val="005E6DD0"/>
    <w:rsid w:val="00602640"/>
    <w:rsid w:val="00612922"/>
    <w:rsid w:val="006167E0"/>
    <w:rsid w:val="00625091"/>
    <w:rsid w:val="0064483C"/>
    <w:rsid w:val="00647440"/>
    <w:rsid w:val="006C073D"/>
    <w:rsid w:val="006E31C8"/>
    <w:rsid w:val="006F0342"/>
    <w:rsid w:val="006F5505"/>
    <w:rsid w:val="00721FDD"/>
    <w:rsid w:val="00725582"/>
    <w:rsid w:val="00734AA8"/>
    <w:rsid w:val="00743573"/>
    <w:rsid w:val="007512FA"/>
    <w:rsid w:val="00771087"/>
    <w:rsid w:val="007E0453"/>
    <w:rsid w:val="007E0884"/>
    <w:rsid w:val="007E4A0D"/>
    <w:rsid w:val="00826DAC"/>
    <w:rsid w:val="0083576A"/>
    <w:rsid w:val="00876069"/>
    <w:rsid w:val="0089331A"/>
    <w:rsid w:val="008A66FC"/>
    <w:rsid w:val="008B13EC"/>
    <w:rsid w:val="008C35E5"/>
    <w:rsid w:val="008D7ED2"/>
    <w:rsid w:val="008E3A4E"/>
    <w:rsid w:val="008E5C1C"/>
    <w:rsid w:val="008F64FC"/>
    <w:rsid w:val="00911C03"/>
    <w:rsid w:val="00924118"/>
    <w:rsid w:val="0092454D"/>
    <w:rsid w:val="00934B13"/>
    <w:rsid w:val="009A1BFF"/>
    <w:rsid w:val="009A3155"/>
    <w:rsid w:val="009A3634"/>
    <w:rsid w:val="009A4475"/>
    <w:rsid w:val="009B5860"/>
    <w:rsid w:val="009F02CE"/>
    <w:rsid w:val="00A1120F"/>
    <w:rsid w:val="00A13F6A"/>
    <w:rsid w:val="00A17B86"/>
    <w:rsid w:val="00A23170"/>
    <w:rsid w:val="00A52DC3"/>
    <w:rsid w:val="00A63BDC"/>
    <w:rsid w:val="00A85BEC"/>
    <w:rsid w:val="00AA3DA3"/>
    <w:rsid w:val="00AA5603"/>
    <w:rsid w:val="00AA6AB1"/>
    <w:rsid w:val="00AC3E8B"/>
    <w:rsid w:val="00AC5445"/>
    <w:rsid w:val="00AD7D2C"/>
    <w:rsid w:val="00AE2BEA"/>
    <w:rsid w:val="00AF4496"/>
    <w:rsid w:val="00B051EF"/>
    <w:rsid w:val="00B34580"/>
    <w:rsid w:val="00B36117"/>
    <w:rsid w:val="00B37E81"/>
    <w:rsid w:val="00B51E5A"/>
    <w:rsid w:val="00B55559"/>
    <w:rsid w:val="00B6555F"/>
    <w:rsid w:val="00B76C60"/>
    <w:rsid w:val="00B81E62"/>
    <w:rsid w:val="00B85D80"/>
    <w:rsid w:val="00BB75CA"/>
    <w:rsid w:val="00BD3281"/>
    <w:rsid w:val="00BE1411"/>
    <w:rsid w:val="00BF30D2"/>
    <w:rsid w:val="00C1201F"/>
    <w:rsid w:val="00C26366"/>
    <w:rsid w:val="00C61C4F"/>
    <w:rsid w:val="00C6290E"/>
    <w:rsid w:val="00C82224"/>
    <w:rsid w:val="00C8469D"/>
    <w:rsid w:val="00C90776"/>
    <w:rsid w:val="00C917A4"/>
    <w:rsid w:val="00C96551"/>
    <w:rsid w:val="00CF585D"/>
    <w:rsid w:val="00D13A60"/>
    <w:rsid w:val="00D35C18"/>
    <w:rsid w:val="00D72F8A"/>
    <w:rsid w:val="00D9411E"/>
    <w:rsid w:val="00D94A8C"/>
    <w:rsid w:val="00DA56E8"/>
    <w:rsid w:val="00E03816"/>
    <w:rsid w:val="00E05D2B"/>
    <w:rsid w:val="00E05EB4"/>
    <w:rsid w:val="00E228B2"/>
    <w:rsid w:val="00E35EA5"/>
    <w:rsid w:val="00E374EE"/>
    <w:rsid w:val="00E535D3"/>
    <w:rsid w:val="00E66CB9"/>
    <w:rsid w:val="00EA542C"/>
    <w:rsid w:val="00ED2648"/>
    <w:rsid w:val="00F06C78"/>
    <w:rsid w:val="00F07DE3"/>
    <w:rsid w:val="00F11843"/>
    <w:rsid w:val="00F13A04"/>
    <w:rsid w:val="00F237D8"/>
    <w:rsid w:val="00F23872"/>
    <w:rsid w:val="00F53F73"/>
    <w:rsid w:val="00F879E3"/>
    <w:rsid w:val="00F92A51"/>
    <w:rsid w:val="00FA6A23"/>
    <w:rsid w:val="00FA72D6"/>
    <w:rsid w:val="00FC61AA"/>
    <w:rsid w:val="00FF44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16"/>
    <w:pPr>
      <w:spacing w:after="0" w:line="240" w:lineRule="auto"/>
    </w:pPr>
    <w:rPr>
      <w:rFonts w:ascii="Arial" w:eastAsia="Times New Roman" w:hAnsi="Arial"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unhideWhenUsed/>
    <w:rsid w:val="00E03816"/>
    <w:pPr>
      <w:ind w:left="360" w:hanging="360"/>
      <w:jc w:val="both"/>
    </w:pPr>
    <w:rPr>
      <w:sz w:val="20"/>
    </w:rPr>
  </w:style>
  <w:style w:type="character" w:customStyle="1" w:styleId="NotedebasdepageCar">
    <w:name w:val="Note de bas de page Car"/>
    <w:basedOn w:val="Policepardfaut"/>
    <w:link w:val="Notedebasdepage"/>
    <w:semiHidden/>
    <w:rsid w:val="00E03816"/>
    <w:rPr>
      <w:rFonts w:ascii="Arial" w:eastAsia="Times New Roman" w:hAnsi="Arial" w:cs="Times New Roman"/>
      <w:sz w:val="20"/>
      <w:szCs w:val="20"/>
      <w:lang w:eastAsia="fr-FR"/>
    </w:rPr>
  </w:style>
  <w:style w:type="paragraph" w:customStyle="1" w:styleId="Paragraphe">
    <w:name w:val="Paragraphe"/>
    <w:basedOn w:val="Normal"/>
    <w:rsid w:val="00E03816"/>
    <w:pPr>
      <w:numPr>
        <w:numId w:val="1"/>
      </w:numPr>
      <w:spacing w:before="120" w:after="120" w:line="500" w:lineRule="exact"/>
      <w:jc w:val="both"/>
    </w:pPr>
    <w:rPr>
      <w:kern w:val="28"/>
    </w:rPr>
  </w:style>
  <w:style w:type="paragraph" w:customStyle="1" w:styleId="Citationenretrait">
    <w:name w:val="Citation en retrait"/>
    <w:basedOn w:val="Normal"/>
    <w:rsid w:val="00E03816"/>
    <w:pPr>
      <w:spacing w:before="120" w:after="120"/>
      <w:ind w:left="720" w:right="720"/>
      <w:jc w:val="both"/>
    </w:pPr>
    <w:rPr>
      <w:kern w:val="24"/>
      <w:sz w:val="22"/>
    </w:rPr>
  </w:style>
  <w:style w:type="paragraph" w:customStyle="1" w:styleId="zSoquijlblCour">
    <w:name w:val="zSoquij_lblCour"/>
    <w:basedOn w:val="Normal"/>
    <w:rsid w:val="00E03816"/>
    <w:pPr>
      <w:jc w:val="center"/>
    </w:pPr>
    <w:rPr>
      <w:b/>
      <w:sz w:val="36"/>
    </w:rPr>
  </w:style>
  <w:style w:type="paragraph" w:customStyle="1" w:styleId="zSoquijlblPays">
    <w:name w:val="zSoquij_lblPays"/>
    <w:basedOn w:val="Normal"/>
    <w:rsid w:val="00E03816"/>
  </w:style>
  <w:style w:type="paragraph" w:customStyle="1" w:styleId="zSoquijlblProvince">
    <w:name w:val="zSoquij_lblProvince"/>
    <w:basedOn w:val="Normal"/>
    <w:rsid w:val="00E03816"/>
  </w:style>
  <w:style w:type="paragraph" w:customStyle="1" w:styleId="zSoquijlblGreffe">
    <w:name w:val="zSoquij_lblGreffe"/>
    <w:basedOn w:val="Normal"/>
    <w:rsid w:val="00E03816"/>
    <w:pPr>
      <w:ind w:left="70"/>
    </w:pPr>
  </w:style>
  <w:style w:type="paragraph" w:customStyle="1" w:styleId="zSoquijdatGreffe">
    <w:name w:val="zSoquij_datGreffe"/>
    <w:basedOn w:val="Normal"/>
    <w:rsid w:val="00E03816"/>
    <w:pPr>
      <w:ind w:left="29"/>
    </w:pPr>
  </w:style>
  <w:style w:type="paragraph" w:customStyle="1" w:styleId="zSoquijdatDivision">
    <w:name w:val="zSoquij_datDivision"/>
    <w:basedOn w:val="Normal"/>
    <w:rsid w:val="00E03816"/>
    <w:pPr>
      <w:jc w:val="center"/>
    </w:pPr>
    <w:rPr>
      <w:sz w:val="22"/>
    </w:rPr>
  </w:style>
  <w:style w:type="paragraph" w:customStyle="1" w:styleId="zSoquijlblNoDossier">
    <w:name w:val="zSoquij_lblNoDossier"/>
    <w:basedOn w:val="Normal"/>
    <w:rsid w:val="00E03816"/>
  </w:style>
  <w:style w:type="paragraph" w:customStyle="1" w:styleId="zSoquijdatNoDossier">
    <w:name w:val="zSoquij_datNoDossier"/>
    <w:basedOn w:val="Normal"/>
    <w:rsid w:val="00E03816"/>
  </w:style>
  <w:style w:type="paragraph" w:customStyle="1" w:styleId="zSoquijdatNoDossierAnt">
    <w:name w:val="zSoquij_datNoDossierAnt"/>
    <w:basedOn w:val="Normal"/>
    <w:rsid w:val="00E03816"/>
  </w:style>
  <w:style w:type="paragraph" w:customStyle="1" w:styleId="zSoquijdatDateJugement">
    <w:name w:val="zSoquij_datDateJugement"/>
    <w:basedOn w:val="Normal"/>
    <w:rsid w:val="00E03816"/>
  </w:style>
  <w:style w:type="paragraph" w:customStyle="1" w:styleId="zSoquijlblDateJugement">
    <w:name w:val="zSoquij_lblDateJugement"/>
    <w:basedOn w:val="Normal"/>
    <w:rsid w:val="00E03816"/>
  </w:style>
  <w:style w:type="paragraph" w:customStyle="1" w:styleId="zSoquijlblJuge">
    <w:name w:val="zSoquij_lblJuge"/>
    <w:basedOn w:val="Normal"/>
    <w:rsid w:val="00E03816"/>
    <w:pPr>
      <w:ind w:left="70"/>
    </w:pPr>
    <w:rPr>
      <w:b/>
    </w:rPr>
  </w:style>
  <w:style w:type="paragraph" w:customStyle="1" w:styleId="zSoquijdatQteJuge">
    <w:name w:val="zSoquij_datQteJuge"/>
    <w:basedOn w:val="Normal"/>
    <w:rsid w:val="00E03816"/>
    <w:pPr>
      <w:ind w:left="29"/>
    </w:pPr>
    <w:rPr>
      <w:b/>
    </w:rPr>
  </w:style>
  <w:style w:type="paragraph" w:customStyle="1" w:styleId="zSoquijdatJuge">
    <w:name w:val="zSoquij_datJuge"/>
    <w:basedOn w:val="Normal"/>
    <w:rsid w:val="00E03816"/>
    <w:pPr>
      <w:ind w:left="52"/>
    </w:pPr>
    <w:rPr>
      <w:b/>
    </w:rPr>
  </w:style>
  <w:style w:type="paragraph" w:customStyle="1" w:styleId="zSoquijdatNomPartieDem">
    <w:name w:val="zSoquij_datNomPartieDem"/>
    <w:basedOn w:val="Normal"/>
    <w:rsid w:val="00E03816"/>
    <w:rPr>
      <w:b/>
      <w:bCs/>
    </w:rPr>
  </w:style>
  <w:style w:type="paragraph" w:customStyle="1" w:styleId="zSoquijdatQtePartieDem">
    <w:name w:val="zSoquij_datQtePartieDem"/>
    <w:basedOn w:val="Normal"/>
    <w:rsid w:val="00E03816"/>
    <w:pPr>
      <w:ind w:left="708"/>
    </w:pPr>
  </w:style>
  <w:style w:type="paragraph" w:customStyle="1" w:styleId="zSoquijlblLienParties">
    <w:name w:val="zSoquij_lblLienParties"/>
    <w:basedOn w:val="Normal"/>
    <w:rsid w:val="00E03816"/>
  </w:style>
  <w:style w:type="paragraph" w:customStyle="1" w:styleId="zSoquijdatNomPartieDef">
    <w:name w:val="zSoquij_datNomPartieDef"/>
    <w:basedOn w:val="Normal"/>
    <w:rsid w:val="00E03816"/>
    <w:rPr>
      <w:b/>
      <w:bCs/>
    </w:rPr>
  </w:style>
  <w:style w:type="paragraph" w:customStyle="1" w:styleId="zSoquijdatQtePartieDef">
    <w:name w:val="zSoquij_datQtePartieDef"/>
    <w:basedOn w:val="Normal"/>
    <w:rsid w:val="00E03816"/>
    <w:pPr>
      <w:ind w:left="708"/>
    </w:pPr>
  </w:style>
  <w:style w:type="paragraph" w:customStyle="1" w:styleId="zSoquijlblTypeDocument">
    <w:name w:val="zSoquij_lblTypeDocument"/>
    <w:basedOn w:val="Normal"/>
    <w:rsid w:val="00E03816"/>
    <w:pPr>
      <w:jc w:val="center"/>
    </w:pPr>
  </w:style>
  <w:style w:type="paragraph" w:customStyle="1" w:styleId="zSoquijlblProcureurDem">
    <w:name w:val="zSoquij_lblProcureurDem"/>
    <w:basedOn w:val="Normal"/>
    <w:rsid w:val="00E03816"/>
  </w:style>
  <w:style w:type="paragraph" w:customStyle="1" w:styleId="zSoquijlblProcureurDef">
    <w:name w:val="zSoquij_lblProcureurDef"/>
    <w:basedOn w:val="Normal"/>
    <w:rsid w:val="00E03816"/>
  </w:style>
  <w:style w:type="paragraph" w:customStyle="1" w:styleId="zSoquijlblDateAudience">
    <w:name w:val="zSoquij_lblDateAudience"/>
    <w:basedOn w:val="Normal"/>
    <w:rsid w:val="00E03816"/>
  </w:style>
  <w:style w:type="paragraph" w:customStyle="1" w:styleId="zSoquijdatDateAudience">
    <w:name w:val="zSoquij_datDateAudience"/>
    <w:basedOn w:val="Normal"/>
    <w:rsid w:val="00E03816"/>
  </w:style>
  <w:style w:type="paragraph" w:customStyle="1" w:styleId="zSoquijlblNomChambre">
    <w:name w:val="zSoquij_lblNomChambre"/>
    <w:basedOn w:val="Normal"/>
    <w:rsid w:val="00E03816"/>
  </w:style>
  <w:style w:type="paragraph" w:customStyle="1" w:styleId="zSoquijlblTitrePartie">
    <w:name w:val="zSoquij_lblTitrePartie"/>
    <w:basedOn w:val="Normal"/>
    <w:rsid w:val="00E03816"/>
  </w:style>
  <w:style w:type="paragraph" w:customStyle="1" w:styleId="zSoquijdatSignature3Juge">
    <w:name w:val="zSoquij_datSignature3Juge"/>
    <w:basedOn w:val="Normal"/>
    <w:rsid w:val="00E03816"/>
  </w:style>
  <w:style w:type="paragraph" w:customStyle="1" w:styleId="zSoquijdatIdJuge">
    <w:name w:val="zSoquij_datIdJuge"/>
    <w:basedOn w:val="Normal"/>
    <w:rsid w:val="00E03816"/>
    <w:pPr>
      <w:jc w:val="center"/>
    </w:pPr>
    <w:rPr>
      <w:sz w:val="20"/>
    </w:rPr>
  </w:style>
  <w:style w:type="paragraph" w:customStyle="1" w:styleId="Sous-paragraphe">
    <w:name w:val="Sous-paragraphe"/>
    <w:basedOn w:val="Normal"/>
    <w:rsid w:val="00E03816"/>
    <w:pPr>
      <w:widowControl w:val="0"/>
      <w:numPr>
        <w:ilvl w:val="1"/>
        <w:numId w:val="1"/>
      </w:numPr>
      <w:spacing w:after="120"/>
      <w:jc w:val="both"/>
    </w:pPr>
    <w:rPr>
      <w:kern w:val="28"/>
    </w:rPr>
  </w:style>
  <w:style w:type="paragraph" w:customStyle="1" w:styleId="zSoquijdatNomProcureurDem">
    <w:name w:val="zSoquij_datNomProcureurDem"/>
    <w:basedOn w:val="zSoquijlblProcureurDem"/>
    <w:rsid w:val="00E03816"/>
  </w:style>
  <w:style w:type="paragraph" w:customStyle="1" w:styleId="zSoquijdatNomProcureurDef">
    <w:name w:val="zSoquij_datNomProcureurDef"/>
    <w:basedOn w:val="zSoquijlblProcureurDef"/>
    <w:rsid w:val="00E03816"/>
  </w:style>
  <w:style w:type="paragraph" w:customStyle="1" w:styleId="zSoquijdatRepertorie">
    <w:name w:val="zSoquij_datRepertorie"/>
    <w:basedOn w:val="zSoquijlblCour"/>
    <w:rsid w:val="00E03816"/>
    <w:pPr>
      <w:jc w:val="left"/>
    </w:pPr>
    <w:rPr>
      <w:noProof/>
      <w:sz w:val="22"/>
    </w:rPr>
  </w:style>
  <w:style w:type="paragraph" w:customStyle="1" w:styleId="zSoquijdatRefNeutre">
    <w:name w:val="zSoquij_datRefNeutre"/>
    <w:basedOn w:val="zSoquijlblCour"/>
    <w:rsid w:val="00E03816"/>
    <w:pPr>
      <w:jc w:val="left"/>
    </w:pPr>
    <w:rPr>
      <w:noProof/>
      <w:sz w:val="22"/>
    </w:rPr>
  </w:style>
  <w:style w:type="paragraph" w:customStyle="1" w:styleId="zSoquijlblLocalite">
    <w:name w:val="zSoquij_lblLocalite"/>
    <w:basedOn w:val="zSoquijlblGreffe"/>
    <w:rsid w:val="00E03816"/>
  </w:style>
  <w:style w:type="paragraph" w:customStyle="1" w:styleId="zSoquijdatLocalite">
    <w:name w:val="zSoquij_datLocalite"/>
    <w:basedOn w:val="zSoquijdatGreffe"/>
    <w:rsid w:val="00E03816"/>
  </w:style>
  <w:style w:type="character" w:styleId="Appelnotedebasdep">
    <w:name w:val="footnote reference"/>
    <w:uiPriority w:val="99"/>
    <w:semiHidden/>
    <w:unhideWhenUsed/>
    <w:rsid w:val="00E03816"/>
    <w:rPr>
      <w:noProof w:val="0"/>
      <w:vertAlign w:val="superscript"/>
      <w:lang w:val="fr-CA"/>
    </w:rPr>
  </w:style>
  <w:style w:type="table" w:styleId="Grilledutableau">
    <w:name w:val="Table Grid"/>
    <w:basedOn w:val="TableauNormal"/>
    <w:rsid w:val="00E03816"/>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1843"/>
    <w:pPr>
      <w:tabs>
        <w:tab w:val="center" w:pos="4320"/>
        <w:tab w:val="right" w:pos="8640"/>
      </w:tabs>
    </w:pPr>
  </w:style>
  <w:style w:type="character" w:customStyle="1" w:styleId="En-tteCar">
    <w:name w:val="En-tête Car"/>
    <w:basedOn w:val="Policepardfaut"/>
    <w:link w:val="En-tte"/>
    <w:uiPriority w:val="99"/>
    <w:rsid w:val="00F11843"/>
    <w:rPr>
      <w:rFonts w:ascii="Arial" w:eastAsia="Times New Roman" w:hAnsi="Arial" w:cs="Times New Roman"/>
      <w:sz w:val="24"/>
      <w:szCs w:val="20"/>
      <w:lang w:eastAsia="fr-FR"/>
    </w:rPr>
  </w:style>
  <w:style w:type="paragraph" w:styleId="Pieddepage">
    <w:name w:val="footer"/>
    <w:basedOn w:val="Normal"/>
    <w:link w:val="PieddepageCar"/>
    <w:uiPriority w:val="99"/>
    <w:unhideWhenUsed/>
    <w:rsid w:val="00F11843"/>
    <w:pPr>
      <w:tabs>
        <w:tab w:val="center" w:pos="4320"/>
        <w:tab w:val="right" w:pos="8640"/>
      </w:tabs>
    </w:pPr>
  </w:style>
  <w:style w:type="character" w:customStyle="1" w:styleId="PieddepageCar">
    <w:name w:val="Pied de page Car"/>
    <w:basedOn w:val="Policepardfaut"/>
    <w:link w:val="Pieddepage"/>
    <w:uiPriority w:val="99"/>
    <w:rsid w:val="00F11843"/>
    <w:rPr>
      <w:rFonts w:ascii="Arial" w:eastAsia="Times New Roman" w:hAnsi="Arial" w:cs="Times New Roman"/>
      <w:sz w:val="24"/>
      <w:szCs w:val="20"/>
      <w:lang w:eastAsia="fr-FR"/>
    </w:rPr>
  </w:style>
  <w:style w:type="paragraph" w:styleId="Textedebulles">
    <w:name w:val="Balloon Text"/>
    <w:basedOn w:val="Normal"/>
    <w:link w:val="TextedebullesCar"/>
    <w:uiPriority w:val="99"/>
    <w:semiHidden/>
    <w:unhideWhenUsed/>
    <w:rsid w:val="001B2930"/>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2930"/>
    <w:rPr>
      <w:rFonts w:ascii="Segoe UI" w:eastAsia="Times New Roman" w:hAnsi="Segoe UI" w:cs="Segoe UI"/>
      <w:sz w:val="18"/>
      <w:szCs w:val="18"/>
      <w:lang w:eastAsia="fr-FR"/>
    </w:rPr>
  </w:style>
  <w:style w:type="character" w:customStyle="1" w:styleId="sectionlabel">
    <w:name w:val="sectionlabel"/>
    <w:rsid w:val="00E66CB9"/>
  </w:style>
  <w:style w:type="character" w:customStyle="1" w:styleId="lawlabel">
    <w:name w:val="lawlabel"/>
    <w:rsid w:val="00E6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16"/>
    <w:pPr>
      <w:spacing w:after="0" w:line="240" w:lineRule="auto"/>
    </w:pPr>
    <w:rPr>
      <w:rFonts w:ascii="Arial" w:eastAsia="Times New Roman" w:hAnsi="Arial"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unhideWhenUsed/>
    <w:rsid w:val="00E03816"/>
    <w:pPr>
      <w:ind w:left="360" w:hanging="360"/>
      <w:jc w:val="both"/>
    </w:pPr>
    <w:rPr>
      <w:sz w:val="20"/>
    </w:rPr>
  </w:style>
  <w:style w:type="character" w:customStyle="1" w:styleId="NotedebasdepageCar">
    <w:name w:val="Note de bas de page Car"/>
    <w:basedOn w:val="Policepardfaut"/>
    <w:link w:val="Notedebasdepage"/>
    <w:semiHidden/>
    <w:rsid w:val="00E03816"/>
    <w:rPr>
      <w:rFonts w:ascii="Arial" w:eastAsia="Times New Roman" w:hAnsi="Arial" w:cs="Times New Roman"/>
      <w:sz w:val="20"/>
      <w:szCs w:val="20"/>
      <w:lang w:eastAsia="fr-FR"/>
    </w:rPr>
  </w:style>
  <w:style w:type="paragraph" w:customStyle="1" w:styleId="Paragraphe">
    <w:name w:val="Paragraphe"/>
    <w:basedOn w:val="Normal"/>
    <w:rsid w:val="00E03816"/>
    <w:pPr>
      <w:numPr>
        <w:numId w:val="1"/>
      </w:numPr>
      <w:spacing w:before="120" w:after="120" w:line="500" w:lineRule="exact"/>
      <w:jc w:val="both"/>
    </w:pPr>
    <w:rPr>
      <w:kern w:val="28"/>
    </w:rPr>
  </w:style>
  <w:style w:type="paragraph" w:customStyle="1" w:styleId="Citationenretrait">
    <w:name w:val="Citation en retrait"/>
    <w:basedOn w:val="Normal"/>
    <w:rsid w:val="00E03816"/>
    <w:pPr>
      <w:spacing w:before="120" w:after="120"/>
      <w:ind w:left="720" w:right="720"/>
      <w:jc w:val="both"/>
    </w:pPr>
    <w:rPr>
      <w:kern w:val="24"/>
      <w:sz w:val="22"/>
    </w:rPr>
  </w:style>
  <w:style w:type="paragraph" w:customStyle="1" w:styleId="zSoquijlblCour">
    <w:name w:val="zSoquij_lblCour"/>
    <w:basedOn w:val="Normal"/>
    <w:rsid w:val="00E03816"/>
    <w:pPr>
      <w:jc w:val="center"/>
    </w:pPr>
    <w:rPr>
      <w:b/>
      <w:sz w:val="36"/>
    </w:rPr>
  </w:style>
  <w:style w:type="paragraph" w:customStyle="1" w:styleId="zSoquijlblPays">
    <w:name w:val="zSoquij_lblPays"/>
    <w:basedOn w:val="Normal"/>
    <w:rsid w:val="00E03816"/>
  </w:style>
  <w:style w:type="paragraph" w:customStyle="1" w:styleId="zSoquijlblProvince">
    <w:name w:val="zSoquij_lblProvince"/>
    <w:basedOn w:val="Normal"/>
    <w:rsid w:val="00E03816"/>
  </w:style>
  <w:style w:type="paragraph" w:customStyle="1" w:styleId="zSoquijlblGreffe">
    <w:name w:val="zSoquij_lblGreffe"/>
    <w:basedOn w:val="Normal"/>
    <w:rsid w:val="00E03816"/>
    <w:pPr>
      <w:ind w:left="70"/>
    </w:pPr>
  </w:style>
  <w:style w:type="paragraph" w:customStyle="1" w:styleId="zSoquijdatGreffe">
    <w:name w:val="zSoquij_datGreffe"/>
    <w:basedOn w:val="Normal"/>
    <w:rsid w:val="00E03816"/>
    <w:pPr>
      <w:ind w:left="29"/>
    </w:pPr>
  </w:style>
  <w:style w:type="paragraph" w:customStyle="1" w:styleId="zSoquijdatDivision">
    <w:name w:val="zSoquij_datDivision"/>
    <w:basedOn w:val="Normal"/>
    <w:rsid w:val="00E03816"/>
    <w:pPr>
      <w:jc w:val="center"/>
    </w:pPr>
    <w:rPr>
      <w:sz w:val="22"/>
    </w:rPr>
  </w:style>
  <w:style w:type="paragraph" w:customStyle="1" w:styleId="zSoquijlblNoDossier">
    <w:name w:val="zSoquij_lblNoDossier"/>
    <w:basedOn w:val="Normal"/>
    <w:rsid w:val="00E03816"/>
  </w:style>
  <w:style w:type="paragraph" w:customStyle="1" w:styleId="zSoquijdatNoDossier">
    <w:name w:val="zSoquij_datNoDossier"/>
    <w:basedOn w:val="Normal"/>
    <w:rsid w:val="00E03816"/>
  </w:style>
  <w:style w:type="paragraph" w:customStyle="1" w:styleId="zSoquijdatNoDossierAnt">
    <w:name w:val="zSoquij_datNoDossierAnt"/>
    <w:basedOn w:val="Normal"/>
    <w:rsid w:val="00E03816"/>
  </w:style>
  <w:style w:type="paragraph" w:customStyle="1" w:styleId="zSoquijdatDateJugement">
    <w:name w:val="zSoquij_datDateJugement"/>
    <w:basedOn w:val="Normal"/>
    <w:rsid w:val="00E03816"/>
  </w:style>
  <w:style w:type="paragraph" w:customStyle="1" w:styleId="zSoquijlblDateJugement">
    <w:name w:val="zSoquij_lblDateJugement"/>
    <w:basedOn w:val="Normal"/>
    <w:rsid w:val="00E03816"/>
  </w:style>
  <w:style w:type="paragraph" w:customStyle="1" w:styleId="zSoquijlblJuge">
    <w:name w:val="zSoquij_lblJuge"/>
    <w:basedOn w:val="Normal"/>
    <w:rsid w:val="00E03816"/>
    <w:pPr>
      <w:ind w:left="70"/>
    </w:pPr>
    <w:rPr>
      <w:b/>
    </w:rPr>
  </w:style>
  <w:style w:type="paragraph" w:customStyle="1" w:styleId="zSoquijdatQteJuge">
    <w:name w:val="zSoquij_datQteJuge"/>
    <w:basedOn w:val="Normal"/>
    <w:rsid w:val="00E03816"/>
    <w:pPr>
      <w:ind w:left="29"/>
    </w:pPr>
    <w:rPr>
      <w:b/>
    </w:rPr>
  </w:style>
  <w:style w:type="paragraph" w:customStyle="1" w:styleId="zSoquijdatJuge">
    <w:name w:val="zSoquij_datJuge"/>
    <w:basedOn w:val="Normal"/>
    <w:rsid w:val="00E03816"/>
    <w:pPr>
      <w:ind w:left="52"/>
    </w:pPr>
    <w:rPr>
      <w:b/>
    </w:rPr>
  </w:style>
  <w:style w:type="paragraph" w:customStyle="1" w:styleId="zSoquijdatNomPartieDem">
    <w:name w:val="zSoquij_datNomPartieDem"/>
    <w:basedOn w:val="Normal"/>
    <w:rsid w:val="00E03816"/>
    <w:rPr>
      <w:b/>
      <w:bCs/>
    </w:rPr>
  </w:style>
  <w:style w:type="paragraph" w:customStyle="1" w:styleId="zSoquijdatQtePartieDem">
    <w:name w:val="zSoquij_datQtePartieDem"/>
    <w:basedOn w:val="Normal"/>
    <w:rsid w:val="00E03816"/>
    <w:pPr>
      <w:ind w:left="708"/>
    </w:pPr>
  </w:style>
  <w:style w:type="paragraph" w:customStyle="1" w:styleId="zSoquijlblLienParties">
    <w:name w:val="zSoquij_lblLienParties"/>
    <w:basedOn w:val="Normal"/>
    <w:rsid w:val="00E03816"/>
  </w:style>
  <w:style w:type="paragraph" w:customStyle="1" w:styleId="zSoquijdatNomPartieDef">
    <w:name w:val="zSoquij_datNomPartieDef"/>
    <w:basedOn w:val="Normal"/>
    <w:rsid w:val="00E03816"/>
    <w:rPr>
      <w:b/>
      <w:bCs/>
    </w:rPr>
  </w:style>
  <w:style w:type="paragraph" w:customStyle="1" w:styleId="zSoquijdatQtePartieDef">
    <w:name w:val="zSoquij_datQtePartieDef"/>
    <w:basedOn w:val="Normal"/>
    <w:rsid w:val="00E03816"/>
    <w:pPr>
      <w:ind w:left="708"/>
    </w:pPr>
  </w:style>
  <w:style w:type="paragraph" w:customStyle="1" w:styleId="zSoquijlblTypeDocument">
    <w:name w:val="zSoquij_lblTypeDocument"/>
    <w:basedOn w:val="Normal"/>
    <w:rsid w:val="00E03816"/>
    <w:pPr>
      <w:jc w:val="center"/>
    </w:pPr>
  </w:style>
  <w:style w:type="paragraph" w:customStyle="1" w:styleId="zSoquijlblProcureurDem">
    <w:name w:val="zSoquij_lblProcureurDem"/>
    <w:basedOn w:val="Normal"/>
    <w:rsid w:val="00E03816"/>
  </w:style>
  <w:style w:type="paragraph" w:customStyle="1" w:styleId="zSoquijlblProcureurDef">
    <w:name w:val="zSoquij_lblProcureurDef"/>
    <w:basedOn w:val="Normal"/>
    <w:rsid w:val="00E03816"/>
  </w:style>
  <w:style w:type="paragraph" w:customStyle="1" w:styleId="zSoquijlblDateAudience">
    <w:name w:val="zSoquij_lblDateAudience"/>
    <w:basedOn w:val="Normal"/>
    <w:rsid w:val="00E03816"/>
  </w:style>
  <w:style w:type="paragraph" w:customStyle="1" w:styleId="zSoquijdatDateAudience">
    <w:name w:val="zSoquij_datDateAudience"/>
    <w:basedOn w:val="Normal"/>
    <w:rsid w:val="00E03816"/>
  </w:style>
  <w:style w:type="paragraph" w:customStyle="1" w:styleId="zSoquijlblNomChambre">
    <w:name w:val="zSoquij_lblNomChambre"/>
    <w:basedOn w:val="Normal"/>
    <w:rsid w:val="00E03816"/>
  </w:style>
  <w:style w:type="paragraph" w:customStyle="1" w:styleId="zSoquijlblTitrePartie">
    <w:name w:val="zSoquij_lblTitrePartie"/>
    <w:basedOn w:val="Normal"/>
    <w:rsid w:val="00E03816"/>
  </w:style>
  <w:style w:type="paragraph" w:customStyle="1" w:styleId="zSoquijdatSignature3Juge">
    <w:name w:val="zSoquij_datSignature3Juge"/>
    <w:basedOn w:val="Normal"/>
    <w:rsid w:val="00E03816"/>
  </w:style>
  <w:style w:type="paragraph" w:customStyle="1" w:styleId="zSoquijdatIdJuge">
    <w:name w:val="zSoquij_datIdJuge"/>
    <w:basedOn w:val="Normal"/>
    <w:rsid w:val="00E03816"/>
    <w:pPr>
      <w:jc w:val="center"/>
    </w:pPr>
    <w:rPr>
      <w:sz w:val="20"/>
    </w:rPr>
  </w:style>
  <w:style w:type="paragraph" w:customStyle="1" w:styleId="Sous-paragraphe">
    <w:name w:val="Sous-paragraphe"/>
    <w:basedOn w:val="Normal"/>
    <w:rsid w:val="00E03816"/>
    <w:pPr>
      <w:widowControl w:val="0"/>
      <w:numPr>
        <w:ilvl w:val="1"/>
        <w:numId w:val="1"/>
      </w:numPr>
      <w:spacing w:after="120"/>
      <w:jc w:val="both"/>
    </w:pPr>
    <w:rPr>
      <w:kern w:val="28"/>
    </w:rPr>
  </w:style>
  <w:style w:type="paragraph" w:customStyle="1" w:styleId="zSoquijdatNomProcureurDem">
    <w:name w:val="zSoquij_datNomProcureurDem"/>
    <w:basedOn w:val="zSoquijlblProcureurDem"/>
    <w:rsid w:val="00E03816"/>
  </w:style>
  <w:style w:type="paragraph" w:customStyle="1" w:styleId="zSoquijdatNomProcureurDef">
    <w:name w:val="zSoquij_datNomProcureurDef"/>
    <w:basedOn w:val="zSoquijlblProcureurDef"/>
    <w:rsid w:val="00E03816"/>
  </w:style>
  <w:style w:type="paragraph" w:customStyle="1" w:styleId="zSoquijdatRepertorie">
    <w:name w:val="zSoquij_datRepertorie"/>
    <w:basedOn w:val="zSoquijlblCour"/>
    <w:rsid w:val="00E03816"/>
    <w:pPr>
      <w:jc w:val="left"/>
    </w:pPr>
    <w:rPr>
      <w:noProof/>
      <w:sz w:val="22"/>
    </w:rPr>
  </w:style>
  <w:style w:type="paragraph" w:customStyle="1" w:styleId="zSoquijdatRefNeutre">
    <w:name w:val="zSoquij_datRefNeutre"/>
    <w:basedOn w:val="zSoquijlblCour"/>
    <w:rsid w:val="00E03816"/>
    <w:pPr>
      <w:jc w:val="left"/>
    </w:pPr>
    <w:rPr>
      <w:noProof/>
      <w:sz w:val="22"/>
    </w:rPr>
  </w:style>
  <w:style w:type="paragraph" w:customStyle="1" w:styleId="zSoquijlblLocalite">
    <w:name w:val="zSoquij_lblLocalite"/>
    <w:basedOn w:val="zSoquijlblGreffe"/>
    <w:rsid w:val="00E03816"/>
  </w:style>
  <w:style w:type="paragraph" w:customStyle="1" w:styleId="zSoquijdatLocalite">
    <w:name w:val="zSoquij_datLocalite"/>
    <w:basedOn w:val="zSoquijdatGreffe"/>
    <w:rsid w:val="00E03816"/>
  </w:style>
  <w:style w:type="character" w:styleId="Appelnotedebasdep">
    <w:name w:val="footnote reference"/>
    <w:uiPriority w:val="99"/>
    <w:semiHidden/>
    <w:unhideWhenUsed/>
    <w:rsid w:val="00E03816"/>
    <w:rPr>
      <w:noProof w:val="0"/>
      <w:vertAlign w:val="superscript"/>
      <w:lang w:val="fr-CA"/>
    </w:rPr>
  </w:style>
  <w:style w:type="table" w:styleId="Grilledutableau">
    <w:name w:val="Table Grid"/>
    <w:basedOn w:val="TableauNormal"/>
    <w:rsid w:val="00E03816"/>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1843"/>
    <w:pPr>
      <w:tabs>
        <w:tab w:val="center" w:pos="4320"/>
        <w:tab w:val="right" w:pos="8640"/>
      </w:tabs>
    </w:pPr>
  </w:style>
  <w:style w:type="character" w:customStyle="1" w:styleId="En-tteCar">
    <w:name w:val="En-tête Car"/>
    <w:basedOn w:val="Policepardfaut"/>
    <w:link w:val="En-tte"/>
    <w:uiPriority w:val="99"/>
    <w:rsid w:val="00F11843"/>
    <w:rPr>
      <w:rFonts w:ascii="Arial" w:eastAsia="Times New Roman" w:hAnsi="Arial" w:cs="Times New Roman"/>
      <w:sz w:val="24"/>
      <w:szCs w:val="20"/>
      <w:lang w:eastAsia="fr-FR"/>
    </w:rPr>
  </w:style>
  <w:style w:type="paragraph" w:styleId="Pieddepage">
    <w:name w:val="footer"/>
    <w:basedOn w:val="Normal"/>
    <w:link w:val="PieddepageCar"/>
    <w:uiPriority w:val="99"/>
    <w:unhideWhenUsed/>
    <w:rsid w:val="00F11843"/>
    <w:pPr>
      <w:tabs>
        <w:tab w:val="center" w:pos="4320"/>
        <w:tab w:val="right" w:pos="8640"/>
      </w:tabs>
    </w:pPr>
  </w:style>
  <w:style w:type="character" w:customStyle="1" w:styleId="PieddepageCar">
    <w:name w:val="Pied de page Car"/>
    <w:basedOn w:val="Policepardfaut"/>
    <w:link w:val="Pieddepage"/>
    <w:uiPriority w:val="99"/>
    <w:rsid w:val="00F11843"/>
    <w:rPr>
      <w:rFonts w:ascii="Arial" w:eastAsia="Times New Roman" w:hAnsi="Arial" w:cs="Times New Roman"/>
      <w:sz w:val="24"/>
      <w:szCs w:val="20"/>
      <w:lang w:eastAsia="fr-FR"/>
    </w:rPr>
  </w:style>
  <w:style w:type="paragraph" w:styleId="Textedebulles">
    <w:name w:val="Balloon Text"/>
    <w:basedOn w:val="Normal"/>
    <w:link w:val="TextedebullesCar"/>
    <w:uiPriority w:val="99"/>
    <w:semiHidden/>
    <w:unhideWhenUsed/>
    <w:rsid w:val="001B2930"/>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2930"/>
    <w:rPr>
      <w:rFonts w:ascii="Segoe UI" w:eastAsia="Times New Roman" w:hAnsi="Segoe UI" w:cs="Segoe UI"/>
      <w:sz w:val="18"/>
      <w:szCs w:val="18"/>
      <w:lang w:eastAsia="fr-FR"/>
    </w:rPr>
  </w:style>
  <w:style w:type="character" w:customStyle="1" w:styleId="sectionlabel">
    <w:name w:val="sectionlabel"/>
    <w:rsid w:val="00E66CB9"/>
  </w:style>
  <w:style w:type="character" w:customStyle="1" w:styleId="lawlabel">
    <w:name w:val="lawlabel"/>
    <w:rsid w:val="00E6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048F2-C4FD-4144-B96B-FCADBF12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3818</Words>
  <Characters>21003</Characters>
  <Application>Microsoft Office Word</Application>
  <DocSecurity>0</DocSecurity>
  <Lines>175</Lines>
  <Paragraphs>49</Paragraphs>
  <ScaleCrop>false</ScaleCrop>
  <Company/>
  <LinksUpToDate>false</LinksUpToDate>
  <CharactersWithSpaces>24772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2020-09-17T18:38:00Z</dcterms:created>
  <dcterms:modified xsi:type="dcterms:W3CDTF">2020-09-17T18:38:00Z</dcterms:modified>
</cp:coreProperties>
</file>