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19" w:type="dxa"/>
        <w:tblLayout w:type="fixed"/>
        <w:tblCellMar>
          <w:left w:w="70" w:type="dxa"/>
          <w:right w:w="70" w:type="dxa"/>
        </w:tblCellMar>
        <w:tblLook w:val="0000" w:firstRow="0" w:lastRow="0" w:firstColumn="0" w:lastColumn="0" w:noHBand="0" w:noVBand="0"/>
      </w:tblPr>
      <w:tblGrid>
        <w:gridCol w:w="1036"/>
        <w:gridCol w:w="69"/>
        <w:gridCol w:w="520"/>
        <w:gridCol w:w="42"/>
        <w:gridCol w:w="1533"/>
        <w:gridCol w:w="1840"/>
        <w:gridCol w:w="2059"/>
        <w:gridCol w:w="2420"/>
      </w:tblGrid>
      <w:tr w:rsidR="00E852CB" w:rsidTr="00F17414">
        <w:trPr>
          <w:trHeight w:val="360"/>
        </w:trPr>
        <w:tc>
          <w:tcPr>
            <w:tcW w:w="7099" w:type="dxa"/>
            <w:gridSpan w:val="7"/>
          </w:tcPr>
          <w:p w:rsidR="000B2721" w:rsidRPr="00000B73" w:rsidRDefault="00000B73" w:rsidP="00000B73">
            <w:pPr>
              <w:pStyle w:val="zSoquijdatRepertorie"/>
              <w:rPr>
                <w:rFonts w:cs="Arial"/>
              </w:rPr>
            </w:pPr>
            <w:bookmarkStart w:id="0" w:name="_GoBack"/>
            <w:bookmarkEnd w:id="0"/>
            <w:r>
              <w:rPr>
                <w:rFonts w:cs="Arial"/>
              </w:rPr>
              <w:t>R. c. Fortier</w:t>
            </w:r>
          </w:p>
        </w:tc>
        <w:tc>
          <w:tcPr>
            <w:tcW w:w="2420" w:type="dxa"/>
          </w:tcPr>
          <w:p w:rsidR="000B2721" w:rsidRPr="00022C8B" w:rsidRDefault="00022C8B" w:rsidP="00022C8B">
            <w:pPr>
              <w:pStyle w:val="zSoquijdatRefNeutre"/>
              <w:jc w:val="right"/>
              <w:rPr>
                <w:rFonts w:cs="Arial"/>
              </w:rPr>
            </w:pPr>
            <w:r w:rsidRPr="00022C8B">
              <w:rPr>
                <w:rFonts w:cs="Arial"/>
              </w:rPr>
              <w:t>2022 QCCQ 292</w:t>
            </w:r>
          </w:p>
        </w:tc>
      </w:tr>
      <w:tr w:rsidR="00E852CB" w:rsidTr="00F17414">
        <w:trPr>
          <w:trHeight w:val="900"/>
        </w:trPr>
        <w:tc>
          <w:tcPr>
            <w:tcW w:w="9519" w:type="dxa"/>
            <w:gridSpan w:val="8"/>
            <w:vAlign w:val="bottom"/>
          </w:tcPr>
          <w:p w:rsidR="000B2721" w:rsidRDefault="00ED6005">
            <w:pPr>
              <w:pStyle w:val="zSoquijlblCour"/>
            </w:pPr>
            <w:r>
              <w:t>COUR DU QUÉBEC</w:t>
            </w:r>
          </w:p>
        </w:tc>
      </w:tr>
      <w:tr w:rsidR="00E852CB" w:rsidTr="00F17414">
        <w:trPr>
          <w:trHeight w:val="540"/>
        </w:trPr>
        <w:tc>
          <w:tcPr>
            <w:tcW w:w="9519" w:type="dxa"/>
            <w:gridSpan w:val="8"/>
          </w:tcPr>
          <w:p w:rsidR="000B2721" w:rsidRDefault="000B2721">
            <w:pPr>
              <w:pStyle w:val="zSoquijdatDivision"/>
            </w:pPr>
          </w:p>
        </w:tc>
      </w:tr>
      <w:tr w:rsidR="00E852CB" w:rsidTr="00F17414">
        <w:tc>
          <w:tcPr>
            <w:tcW w:w="9519" w:type="dxa"/>
            <w:gridSpan w:val="8"/>
          </w:tcPr>
          <w:p w:rsidR="000B2721" w:rsidRDefault="00ED6005">
            <w:pPr>
              <w:pStyle w:val="zSoquijlblPays"/>
            </w:pPr>
            <w:r>
              <w:t>CANADA</w:t>
            </w:r>
          </w:p>
        </w:tc>
      </w:tr>
      <w:tr w:rsidR="00E852CB" w:rsidTr="00F17414">
        <w:tc>
          <w:tcPr>
            <w:tcW w:w="9519" w:type="dxa"/>
            <w:gridSpan w:val="8"/>
          </w:tcPr>
          <w:p w:rsidR="000B2721" w:rsidRDefault="00ED6005">
            <w:pPr>
              <w:pStyle w:val="zSoquijlblProvince"/>
            </w:pPr>
            <w:r>
              <w:t>PROVINCE DE QUÉBEC</w:t>
            </w:r>
          </w:p>
        </w:tc>
      </w:tr>
      <w:tr w:rsidR="00E852CB" w:rsidTr="00F17414">
        <w:tblPrEx>
          <w:tblCellMar>
            <w:left w:w="0" w:type="dxa"/>
            <w:right w:w="0" w:type="dxa"/>
          </w:tblCellMar>
        </w:tblPrEx>
        <w:trPr>
          <w:cantSplit/>
        </w:trPr>
        <w:tc>
          <w:tcPr>
            <w:tcW w:w="1625" w:type="dxa"/>
            <w:gridSpan w:val="3"/>
          </w:tcPr>
          <w:p w:rsidR="000B2721" w:rsidRDefault="00ED6005">
            <w:pPr>
              <w:pStyle w:val="zSoquijlblGreffe"/>
            </w:pPr>
            <w:r>
              <w:t>DISTRICT DE</w:t>
            </w:r>
          </w:p>
        </w:tc>
        <w:tc>
          <w:tcPr>
            <w:tcW w:w="7894" w:type="dxa"/>
            <w:gridSpan w:val="5"/>
          </w:tcPr>
          <w:p w:rsidR="000B2721" w:rsidRDefault="00ED6005">
            <w:pPr>
              <w:pStyle w:val="zSoquijdatGreffe"/>
            </w:pPr>
            <w:r>
              <w:t>SAINT-FRANÇOIS</w:t>
            </w:r>
          </w:p>
        </w:tc>
      </w:tr>
      <w:tr w:rsidR="00E852CB" w:rsidTr="00F17414">
        <w:tblPrEx>
          <w:tblCellMar>
            <w:left w:w="0" w:type="dxa"/>
            <w:right w:w="0" w:type="dxa"/>
          </w:tblCellMar>
        </w:tblPrEx>
        <w:trPr>
          <w:cantSplit/>
        </w:trPr>
        <w:tc>
          <w:tcPr>
            <w:tcW w:w="1667" w:type="dxa"/>
            <w:gridSpan w:val="4"/>
          </w:tcPr>
          <w:p w:rsidR="000B2721" w:rsidRDefault="00ED6005">
            <w:pPr>
              <w:pStyle w:val="zSoquijlblLocalite"/>
            </w:pPr>
            <w:r>
              <w:t>LOCALITÉ DE</w:t>
            </w:r>
          </w:p>
        </w:tc>
        <w:tc>
          <w:tcPr>
            <w:tcW w:w="7852" w:type="dxa"/>
            <w:gridSpan w:val="4"/>
          </w:tcPr>
          <w:p w:rsidR="000B2721" w:rsidRDefault="00ED6005">
            <w:pPr>
              <w:pStyle w:val="zSoquijdatLocalite"/>
            </w:pPr>
            <w:r>
              <w:t>SHERBROOKE</w:t>
            </w:r>
          </w:p>
        </w:tc>
      </w:tr>
      <w:tr w:rsidR="00E852CB" w:rsidTr="00F17414">
        <w:trPr>
          <w:trHeight w:val="540"/>
        </w:trPr>
        <w:tc>
          <w:tcPr>
            <w:tcW w:w="9519" w:type="dxa"/>
            <w:gridSpan w:val="8"/>
          </w:tcPr>
          <w:p w:rsidR="000B2721" w:rsidRDefault="00ED6005" w:rsidP="004A084B">
            <w:pPr>
              <w:pStyle w:val="zSoquijlblNomChambre"/>
            </w:pPr>
            <w:r>
              <w:rPr>
                <w:lang w:val="fr-FR"/>
              </w:rPr>
              <w:t>«</w:t>
            </w:r>
            <w:r w:rsidR="00456209">
              <w:rPr>
                <w:lang w:val="fr-FR"/>
              </w:rPr>
              <w:t> </w:t>
            </w:r>
            <w:r>
              <w:rPr>
                <w:lang w:val="fr-FR"/>
              </w:rPr>
              <w:t xml:space="preserve">Chambre </w:t>
            </w:r>
            <w:r w:rsidR="004A084B">
              <w:rPr>
                <w:lang w:val="fr-FR"/>
              </w:rPr>
              <w:t>criminelle</w:t>
            </w:r>
            <w:r w:rsidR="00016366">
              <w:rPr>
                <w:lang w:val="fr-FR"/>
              </w:rPr>
              <w:t xml:space="preserve"> et pénale</w:t>
            </w:r>
            <w:r w:rsidR="00456209">
              <w:rPr>
                <w:lang w:val="fr-FR"/>
              </w:rPr>
              <w:t> </w:t>
            </w:r>
            <w:r>
              <w:rPr>
                <w:lang w:val="fr-FR"/>
              </w:rPr>
              <w:t>»</w:t>
            </w:r>
          </w:p>
        </w:tc>
      </w:tr>
      <w:tr w:rsidR="00E852CB" w:rsidTr="00F17414">
        <w:tc>
          <w:tcPr>
            <w:tcW w:w="1105" w:type="dxa"/>
            <w:gridSpan w:val="2"/>
          </w:tcPr>
          <w:p w:rsidR="000B2721" w:rsidRDefault="00ED6005">
            <w:pPr>
              <w:pStyle w:val="zSoquijlblNoDossier"/>
            </w:pPr>
            <w:r>
              <w:t xml:space="preserve">N° : </w:t>
            </w:r>
          </w:p>
        </w:tc>
        <w:tc>
          <w:tcPr>
            <w:tcW w:w="8414" w:type="dxa"/>
            <w:gridSpan w:val="6"/>
          </w:tcPr>
          <w:p w:rsidR="000B2721" w:rsidRDefault="00ED6005" w:rsidP="00F17414">
            <w:pPr>
              <w:pStyle w:val="zSoquijdatNoDossier"/>
            </w:pPr>
            <w:r>
              <w:t>450-01-120350-207 (002)</w:t>
            </w:r>
          </w:p>
        </w:tc>
      </w:tr>
      <w:tr w:rsidR="00E852CB" w:rsidTr="00F17414">
        <w:trPr>
          <w:cantSplit/>
          <w:trHeight w:val="235"/>
        </w:trPr>
        <w:tc>
          <w:tcPr>
            <w:tcW w:w="9519" w:type="dxa"/>
            <w:gridSpan w:val="8"/>
          </w:tcPr>
          <w:p w:rsidR="000B2721" w:rsidRDefault="000B2721"/>
        </w:tc>
      </w:tr>
      <w:tr w:rsidR="00E852CB" w:rsidTr="00F17414">
        <w:tc>
          <w:tcPr>
            <w:tcW w:w="1036" w:type="dxa"/>
          </w:tcPr>
          <w:p w:rsidR="000B2721" w:rsidRDefault="00ED6005">
            <w:pPr>
              <w:pStyle w:val="zSoquijlblDateJugement"/>
            </w:pPr>
            <w:r>
              <w:t>DATE :</w:t>
            </w:r>
          </w:p>
        </w:tc>
        <w:tc>
          <w:tcPr>
            <w:tcW w:w="8483" w:type="dxa"/>
            <w:gridSpan w:val="7"/>
          </w:tcPr>
          <w:p w:rsidR="000B2721" w:rsidRDefault="00ED6005">
            <w:pPr>
              <w:pStyle w:val="zSoquijdatDateJugement"/>
            </w:pPr>
            <w:r>
              <w:t xml:space="preserve"> 28</w:t>
            </w:r>
            <w:r w:rsidR="005D669F">
              <w:t xml:space="preserve"> janvier 2022</w:t>
            </w:r>
          </w:p>
        </w:tc>
      </w:tr>
      <w:tr w:rsidR="00E852CB" w:rsidTr="00F17414">
        <w:tc>
          <w:tcPr>
            <w:tcW w:w="9519" w:type="dxa"/>
            <w:gridSpan w:val="8"/>
            <w:tcBorders>
              <w:bottom w:val="single" w:sz="12" w:space="0" w:color="auto"/>
            </w:tcBorders>
          </w:tcPr>
          <w:p w:rsidR="000B2721" w:rsidRDefault="000B2721">
            <w:pPr>
              <w:ind w:left="14" w:right="-67"/>
            </w:pPr>
          </w:p>
        </w:tc>
      </w:tr>
      <w:tr w:rsidR="00E852CB" w:rsidTr="00F17414">
        <w:tc>
          <w:tcPr>
            <w:tcW w:w="9519" w:type="dxa"/>
            <w:gridSpan w:val="8"/>
            <w:tcBorders>
              <w:top w:val="single" w:sz="12" w:space="0" w:color="auto"/>
            </w:tcBorders>
          </w:tcPr>
          <w:p w:rsidR="000B2721" w:rsidRDefault="000B2721"/>
        </w:tc>
      </w:tr>
      <w:tr w:rsidR="00E852CB" w:rsidTr="00F17414">
        <w:tblPrEx>
          <w:tblCellMar>
            <w:left w:w="0" w:type="dxa"/>
            <w:right w:w="0" w:type="dxa"/>
          </w:tblCellMar>
        </w:tblPrEx>
        <w:tc>
          <w:tcPr>
            <w:tcW w:w="3200" w:type="dxa"/>
            <w:gridSpan w:val="5"/>
          </w:tcPr>
          <w:p w:rsidR="000B2721" w:rsidRDefault="00ED6005">
            <w:pPr>
              <w:pStyle w:val="zSoquijlblJuge"/>
            </w:pPr>
            <w:r>
              <w:t>SOUS LA PRÉSIDENCE DE</w:t>
            </w:r>
          </w:p>
        </w:tc>
        <w:tc>
          <w:tcPr>
            <w:tcW w:w="1840" w:type="dxa"/>
          </w:tcPr>
          <w:p w:rsidR="000B2721" w:rsidRDefault="00ED6005">
            <w:pPr>
              <w:pStyle w:val="zSoquijdatQteJuge"/>
            </w:pPr>
            <w:r>
              <w:t>L’HONORABLE</w:t>
            </w:r>
          </w:p>
        </w:tc>
        <w:tc>
          <w:tcPr>
            <w:tcW w:w="4479" w:type="dxa"/>
            <w:gridSpan w:val="2"/>
          </w:tcPr>
          <w:p w:rsidR="000B2721" w:rsidRDefault="00ED6005" w:rsidP="00F17414">
            <w:pPr>
              <w:pStyle w:val="zSoquijdatJuge"/>
              <w:ind w:left="0"/>
            </w:pPr>
            <w:r>
              <w:t>DANIELLE CÔTÉ, J.C.Q.</w:t>
            </w:r>
          </w:p>
        </w:tc>
      </w:tr>
      <w:tr w:rsidR="00E852CB" w:rsidTr="00F17414">
        <w:tc>
          <w:tcPr>
            <w:tcW w:w="9519" w:type="dxa"/>
            <w:gridSpan w:val="8"/>
            <w:tcBorders>
              <w:bottom w:val="single" w:sz="12" w:space="0" w:color="auto"/>
            </w:tcBorders>
          </w:tcPr>
          <w:p w:rsidR="000B2721" w:rsidRDefault="000B2721">
            <w:pPr>
              <w:pStyle w:val="zSoquijlblAssesseurs"/>
            </w:pPr>
          </w:p>
        </w:tc>
      </w:tr>
      <w:tr w:rsidR="00E852CB" w:rsidTr="00F17414">
        <w:tc>
          <w:tcPr>
            <w:tcW w:w="9519" w:type="dxa"/>
            <w:gridSpan w:val="8"/>
            <w:tcBorders>
              <w:top w:val="single" w:sz="12" w:space="0" w:color="auto"/>
            </w:tcBorders>
          </w:tcPr>
          <w:p w:rsidR="000B2721" w:rsidRDefault="000B2721">
            <w:pPr>
              <w:pStyle w:val="zSoquijlblTitrePartie"/>
            </w:pPr>
          </w:p>
        </w:tc>
      </w:tr>
      <w:tr w:rsidR="00E852CB" w:rsidTr="00F17414">
        <w:tc>
          <w:tcPr>
            <w:tcW w:w="9519" w:type="dxa"/>
            <w:gridSpan w:val="8"/>
          </w:tcPr>
          <w:p w:rsidR="000B2721" w:rsidRDefault="000B2721"/>
        </w:tc>
      </w:tr>
      <w:tr w:rsidR="00E852CB" w:rsidTr="00F17414">
        <w:tc>
          <w:tcPr>
            <w:tcW w:w="9519" w:type="dxa"/>
            <w:gridSpan w:val="8"/>
          </w:tcPr>
          <w:p w:rsidR="004A084B" w:rsidRDefault="00ED6005" w:rsidP="004A084B">
            <w:pPr>
              <w:pStyle w:val="zSoquijdatNomPartieDem"/>
            </w:pPr>
            <w:r>
              <w:t>LA REINE</w:t>
            </w:r>
          </w:p>
          <w:p w:rsidR="004A084B" w:rsidRDefault="004A084B" w:rsidP="004A084B">
            <w:pPr>
              <w:pStyle w:val="zSoquijdatNomPartieDem"/>
            </w:pPr>
          </w:p>
        </w:tc>
      </w:tr>
      <w:tr w:rsidR="00E852CB" w:rsidTr="00F17414">
        <w:tc>
          <w:tcPr>
            <w:tcW w:w="9519" w:type="dxa"/>
            <w:gridSpan w:val="8"/>
          </w:tcPr>
          <w:p w:rsidR="000B2721" w:rsidRDefault="00ED6005" w:rsidP="00160FD7">
            <w:pPr>
              <w:pStyle w:val="zSoquijdatQtePartieDem"/>
              <w:ind w:left="2180"/>
            </w:pPr>
            <w:r>
              <w:t>P</w:t>
            </w:r>
            <w:r w:rsidR="00160FD7">
              <w:t>oursuivante</w:t>
            </w:r>
          </w:p>
        </w:tc>
      </w:tr>
      <w:tr w:rsidR="00E852CB" w:rsidTr="00F17414">
        <w:tc>
          <w:tcPr>
            <w:tcW w:w="9519" w:type="dxa"/>
            <w:gridSpan w:val="8"/>
          </w:tcPr>
          <w:p w:rsidR="000B2721" w:rsidRDefault="00ED6005">
            <w:pPr>
              <w:pStyle w:val="zSoquijlblLienParties"/>
            </w:pPr>
            <w:r>
              <w:t>c.</w:t>
            </w:r>
          </w:p>
          <w:p w:rsidR="004A084B" w:rsidRDefault="004A084B">
            <w:pPr>
              <w:pStyle w:val="zSoquijlblLienParties"/>
            </w:pPr>
          </w:p>
        </w:tc>
      </w:tr>
      <w:tr w:rsidR="00E852CB" w:rsidTr="00F17414">
        <w:tc>
          <w:tcPr>
            <w:tcW w:w="9519" w:type="dxa"/>
            <w:gridSpan w:val="8"/>
          </w:tcPr>
          <w:p w:rsidR="000B2721" w:rsidRDefault="00ED6005">
            <w:pPr>
              <w:pStyle w:val="zSoquijdatNomPartieDef"/>
            </w:pPr>
            <w:r>
              <w:t>KELLY FORTIER</w:t>
            </w:r>
          </w:p>
          <w:p w:rsidR="004A084B" w:rsidRDefault="004A084B">
            <w:pPr>
              <w:pStyle w:val="zSoquijdatNomPartieDef"/>
            </w:pPr>
          </w:p>
        </w:tc>
      </w:tr>
      <w:tr w:rsidR="00E852CB" w:rsidTr="00F17414">
        <w:tc>
          <w:tcPr>
            <w:tcW w:w="9519" w:type="dxa"/>
            <w:gridSpan w:val="8"/>
          </w:tcPr>
          <w:p w:rsidR="000B2721" w:rsidRDefault="00ED6005" w:rsidP="002E2D4A">
            <w:pPr>
              <w:pStyle w:val="zSoquijdatQtePartieDef"/>
              <w:ind w:left="2180"/>
            </w:pPr>
            <w:r>
              <w:t>Accusé</w:t>
            </w:r>
            <w:r w:rsidR="00C220B4">
              <w:t>e</w:t>
            </w:r>
          </w:p>
        </w:tc>
      </w:tr>
      <w:tr w:rsidR="00E852CB" w:rsidTr="00F17414">
        <w:tc>
          <w:tcPr>
            <w:tcW w:w="9519" w:type="dxa"/>
            <w:gridSpan w:val="8"/>
          </w:tcPr>
          <w:p w:rsidR="000B2721" w:rsidRDefault="000B2721">
            <w:pPr>
              <w:ind w:left="14" w:right="-95"/>
            </w:pPr>
          </w:p>
        </w:tc>
      </w:tr>
      <w:tr w:rsidR="00E852CB" w:rsidTr="00F17414">
        <w:tc>
          <w:tcPr>
            <w:tcW w:w="9519" w:type="dxa"/>
            <w:gridSpan w:val="8"/>
            <w:tcBorders>
              <w:bottom w:val="single" w:sz="12" w:space="0" w:color="auto"/>
            </w:tcBorders>
          </w:tcPr>
          <w:p w:rsidR="000B2721" w:rsidRDefault="000B2721">
            <w:pPr>
              <w:ind w:left="14" w:right="-95"/>
            </w:pPr>
          </w:p>
        </w:tc>
      </w:tr>
      <w:tr w:rsidR="00E852CB" w:rsidTr="00F17414">
        <w:tc>
          <w:tcPr>
            <w:tcW w:w="9519" w:type="dxa"/>
            <w:gridSpan w:val="8"/>
            <w:tcBorders>
              <w:top w:val="single" w:sz="12" w:space="0" w:color="auto"/>
            </w:tcBorders>
          </w:tcPr>
          <w:p w:rsidR="000B2721" w:rsidRDefault="000B2721">
            <w:pPr>
              <w:jc w:val="center"/>
            </w:pPr>
          </w:p>
        </w:tc>
      </w:tr>
      <w:tr w:rsidR="00E852CB" w:rsidTr="00F17414">
        <w:tc>
          <w:tcPr>
            <w:tcW w:w="9519" w:type="dxa"/>
            <w:gridSpan w:val="8"/>
          </w:tcPr>
          <w:p w:rsidR="000B2721" w:rsidRPr="00FC3001" w:rsidRDefault="00ED6005" w:rsidP="00403940">
            <w:pPr>
              <w:pStyle w:val="zSoquijlblTypeDocument"/>
              <w:rPr>
                <w:b/>
              </w:rPr>
            </w:pPr>
            <w:r w:rsidRPr="00FC3001">
              <w:rPr>
                <w:b/>
              </w:rPr>
              <w:t>JUGEMENT</w:t>
            </w:r>
            <w:r w:rsidR="001115C8">
              <w:rPr>
                <w:b/>
              </w:rPr>
              <w:t xml:space="preserve"> SUR LA PEINE</w:t>
            </w:r>
          </w:p>
        </w:tc>
      </w:tr>
      <w:tr w:rsidR="00E852CB" w:rsidTr="00F17414">
        <w:tc>
          <w:tcPr>
            <w:tcW w:w="9519" w:type="dxa"/>
            <w:gridSpan w:val="8"/>
            <w:tcBorders>
              <w:bottom w:val="single" w:sz="12" w:space="0" w:color="auto"/>
            </w:tcBorders>
          </w:tcPr>
          <w:p w:rsidR="000B2721" w:rsidRDefault="000B2721">
            <w:pPr>
              <w:ind w:left="14" w:right="-70"/>
            </w:pPr>
          </w:p>
        </w:tc>
      </w:tr>
      <w:tr w:rsidR="00E852CB" w:rsidTr="00F17414">
        <w:tc>
          <w:tcPr>
            <w:tcW w:w="9519" w:type="dxa"/>
            <w:gridSpan w:val="8"/>
            <w:tcBorders>
              <w:top w:val="single" w:sz="12" w:space="0" w:color="auto"/>
            </w:tcBorders>
          </w:tcPr>
          <w:p w:rsidR="000B2721" w:rsidRDefault="000B2721"/>
        </w:tc>
      </w:tr>
    </w:tbl>
    <w:p w:rsidR="00EB15C6" w:rsidRDefault="00ED6005" w:rsidP="007216E2">
      <w:pPr>
        <w:pStyle w:val="Paragraphe"/>
        <w:spacing w:before="240"/>
      </w:pPr>
      <w:r>
        <w:t>L’accusé</w:t>
      </w:r>
      <w:r w:rsidR="00B348DC">
        <w:t>e</w:t>
      </w:r>
      <w:r>
        <w:t xml:space="preserve"> doit recevoir </w:t>
      </w:r>
      <w:r w:rsidR="00BA6BC8">
        <w:t>sa peine</w:t>
      </w:r>
      <w:r w:rsidR="00A36950">
        <w:t xml:space="preserve"> à la suite de son plaidoyer d</w:t>
      </w:r>
      <w:r w:rsidR="00B348DC">
        <w:t xml:space="preserve">e culpabilité à des accusations de trafic de stupéfiants et de possession dans le but </w:t>
      </w:r>
      <w:r w:rsidR="000E61E8" w:rsidRPr="00963B63">
        <w:t>d’en faire le trafic.</w:t>
      </w:r>
      <w:r w:rsidR="000E61E8">
        <w:t xml:space="preserve"> </w:t>
      </w:r>
    </w:p>
    <w:p w:rsidR="008F5F35" w:rsidRDefault="00ED6005" w:rsidP="006254E7">
      <w:pPr>
        <w:pStyle w:val="ParagAlaMarge"/>
      </w:pPr>
      <w:r>
        <w:t>LA GRAVITÉ OBJECTIVE</w:t>
      </w:r>
    </w:p>
    <w:p w:rsidR="00F33E1E" w:rsidRDefault="00ED6005" w:rsidP="00F33E1E">
      <w:pPr>
        <w:pStyle w:val="Paragraphe"/>
      </w:pPr>
      <w:r>
        <w:t>Les infractions auxquelles l’accusée a plaidé coupable sont passibles de l’emprisonnement à perpétuité, la peine la plus sévère prévue par le législateur.</w:t>
      </w:r>
    </w:p>
    <w:p w:rsidR="008F5F35" w:rsidRDefault="00ED6005" w:rsidP="00104181">
      <w:pPr>
        <w:pStyle w:val="ParagAlaMarge"/>
      </w:pPr>
      <w:r>
        <w:t>LE CONTEXTE</w:t>
      </w:r>
    </w:p>
    <w:p w:rsidR="00441EAB" w:rsidRDefault="00ED6005" w:rsidP="00AC771C">
      <w:pPr>
        <w:pStyle w:val="Paragraphe"/>
      </w:pPr>
      <w:r>
        <w:t>Les accusations font suite à l’opération Glace visant le démantèlement d’un réseau de stupéfiants.</w:t>
      </w:r>
    </w:p>
    <w:p w:rsidR="00441EAB" w:rsidRDefault="00ED6005" w:rsidP="004A6A9D">
      <w:pPr>
        <w:pStyle w:val="Paragraphe"/>
      </w:pPr>
      <w:r>
        <w:t>Le 8 décembre 2020, un agent d’infiltration passe une commande pour un achat de stupéfiants.  L’accusé</w:t>
      </w:r>
      <w:r w:rsidR="00C220B4">
        <w:t>e</w:t>
      </w:r>
      <w:r>
        <w:t xml:space="preserve"> arrive au lieu de </w:t>
      </w:r>
      <w:r w:rsidR="00C220B4">
        <w:t>rendez-vous</w:t>
      </w:r>
      <w:r>
        <w:t>, elle est passagère dans sa voiture qui est conduite par Jérémie Vallée Paquette</w:t>
      </w:r>
      <w:r w:rsidR="00416163">
        <w:t>, son conjoint</w:t>
      </w:r>
      <w:r>
        <w:t>. Un autre individu, Jessy Poulin Thompson est passager arrière.</w:t>
      </w:r>
    </w:p>
    <w:p w:rsidR="0022708B" w:rsidRDefault="00ED6005" w:rsidP="004A6A9D">
      <w:pPr>
        <w:pStyle w:val="Paragraphe"/>
      </w:pPr>
      <w:r>
        <w:t>Dès que Jérémie Vallée Paquette sort de l’automobile pour effectuer le trafic, les policiers procèdent immédiatement à leur arrestation.</w:t>
      </w:r>
      <w:r w:rsidR="00C220B4">
        <w:t xml:space="preserve"> </w:t>
      </w:r>
      <w:r>
        <w:t xml:space="preserve"> Dans la sacoche de l’accusée</w:t>
      </w:r>
      <w:r w:rsidR="0085793C">
        <w:t>,</w:t>
      </w:r>
      <w:r>
        <w:t xml:space="preserve"> on trouve 83 sachets de crack pour un total de 16.25 grammes et 15 sachets de </w:t>
      </w:r>
      <w:r w:rsidR="00C220B4">
        <w:t>cocaïne</w:t>
      </w:r>
      <w:r>
        <w:t xml:space="preserve"> pour un total de 3.95 grammes.</w:t>
      </w:r>
    </w:p>
    <w:p w:rsidR="0022708B" w:rsidRDefault="00ED6005" w:rsidP="004A6A9D">
      <w:pPr>
        <w:pStyle w:val="Paragraphe"/>
      </w:pPr>
      <w:r>
        <w:t>Au moment de son arrestation</w:t>
      </w:r>
      <w:r w:rsidR="0085793C">
        <w:t>,</w:t>
      </w:r>
      <w:r>
        <w:t xml:space="preserve"> elle m</w:t>
      </w:r>
      <w:r w:rsidR="00963B63">
        <w:t>entionne aux policiers avoir</w:t>
      </w:r>
      <w:r>
        <w:t xml:space="preserve"> commencé à trafiquer depuis deux jours parce qu’elle a des problèmes d’argent.</w:t>
      </w:r>
    </w:p>
    <w:p w:rsidR="00416163" w:rsidRDefault="00ED6005" w:rsidP="00416163">
      <w:pPr>
        <w:pStyle w:val="Paragraphe"/>
      </w:pPr>
      <w:r>
        <w:t xml:space="preserve">Jessy Poulin Thompson affirme plutôt que </w:t>
      </w:r>
      <w:r w:rsidR="0028358D">
        <w:t>le couple trafique depuis trois</w:t>
      </w:r>
      <w:r>
        <w:t xml:space="preserve"> semaines.  </w:t>
      </w:r>
    </w:p>
    <w:p w:rsidR="00020BD3" w:rsidRDefault="00ED6005" w:rsidP="00020BD3">
      <w:pPr>
        <w:pStyle w:val="ParagAlaMarge"/>
      </w:pPr>
      <w:r>
        <w:t>LA SITUATION DE L’ACCUSÉ</w:t>
      </w:r>
      <w:r w:rsidR="00C220B4">
        <w:t>E</w:t>
      </w:r>
    </w:p>
    <w:p w:rsidR="00C124B1" w:rsidRDefault="00ED6005" w:rsidP="004A6A9D">
      <w:pPr>
        <w:pStyle w:val="Paragraphe"/>
      </w:pPr>
      <w:r>
        <w:t>L’accusé</w:t>
      </w:r>
      <w:r w:rsidR="00C220B4">
        <w:t>e</w:t>
      </w:r>
      <w:r>
        <w:t xml:space="preserve"> est âgé</w:t>
      </w:r>
      <w:r w:rsidR="00D00204">
        <w:t>e de 26 ans et mère d’un enfant de 18 mois dont elle a actuellement la garde d</w:t>
      </w:r>
      <w:r w:rsidR="0028358D">
        <w:t xml:space="preserve">eux fins de semaine sur trois, </w:t>
      </w:r>
      <w:r w:rsidR="00D00204">
        <w:t>ma</w:t>
      </w:r>
      <w:r w:rsidR="00963B63">
        <w:t xml:space="preserve">is est </w:t>
      </w:r>
      <w:r w:rsidR="000E61E8">
        <w:t>en démarche</w:t>
      </w:r>
      <w:r w:rsidR="00D00204">
        <w:t xml:space="preserve"> afin d’obtenir une garde partagée.  Dans le cadre de ces </w:t>
      </w:r>
      <w:r w:rsidR="00963B63">
        <w:t>procédures</w:t>
      </w:r>
      <w:r w:rsidR="0085793C">
        <w:t>,</w:t>
      </w:r>
      <w:r w:rsidR="00D00204">
        <w:t xml:space="preserve"> elle subit des tests d’urine afin de prouver qu’elle ne consomme pas de stupéfiants.</w:t>
      </w:r>
    </w:p>
    <w:p w:rsidR="00E661A2" w:rsidRDefault="00ED6005" w:rsidP="004A6A9D">
      <w:pPr>
        <w:pStyle w:val="Paragraphe"/>
      </w:pPr>
      <w:r>
        <w:t>Elle a un fils dont</w:t>
      </w:r>
      <w:r w:rsidR="00631D40">
        <w:t xml:space="preserve"> elle n’a pas la garde </w:t>
      </w:r>
      <w:r>
        <w:t>et pour lequel elle paie une pension alimentaire.</w:t>
      </w:r>
    </w:p>
    <w:p w:rsidR="00D00204" w:rsidRDefault="00ED6005" w:rsidP="004A6A9D">
      <w:pPr>
        <w:pStyle w:val="Paragraphe"/>
      </w:pPr>
      <w:r>
        <w:t>Dès l’âge de 18 ans</w:t>
      </w:r>
      <w:r w:rsidR="0085793C">
        <w:t>,</w:t>
      </w:r>
      <w:r>
        <w:t xml:space="preserve"> elle travaille dans les bars.  Elle a toutefois quitté cet environnement et travaille pour une entreprise de construction </w:t>
      </w:r>
      <w:r w:rsidR="00963B63">
        <w:t xml:space="preserve">depuis le 8 février 2020, </w:t>
      </w:r>
      <w:r>
        <w:t>où elle reçoit un salaire de 550</w:t>
      </w:r>
      <w:r w:rsidR="00C220B4">
        <w:t xml:space="preserve"> </w:t>
      </w:r>
      <w:r>
        <w:t>$ net par semaine.</w:t>
      </w:r>
      <w:r w:rsidR="00E22B49">
        <w:t xml:space="preserve">  Elle songe à compléter un cours en menuiserie afin de se donner plus d’options.</w:t>
      </w:r>
    </w:p>
    <w:p w:rsidR="00D00204" w:rsidRDefault="00ED6005" w:rsidP="004A6A9D">
      <w:pPr>
        <w:pStyle w:val="Paragraphe"/>
      </w:pPr>
      <w:r>
        <w:t>Elle a un antécédent judic</w:t>
      </w:r>
      <w:r w:rsidR="00E661A2">
        <w:t>iaire</w:t>
      </w:r>
      <w:r>
        <w:t xml:space="preserve"> de voies de fait causant des lésions corporelles, alors qu’elle était âgée de 19 an</w:t>
      </w:r>
      <w:r w:rsidR="00631D40">
        <w:t>s, crime pour lequel elle a bénéficié</w:t>
      </w:r>
      <w:r>
        <w:t xml:space="preserve"> </w:t>
      </w:r>
      <w:r w:rsidR="00631D40">
        <w:t>d’</w:t>
      </w:r>
      <w:r>
        <w:t xml:space="preserve">une sentence suspendue accompagnée de l’obligation d’effectuer 75 </w:t>
      </w:r>
      <w:r w:rsidR="00E661A2">
        <w:t>heures de service communautaire</w:t>
      </w:r>
      <w:r w:rsidR="00963B63">
        <w:t xml:space="preserve"> qui a été effectué</w:t>
      </w:r>
      <w:r w:rsidR="00E661A2">
        <w:t xml:space="preserve"> à la satisfaction de l’organisme. </w:t>
      </w:r>
      <w:r>
        <w:t xml:space="preserve"> Elle a aussi reçu une amende de 100</w:t>
      </w:r>
      <w:r w:rsidR="0028358D">
        <w:t xml:space="preserve"> </w:t>
      </w:r>
      <w:r>
        <w:t>$ pour un bris d’engagement commis en 2015.</w:t>
      </w:r>
    </w:p>
    <w:p w:rsidR="00E661A2" w:rsidRDefault="00ED6005" w:rsidP="004A6A9D">
      <w:pPr>
        <w:pStyle w:val="Paragraphe"/>
      </w:pPr>
      <w:r>
        <w:t>Témoignant à l’audience sur la détermination de la peine, l’accusée mentionne avoir accompagné son conjoint la veille pour la première fois et le lendemain, le jour même de l’arrestation.</w:t>
      </w:r>
      <w:r w:rsidR="00E22B49">
        <w:t xml:space="preserve"> C’est d’ailleurs ce qu’elle dit aux policiers au moment de son arrestation.</w:t>
      </w:r>
    </w:p>
    <w:p w:rsidR="00E22B49" w:rsidRDefault="00ED6005" w:rsidP="004A6A9D">
      <w:pPr>
        <w:pStyle w:val="Paragraphe"/>
      </w:pPr>
      <w:r>
        <w:t>Toutefois, elle nie avoir fait le trafic à des fins de lucre et explique avoir donné cette raison aux policiers</w:t>
      </w:r>
      <w:r w:rsidR="0085793C">
        <w:t>,</w:t>
      </w:r>
      <w:r>
        <w:t xml:space="preserve"> </w:t>
      </w:r>
      <w:r w:rsidR="00963B63">
        <w:t>car c’est la première chose qui</w:t>
      </w:r>
      <w:r w:rsidR="0028358D">
        <w:t xml:space="preserve"> </w:t>
      </w:r>
      <w:r w:rsidR="00790109">
        <w:t xml:space="preserve">lui </w:t>
      </w:r>
      <w:r w:rsidRPr="00963B63">
        <w:t>vient</w:t>
      </w:r>
      <w:r>
        <w:t xml:space="preserve"> à l’esprit. Elle affirme être à l’aise financièrement, offrant même de faire un don de 1 000 $ à un organisme communautaire.</w:t>
      </w:r>
    </w:p>
    <w:p w:rsidR="0061149B" w:rsidRDefault="00ED6005" w:rsidP="004A6A9D">
      <w:pPr>
        <w:pStyle w:val="Paragraphe"/>
      </w:pPr>
      <w:r>
        <w:t>Quant aux quantités trouvées dans son sac</w:t>
      </w:r>
      <w:r w:rsidR="0085793C">
        <w:t>,</w:t>
      </w:r>
      <w:r>
        <w:t xml:space="preserve"> elle mentionne qu’elles appartiennent à </w:t>
      </w:r>
      <w:r w:rsidR="0028358D" w:rsidRPr="00963B63">
        <w:t>son conjoint</w:t>
      </w:r>
      <w:r w:rsidR="00963B63">
        <w:t xml:space="preserve"> </w:t>
      </w:r>
      <w:r w:rsidRPr="00963B63">
        <w:t>qui</w:t>
      </w:r>
      <w:r w:rsidR="00436B47">
        <w:t xml:space="preserve"> les mettait dans s</w:t>
      </w:r>
      <w:r>
        <w:t>a sacoche parce qu’il ne voulait pas avoir une telle quantité sur lui.  Elle nie avoir retiré quelque bénéfice de son implication.</w:t>
      </w:r>
    </w:p>
    <w:p w:rsidR="00020BD3" w:rsidRPr="00C61E62" w:rsidRDefault="00ED6005" w:rsidP="00C64361">
      <w:pPr>
        <w:pStyle w:val="ParagAlaMarge"/>
      </w:pPr>
      <w:r>
        <w:t xml:space="preserve">LE RAPPORT PRÉSENTENCIEL </w:t>
      </w:r>
    </w:p>
    <w:p w:rsidR="002C53A9" w:rsidRDefault="00ED6005" w:rsidP="004A6A9D">
      <w:pPr>
        <w:pStyle w:val="Paragraphe"/>
      </w:pPr>
      <w:r>
        <w:t>Le rapport présentenciel est mi-figue mi-raisin.  En effet, l’agente de probation constate que l’accusée n’est pas transparente eu égard aux circonstances des infractions et à son implication dans le trafic.</w:t>
      </w:r>
    </w:p>
    <w:p w:rsidR="00E22B49" w:rsidRDefault="00ED6005" w:rsidP="004A6A9D">
      <w:pPr>
        <w:pStyle w:val="Paragraphe"/>
      </w:pPr>
      <w:r>
        <w:t>Tenant compte de plusieurs informations concernant la situation financière de l’accusée, l’agente de probation la confronte et lui dit qu’elle ne cro</w:t>
      </w:r>
      <w:r w:rsidR="00D71A50">
        <w:t>it pas son explication justifiant son implication dans le trafic de stupéfiants en</w:t>
      </w:r>
      <w:r w:rsidR="00752C34">
        <w:t xml:space="preserve"> raison de problèmes financiers. L</w:t>
      </w:r>
      <w:r w:rsidR="00D71A50">
        <w:t>’accusée lui répond alors que c’était pour faire plaisir à son conjoint.</w:t>
      </w:r>
    </w:p>
    <w:p w:rsidR="00D71A50" w:rsidRDefault="00ED6005" w:rsidP="004A6A9D">
      <w:pPr>
        <w:pStyle w:val="Paragraphe"/>
      </w:pPr>
      <w:r>
        <w:t>L’agente de probation n’est pas dupe</w:t>
      </w:r>
      <w:r w:rsidR="0085793C">
        <w:t>,</w:t>
      </w:r>
      <w:r>
        <w:t xml:space="preserve"> mais conclut que les restrictions mentales de l’accusé</w:t>
      </w:r>
      <w:r w:rsidR="0028358D">
        <w:t>e,</w:t>
      </w:r>
      <w:r>
        <w:t xml:space="preserve"> en relation avec ses agirs délictuels</w:t>
      </w:r>
      <w:r w:rsidR="0028358D">
        <w:t>,</w:t>
      </w:r>
      <w:r>
        <w:t xml:space="preserve"> sont probablement le résultat d’une crainte de représailles.  D’ailleurs, lorsque cette derni</w:t>
      </w:r>
      <w:r w:rsidR="0028358D">
        <w:t xml:space="preserve">ère lui mentionne </w:t>
      </w:r>
      <w:r>
        <w:t xml:space="preserve">qu’elle croit qu’elle protège certaines personnes </w:t>
      </w:r>
      <w:r w:rsidR="0028358D" w:rsidRPr="00963B63">
        <w:t>car elle</w:t>
      </w:r>
      <w:r w:rsidR="0028358D">
        <w:t xml:space="preserve"> </w:t>
      </w:r>
      <w:r>
        <w:t>craint pour sa sécurité, l’accusée fond en larmes.</w:t>
      </w:r>
    </w:p>
    <w:p w:rsidR="00D71A50" w:rsidRDefault="00ED6005" w:rsidP="004A6A9D">
      <w:pPr>
        <w:pStyle w:val="Paragraphe"/>
      </w:pPr>
      <w:r>
        <w:t>Malgré tout, en ce qui concerne les autres aspects de l’évaluation, elle est d’avis que l’accusé</w:t>
      </w:r>
      <w:r w:rsidR="00C220B4">
        <w:t>e</w:t>
      </w:r>
      <w:r>
        <w:t xml:space="preserve"> est honnête et fait preuve de transparence.  Elle constate que la remise en question est présente et son dé</w:t>
      </w:r>
      <w:r w:rsidR="00963B63">
        <w:t>sir de se reprendre en mains</w:t>
      </w:r>
      <w:r w:rsidR="00436B47">
        <w:t>,</w:t>
      </w:r>
      <w:r w:rsidR="0028358D">
        <w:t xml:space="preserve"> </w:t>
      </w:r>
      <w:r>
        <w:t>sincère.</w:t>
      </w:r>
    </w:p>
    <w:p w:rsidR="00D71A50" w:rsidRDefault="00ED6005" w:rsidP="004A6A9D">
      <w:pPr>
        <w:pStyle w:val="Paragraphe"/>
      </w:pPr>
      <w:r>
        <w:t>À l’été 2020, elle se sépare du père de son enfant, mettant ainsi fin à une relation conjugale dysfonctionnelle</w:t>
      </w:r>
      <w:r w:rsidR="000D3DFE">
        <w:t xml:space="preserve"> pour retomber rapidement dans une autre relation malsaine.  Seule, isolée et vulnérable, elle accepte de participer aux agissements criminels de son conjoint sans se soucier des conséquences.</w:t>
      </w:r>
    </w:p>
    <w:p w:rsidR="00923DB0" w:rsidRDefault="00ED6005" w:rsidP="004A6A9D">
      <w:pPr>
        <w:pStyle w:val="Paragraphe"/>
      </w:pPr>
      <w:r>
        <w:t>Elle bénéficie d’un réseau social fonction</w:t>
      </w:r>
      <w:r w:rsidR="00752C34">
        <w:t xml:space="preserve">nel et en mesure de la soutenir. </w:t>
      </w:r>
      <w:r>
        <w:t xml:space="preserve"> </w:t>
      </w:r>
      <w:r w:rsidR="00752C34">
        <w:t xml:space="preserve">Elle </w:t>
      </w:r>
      <w:r>
        <w:t>a fait le tri de ses fréquentions négatives et le processus judiciaire a eu un effet dissuasif.</w:t>
      </w:r>
    </w:p>
    <w:p w:rsidR="00923DB0" w:rsidRDefault="00ED6005" w:rsidP="004A6A9D">
      <w:pPr>
        <w:pStyle w:val="Paragraphe"/>
      </w:pPr>
      <w:r>
        <w:t>En raison de ce qui pr</w:t>
      </w:r>
      <w:r w:rsidR="00B3553B">
        <w:t xml:space="preserve">écède, </w:t>
      </w:r>
      <w:r>
        <w:t>l’agente de probation conclut :</w:t>
      </w:r>
    </w:p>
    <w:p w:rsidR="00923DB0" w:rsidRDefault="00ED6005" w:rsidP="00C220B4">
      <w:pPr>
        <w:pStyle w:val="Citationenretrait"/>
      </w:pPr>
      <w:r>
        <w:t>[…] Sa mobilisation depuis l’agir délictuel nous porte à croire que la motivation à poursuivre sa réinsertion sociale est réelle et sincère.  La contrevenante est ouverte à un suivi thérapeutique et elle reconnaît ses problématiques.  Toutefois, la précitée est encore vulnérable et elle pourrait à nouveau se positionner dans des situations qui pourraient entraîner une récidive délictuelle.  Néanmoins, nous croyons que les chances qu’elle commette un nouveau crime seraient grandement amoindries si elle s’investissait dans un programme structuré et qu’elle le complétait avec succès.</w:t>
      </w:r>
      <w:r w:rsidR="00C40F30">
        <w:t> </w:t>
      </w:r>
    </w:p>
    <w:p w:rsidR="008F5F35" w:rsidRDefault="00ED6005" w:rsidP="008F5F35">
      <w:pPr>
        <w:pStyle w:val="ParagAlaMarge"/>
      </w:pPr>
      <w:r>
        <w:t>LA POSITION DES PARTIES</w:t>
      </w:r>
    </w:p>
    <w:p w:rsidR="004517D1" w:rsidRDefault="00ED6005" w:rsidP="002E2D4A">
      <w:pPr>
        <w:pStyle w:val="Paragraphe"/>
      </w:pPr>
      <w:r>
        <w:t>Compte tenu du jeune âge de l’accusé</w:t>
      </w:r>
      <w:r w:rsidR="00875A35">
        <w:t>e</w:t>
      </w:r>
      <w:r>
        <w:t>, de l’état de fragilité et de vulnérabilité dans lequel elle était au moment de la commission des infractions, du rôle mineur qu’elle y joue</w:t>
      </w:r>
      <w:r w:rsidR="00875A35">
        <w:t>,</w:t>
      </w:r>
      <w:r>
        <w:t xml:space="preserve"> n’étant impliquée que la veille et la journée de l’arrestation, de s</w:t>
      </w:r>
      <w:r w:rsidR="00D8759F">
        <w:t>es remords sincères et de sa repr</w:t>
      </w:r>
      <w:r>
        <w:t xml:space="preserve">ise en mains, la défense suggère une sentence suspendue avec l’obligation d’effectuer 240 heures de service communautaire, et ce, à titre d’alternative à une </w:t>
      </w:r>
      <w:r w:rsidR="00C220B4">
        <w:t>c</w:t>
      </w:r>
      <w:r>
        <w:t>ourte période d’emprisonnement.</w:t>
      </w:r>
    </w:p>
    <w:p w:rsidR="008B2442" w:rsidRDefault="00ED6005" w:rsidP="002E2D4A">
      <w:pPr>
        <w:pStyle w:val="Paragraphe"/>
      </w:pPr>
      <w:r>
        <w:t xml:space="preserve"> Compte tenu de la nature des drogues saisies et de leur quantité, du profil de l’accusé</w:t>
      </w:r>
      <w:r w:rsidR="00C220B4">
        <w:t>e</w:t>
      </w:r>
      <w:r>
        <w:t xml:space="preserve"> et de</w:t>
      </w:r>
      <w:r w:rsidR="00C220B4">
        <w:t xml:space="preserve"> son</w:t>
      </w:r>
      <w:r>
        <w:t xml:space="preserve"> manque de transparence eu égard à ses agi</w:t>
      </w:r>
      <w:r w:rsidR="00C220B4">
        <w:t xml:space="preserve">rs délictuels, </w:t>
      </w:r>
      <w:r>
        <w:t>la Couronne affirme que l’emprisonnement s’impose.</w:t>
      </w:r>
    </w:p>
    <w:p w:rsidR="004517D1" w:rsidRDefault="00ED6005" w:rsidP="002E2D4A">
      <w:pPr>
        <w:pStyle w:val="Paragraphe"/>
      </w:pPr>
      <w:r>
        <w:t xml:space="preserve">Dans la mesure où le Tribunal accepte la version de l’accusée, ce que la Couronne ne fait pas, elle suggère </w:t>
      </w:r>
      <w:r w:rsidR="00FD5814">
        <w:t>une peine d’emprisonnement de six</w:t>
      </w:r>
      <w:r w:rsidR="00963B63">
        <w:t xml:space="preserve"> mois.</w:t>
      </w:r>
    </w:p>
    <w:p w:rsidR="00B63945" w:rsidRDefault="00ED6005" w:rsidP="00B63945">
      <w:pPr>
        <w:pStyle w:val="ParagAlaMarge"/>
      </w:pPr>
      <w:r>
        <w:t>LES OBJECTIFS ET PRINCIPES APPLICABLES À LA DÉTERMINATION DE LA PEINE</w:t>
      </w:r>
    </w:p>
    <w:p w:rsidR="00B63945" w:rsidRPr="003974AB" w:rsidRDefault="00ED6005" w:rsidP="00B13DF5">
      <w:pPr>
        <w:pStyle w:val="Paragraphe"/>
      </w:pPr>
      <w:r>
        <w:t xml:space="preserve">L’article 10 de la </w:t>
      </w:r>
      <w:r w:rsidRPr="00C220B4">
        <w:rPr>
          <w:i/>
          <w:iCs/>
        </w:rPr>
        <w:t>Loi réglementant certaines drogues et autres substances</w:t>
      </w:r>
      <w:r>
        <w:rPr>
          <w:rStyle w:val="Appelnotedebasdep"/>
          <w:i/>
          <w:iCs/>
        </w:rPr>
        <w:footnoteReference w:id="1"/>
      </w:r>
      <w:r>
        <w:t xml:space="preserve"> précise que le prononcé de la peine </w:t>
      </w:r>
      <w:r w:rsidRPr="009B29FD">
        <w:t>« </w:t>
      </w:r>
      <w:r w:rsidRPr="00526230">
        <w:rPr>
          <w:i/>
        </w:rPr>
        <w:t>a pour objectif essentiel de contribuer au respect de la loi et au maintien d’une société juste, paisible et sûre tout en favorisant la réinsertion sociale des délinquants et, dans les cas indiqués, leur traitement et en reconnaissant les torts causés aux victimes et à la collectivité</w:t>
      </w:r>
      <w:r w:rsidRPr="009B29FD">
        <w:t> »</w:t>
      </w:r>
      <w:r w:rsidRPr="009B29FD">
        <w:rPr>
          <w:iCs/>
        </w:rPr>
        <w:t>.</w:t>
      </w:r>
    </w:p>
    <w:p w:rsidR="00B63945" w:rsidRPr="003B689F" w:rsidRDefault="00ED6005" w:rsidP="00B13DF5">
      <w:pPr>
        <w:pStyle w:val="Paragraphe"/>
        <w:rPr>
          <w:i/>
        </w:rPr>
      </w:pPr>
      <w:r>
        <w:t xml:space="preserve">L’article précise qu’il ne restreint pas la portée générale des objectifs et principes énoncés au </w:t>
      </w:r>
      <w:r w:rsidRPr="00C220B4">
        <w:rPr>
          <w:i/>
        </w:rPr>
        <w:t>Code criminel</w:t>
      </w:r>
      <w:r>
        <w:t>. Quels sont-ils</w:t>
      </w:r>
      <w:r w:rsidR="00456209">
        <w:t> </w:t>
      </w:r>
      <w:r>
        <w:t>?</w:t>
      </w:r>
    </w:p>
    <w:p w:rsidR="003B689F" w:rsidRPr="003B689F" w:rsidRDefault="00ED6005" w:rsidP="003B689F">
      <w:pPr>
        <w:pStyle w:val="Paragraphe"/>
        <w:rPr>
          <w:i/>
        </w:rPr>
      </w:pPr>
      <w:r>
        <w:t>Outre ceux mentionnés précédemment, l’objectif essentiel</w:t>
      </w:r>
      <w:r w:rsidRPr="008875F8">
        <w:t xml:space="preserve"> de l’imposition d’une peine est de</w:t>
      </w:r>
      <w:r>
        <w:t xml:space="preserve"> </w:t>
      </w:r>
      <w:r w:rsidRPr="008875F8">
        <w:t>protéger la société et de contribuer à la prévention d</w:t>
      </w:r>
      <w:r>
        <w:t>u crime</w:t>
      </w:r>
      <w:r>
        <w:rPr>
          <w:vertAlign w:val="superscript"/>
        </w:rPr>
        <w:footnoteReference w:id="2"/>
      </w:r>
      <w:r w:rsidRPr="008875F8">
        <w:t>.</w:t>
      </w:r>
    </w:p>
    <w:p w:rsidR="00B63945" w:rsidRPr="008875F8" w:rsidRDefault="00ED6005" w:rsidP="00B13DF5">
      <w:pPr>
        <w:pStyle w:val="Paragraphe"/>
        <w:rPr>
          <w:i/>
        </w:rPr>
      </w:pPr>
      <w:r w:rsidRPr="008875F8">
        <w:t>Ce but est atteint par l’infliction de sanctions justes qui peuvent viser un ou plusieurs des</w:t>
      </w:r>
      <w:r>
        <w:t xml:space="preserve"> </w:t>
      </w:r>
      <w:r w:rsidRPr="008875F8">
        <w:t>objectifs suivants :</w:t>
      </w:r>
      <w:r>
        <w:t xml:space="preserve"> </w:t>
      </w:r>
      <w:r w:rsidRPr="008875F8">
        <w:t>«</w:t>
      </w:r>
      <w:r>
        <w:t> </w:t>
      </w:r>
      <w:r w:rsidRPr="008875F8">
        <w:rPr>
          <w:i/>
        </w:rPr>
        <w:t>dénonciation, dissuasion générale et spécifique, neutralisation,</w:t>
      </w:r>
      <w:r>
        <w:rPr>
          <w:i/>
        </w:rPr>
        <w:t xml:space="preserve"> </w:t>
      </w:r>
      <w:r w:rsidRPr="008875F8">
        <w:rPr>
          <w:i/>
        </w:rPr>
        <w:t>réinsertion, réparation et prise de responsabilité</w:t>
      </w:r>
      <w:r w:rsidR="00963B63">
        <w:rPr>
          <w:i/>
        </w:rPr>
        <w:t> »</w:t>
      </w:r>
      <w:r>
        <w:rPr>
          <w:vertAlign w:val="superscript"/>
        </w:rPr>
        <w:footnoteReference w:id="3"/>
      </w:r>
      <w:r>
        <w:rPr>
          <w:iCs/>
        </w:rPr>
        <w:t>.</w:t>
      </w:r>
      <w:r w:rsidR="00963B63">
        <w:rPr>
          <w:iCs/>
        </w:rPr>
        <w:t> </w:t>
      </w:r>
    </w:p>
    <w:p w:rsidR="00B63945" w:rsidRPr="008875F8" w:rsidRDefault="00ED6005" w:rsidP="00B13DF5">
      <w:pPr>
        <w:pStyle w:val="Paragraphe"/>
      </w:pPr>
      <w:r w:rsidRPr="008875F8">
        <w:t xml:space="preserve">Plusieurs principes doivent </w:t>
      </w:r>
      <w:r w:rsidRPr="00B13DF5">
        <w:t>guider</w:t>
      </w:r>
      <w:r w:rsidRPr="008875F8">
        <w:t xml:space="preserve"> le Tribunal dans l’atteinte de ces objectifs</w:t>
      </w:r>
      <w:r>
        <w:t xml:space="preserve">, </w:t>
      </w:r>
      <w:r w:rsidRPr="008875F8">
        <w:t>mais le principe fondamental demeure que la peine doit être proportionnelle à la gravité de l’infraction et au degré</w:t>
      </w:r>
      <w:r>
        <w:t xml:space="preserve"> </w:t>
      </w:r>
      <w:r w:rsidRPr="008875F8">
        <w:t>de responsabilité du délinquant</w:t>
      </w:r>
      <w:r>
        <w:rPr>
          <w:vertAlign w:val="superscript"/>
        </w:rPr>
        <w:footnoteReference w:id="4"/>
      </w:r>
      <w:r>
        <w:t>.</w:t>
      </w:r>
      <w:r w:rsidRPr="008875F8">
        <w:t xml:space="preserve"> En d’autres mots,</w:t>
      </w:r>
      <w:r>
        <w:t xml:space="preserve"> </w:t>
      </w:r>
      <w:r w:rsidRPr="008875F8">
        <w:t>la peine ne doit pas excéder</w:t>
      </w:r>
      <w:r>
        <w:t xml:space="preserve"> </w:t>
      </w:r>
      <w:r w:rsidRPr="008875F8">
        <w:t>ce qui est juste et approprié compte tenu de la culpabilité morale du délinquant.</w:t>
      </w:r>
    </w:p>
    <w:p w:rsidR="00B63945" w:rsidRPr="00B13DF5" w:rsidRDefault="00ED6005" w:rsidP="00B13DF5">
      <w:pPr>
        <w:pStyle w:val="Paragraphe"/>
      </w:pPr>
      <w:r w:rsidRPr="00B13DF5">
        <w:t>La peine doit tenir compte des circonstances aggravantes ou atténuantes liées à la perpétration de l’infraction ou à la situation du délinquant.</w:t>
      </w:r>
    </w:p>
    <w:p w:rsidR="00B63945" w:rsidRPr="00B13DF5" w:rsidRDefault="00ED6005" w:rsidP="00B13DF5">
      <w:pPr>
        <w:pStyle w:val="Paragraphe"/>
      </w:pPr>
      <w:r w:rsidRPr="00B13DF5">
        <w:t>Cette peine doit être semblable à celles infligées pour des infractions semblables commises dans des circonstances semblables (principe de l’harmonisation des peines) et la peine globale ne doit pas être excessive</w:t>
      </w:r>
      <w:r>
        <w:rPr>
          <w:rStyle w:val="Appelnotedebasdep"/>
        </w:rPr>
        <w:footnoteReference w:id="5"/>
      </w:r>
      <w:r w:rsidRPr="00B13DF5">
        <w:t>.</w:t>
      </w:r>
    </w:p>
    <w:p w:rsidR="00B63945" w:rsidRDefault="00ED6005" w:rsidP="00B13DF5">
      <w:pPr>
        <w:pStyle w:val="Paragraphe"/>
      </w:pPr>
      <w:r w:rsidRPr="00B13DF5">
        <w:t>Par ailleurs, le Tribunal doit, avant d’envisager la privation de liberté, examiner la possibilité de sanctions moins contraignantes</w:t>
      </w:r>
      <w:r>
        <w:t xml:space="preserve"> lorsque les circonstances le justifient</w:t>
      </w:r>
      <w:r>
        <w:rPr>
          <w:rStyle w:val="Appelnotedebasdep"/>
        </w:rPr>
        <w:footnoteReference w:id="6"/>
      </w:r>
      <w:r>
        <w:t>.</w:t>
      </w:r>
    </w:p>
    <w:p w:rsidR="00B63945" w:rsidRDefault="00ED6005" w:rsidP="00B63945">
      <w:pPr>
        <w:pStyle w:val="ParagAlaMarge"/>
      </w:pPr>
      <w:r>
        <w:t>LA JURISPRUDENCE</w:t>
      </w:r>
    </w:p>
    <w:p w:rsidR="001C2079" w:rsidRPr="00B13DF5" w:rsidRDefault="00ED6005" w:rsidP="001C2079">
      <w:pPr>
        <w:pStyle w:val="Paragraphe"/>
      </w:pPr>
      <w:r w:rsidRPr="00B13DF5">
        <w:t>La jurisprudence est constante : les critères de dénonciation et de dissuasion doivent primer en matière de drogues dures comme la cocaïne</w:t>
      </w:r>
      <w:r>
        <w:t xml:space="preserve"> et le crack</w:t>
      </w:r>
      <w:r>
        <w:rPr>
          <w:rStyle w:val="Appelnotedebasdep"/>
        </w:rPr>
        <w:footnoteReference w:id="7"/>
      </w:r>
      <w:r w:rsidRPr="00B13DF5">
        <w:t>.</w:t>
      </w:r>
    </w:p>
    <w:p w:rsidR="001C2079" w:rsidRPr="00B13DF5" w:rsidRDefault="00ED6005" w:rsidP="001C2079">
      <w:pPr>
        <w:pStyle w:val="Paragraphe"/>
      </w:pPr>
      <w:r>
        <w:t>C’est pourquoi l</w:t>
      </w:r>
      <w:r w:rsidRPr="00B13DF5">
        <w:t xml:space="preserve">es peines imposées en matière de trafic de drogues dures varient entre </w:t>
      </w:r>
      <w:r>
        <w:t>quelques mois d’emprisonnement et</w:t>
      </w:r>
      <w:r w:rsidRPr="00B13DF5">
        <w:t xml:space="preserve"> quatre ans de pénitencier</w:t>
      </w:r>
      <w:r>
        <w:rPr>
          <w:rStyle w:val="Appelnotedebasdep"/>
        </w:rPr>
        <w:footnoteReference w:id="8"/>
      </w:r>
      <w:r>
        <w:t>.</w:t>
      </w:r>
    </w:p>
    <w:p w:rsidR="001C2079" w:rsidRDefault="00ED6005" w:rsidP="001C2079">
      <w:pPr>
        <w:pStyle w:val="Paragraphe"/>
      </w:pPr>
      <w:r w:rsidRPr="00B13DF5">
        <w:t>Il importe toutefois de rappeler que les fourchettes établies par la jurisprudence sont des guides qui ne lient pas le Tribunal</w:t>
      </w:r>
      <w:r>
        <w:rPr>
          <w:vertAlign w:val="superscript"/>
        </w:rPr>
        <w:footnoteReference w:id="9"/>
      </w:r>
      <w:r w:rsidRPr="008C080C">
        <w:t xml:space="preserve"> dans le choix de la peine juste et adéquate, et ce, en raison, entre autres, des principes d’individualisation de la peine et de proportionnalité. </w:t>
      </w:r>
    </w:p>
    <w:p w:rsidR="001C2079" w:rsidRDefault="00ED6005" w:rsidP="001C2079">
      <w:pPr>
        <w:pStyle w:val="Paragraphe"/>
      </w:pPr>
      <w:r>
        <w:t>C’est d’ailleurs en s’appuyant sur ce principe d’individualisation de la peine que les tribunaux imposent parfois des peines moins sévè</w:t>
      </w:r>
      <w:r w:rsidR="00FD5814">
        <w:t xml:space="preserve">res lorsque la réhabilitation d’un </w:t>
      </w:r>
      <w:r>
        <w:t>accus</w:t>
      </w:r>
      <w:r w:rsidR="00DA5EE6">
        <w:t>é permet de croire que la protection de la société sera ainsi mieux assurée.</w:t>
      </w:r>
    </w:p>
    <w:p w:rsidR="001C2079" w:rsidRDefault="00ED6005" w:rsidP="001C2079">
      <w:pPr>
        <w:pStyle w:val="Paragraphe"/>
      </w:pPr>
      <w:r>
        <w:t xml:space="preserve">Encore récemment dans </w:t>
      </w:r>
      <w:r w:rsidRPr="005F5E52">
        <w:rPr>
          <w:i/>
        </w:rPr>
        <w:t>R</w:t>
      </w:r>
      <w:r w:rsidRPr="005347B4">
        <w:t>.</w:t>
      </w:r>
      <w:r>
        <w:t xml:space="preserve"> c. </w:t>
      </w:r>
      <w:r w:rsidRPr="005F5E52">
        <w:rPr>
          <w:i/>
        </w:rPr>
        <w:t>Préfontaine</w:t>
      </w:r>
      <w:r>
        <w:rPr>
          <w:rStyle w:val="Appelnotedebasdep"/>
        </w:rPr>
        <w:footnoteReference w:id="10"/>
      </w:r>
      <w:r>
        <w:t>,  la Cour d’appel du Québec rappelait ce principe : «</w:t>
      </w:r>
      <w:r w:rsidR="005F5E52">
        <w:t xml:space="preserve"> </w:t>
      </w:r>
      <w:r w:rsidRPr="001C2079">
        <w:rPr>
          <w:i/>
        </w:rPr>
        <w:t>La réhabilitation est une valeur importante dans notre société et il est légitime que cette importance se reflète dans la peine imposée au contrevenant qui démontre qu’il a choisi d’emprunter cette voie</w:t>
      </w:r>
      <w:r w:rsidR="00963B63">
        <w:rPr>
          <w:i/>
        </w:rPr>
        <w:t> »</w:t>
      </w:r>
      <w:r>
        <w:t>.</w:t>
      </w:r>
      <w:r w:rsidR="00963B63">
        <w:t> </w:t>
      </w:r>
    </w:p>
    <w:p w:rsidR="001C2079" w:rsidRDefault="00ED6005" w:rsidP="001C2079">
      <w:pPr>
        <w:pStyle w:val="Paragraphe"/>
      </w:pPr>
      <w:r>
        <w:t xml:space="preserve">Dans </w:t>
      </w:r>
      <w:r w:rsidRPr="004B0D91">
        <w:rPr>
          <w:i/>
        </w:rPr>
        <w:t>Lacasse</w:t>
      </w:r>
      <w:r>
        <w:rPr>
          <w:rStyle w:val="Appelnotedebasdep"/>
        </w:rPr>
        <w:footnoteReference w:id="11"/>
      </w:r>
      <w:r w:rsidR="005F5E52">
        <w:t xml:space="preserve">, </w:t>
      </w:r>
      <w:r w:rsidR="00E41458">
        <w:t xml:space="preserve">la Cour suprême du Canada </w:t>
      </w:r>
      <w:r>
        <w:t>reconnaît le rôle important de la réi</w:t>
      </w:r>
      <w:r w:rsidR="005F5E52">
        <w:t xml:space="preserve">nsertion sociale et précise que </w:t>
      </w:r>
      <w:r w:rsidRPr="00403D4F">
        <w:t>« </w:t>
      </w:r>
      <w:r w:rsidRPr="001C2079">
        <w:rPr>
          <w:i/>
        </w:rPr>
        <w:t>cet objectif fait partie des valeurs morales fondamentales qui distinguent la société canadienne de nombreuses autres nations du monde et il guide les tribunaux dans la recherche d’une peine juste et appropriée</w:t>
      </w:r>
      <w:r w:rsidR="00E5211E">
        <w:rPr>
          <w:i/>
        </w:rPr>
        <w:t> »</w:t>
      </w:r>
      <w:r>
        <w:t>.</w:t>
      </w:r>
      <w:r w:rsidR="00E5211E">
        <w:t> </w:t>
      </w:r>
    </w:p>
    <w:p w:rsidR="00D51C2A" w:rsidRPr="00D51C2A" w:rsidRDefault="00ED6005" w:rsidP="00260A4D">
      <w:pPr>
        <w:pStyle w:val="ParagAlaMarge"/>
      </w:pPr>
      <w:r w:rsidRPr="00D51C2A">
        <w:t>ANALYSE</w:t>
      </w:r>
    </w:p>
    <w:p w:rsidR="00FB1FF4" w:rsidRDefault="00ED6005" w:rsidP="004A6A9D">
      <w:pPr>
        <w:pStyle w:val="Paragraphe"/>
      </w:pPr>
      <w:r>
        <w:t>D’entrée de jeu</w:t>
      </w:r>
      <w:r w:rsidR="00FD5814">
        <w:t>,</w:t>
      </w:r>
      <w:r>
        <w:t xml:space="preserve"> il y a lieu de préciser que la seule preuve devant le Tribunal quant à la nature de l’implication de l’accusée est son témoignage et les verbalisations faites à l’agent de probation.</w:t>
      </w:r>
    </w:p>
    <w:p w:rsidR="00D14D01" w:rsidRDefault="00ED6005" w:rsidP="004A6A9D">
      <w:pPr>
        <w:pStyle w:val="Paragraphe"/>
      </w:pPr>
      <w:r>
        <w:t>En effet, après avoir entendu l’accusée à cet égard, la Couronne a demandé le report des observations sur la peine afin de lui permettre d’assigner Jessy Poulin Thom</w:t>
      </w:r>
      <w:r w:rsidR="00D8759F">
        <w:t>p</w:t>
      </w:r>
      <w:r>
        <w:t>son, le complice qui affirme aux policiers que l’accusée et son conjoint s’adonnent au trafic de stupéfiants depuis au moins trois semaines.</w:t>
      </w:r>
    </w:p>
    <w:p w:rsidR="00D14D01" w:rsidRDefault="00ED6005" w:rsidP="004A6A9D">
      <w:pPr>
        <w:pStyle w:val="Paragraphe"/>
      </w:pPr>
      <w:r>
        <w:t xml:space="preserve">À la date prévue pour son témoignage, la Couronne informe le Tribunal qu’il ne témoignera pas.  </w:t>
      </w:r>
      <w:r w:rsidR="004B0D91">
        <w:t>Serait-ce</w:t>
      </w:r>
      <w:r>
        <w:t xml:space="preserve"> parce que, comme l’accusée, il a peur des représailles?  Le Tribunal ne le sait pas</w:t>
      </w:r>
      <w:r w:rsidR="0085793C">
        <w:t>,</w:t>
      </w:r>
      <w:r>
        <w:t xml:space="preserve"> mais, chose certaine, ce facteur aggravant invoqué par la Couronne n’est pas en preuve.</w:t>
      </w:r>
    </w:p>
    <w:p w:rsidR="0033185F" w:rsidRDefault="00ED6005" w:rsidP="004A6A9D">
      <w:pPr>
        <w:pStyle w:val="Paragraphe"/>
      </w:pPr>
      <w:r>
        <w:t>Après avoir entendu l’accusée lors de l’audience sur la détermination de la peine et tenant compte des commentaires de l’agente de probation, l</w:t>
      </w:r>
      <w:r w:rsidR="00D8759F">
        <w:t xml:space="preserve">e Tribunal est convaincu que son </w:t>
      </w:r>
      <w:r>
        <w:t>man</w:t>
      </w:r>
      <w:r w:rsidR="00D8759F">
        <w:t xml:space="preserve">que de transparence </w:t>
      </w:r>
      <w:r>
        <w:t xml:space="preserve">eu égard à la commission des infractions </w:t>
      </w:r>
      <w:r w:rsidR="009C3D5F">
        <w:t xml:space="preserve">peut </w:t>
      </w:r>
      <w:r>
        <w:t>s’</w:t>
      </w:r>
      <w:r w:rsidR="009C3D5F">
        <w:t>explique</w:t>
      </w:r>
      <w:r w:rsidR="009B09E0">
        <w:t>r</w:t>
      </w:r>
      <w:r w:rsidR="009C3D5F">
        <w:t xml:space="preserve"> par la crainte.</w:t>
      </w:r>
    </w:p>
    <w:p w:rsidR="00B76F39" w:rsidRDefault="00ED6005" w:rsidP="00B76F39">
      <w:pPr>
        <w:pStyle w:val="Paragraphe"/>
      </w:pPr>
      <w:r>
        <w:t>Quelle est donc la peine juste et appropriée susceptible de dissuader et de dénoncer tout en n’occultant pas les autres objectifs de détermination de la peine?</w:t>
      </w:r>
    </w:p>
    <w:p w:rsidR="00124A57" w:rsidRDefault="00ED6005" w:rsidP="004A6A9D">
      <w:pPr>
        <w:pStyle w:val="Paragraphe"/>
      </w:pPr>
      <w:r>
        <w:t>Considérant qu’en dépit de cette situation, l’agente de probation constate que la motivation de l’accusé</w:t>
      </w:r>
      <w:r w:rsidR="009B09E0">
        <w:t>e</w:t>
      </w:r>
      <w:r>
        <w:t xml:space="preserve"> à poursuivre sa réinsertion sociale est réelle et sincère et qu’elle bénéficie d’un réseau social en mesure de la soutenir dans ce processus.</w:t>
      </w:r>
    </w:p>
    <w:p w:rsidR="009C3D5F" w:rsidRDefault="00ED6005" w:rsidP="004A6A9D">
      <w:pPr>
        <w:pStyle w:val="Paragraphe"/>
      </w:pPr>
      <w:r>
        <w:t>Considérant que le passage à l’acte s’inscrit dans une période où, après avoir réussi à mettre fin à une relation conjugale dysfonctionnelle, l’accusée est retombée dans une relation malsaine.</w:t>
      </w:r>
    </w:p>
    <w:p w:rsidR="009C3D5F" w:rsidRDefault="00ED6005" w:rsidP="004A6A9D">
      <w:pPr>
        <w:pStyle w:val="Paragraphe"/>
      </w:pPr>
      <w:r>
        <w:t>Considérant que l’accusée a fait le tri dans ses fréquentations</w:t>
      </w:r>
      <w:r w:rsidR="00434AA6">
        <w:t>, s’est éloigné</w:t>
      </w:r>
      <w:r w:rsidR="0085793C">
        <w:t>e</w:t>
      </w:r>
      <w:r w:rsidR="00434AA6">
        <w:t xml:space="preserve"> des gens qui pourraie</w:t>
      </w:r>
      <w:r w:rsidR="009B09E0">
        <w:t>nt avoir une influence négative</w:t>
      </w:r>
      <w:r>
        <w:t xml:space="preserve"> et </w:t>
      </w:r>
      <w:r w:rsidR="00434AA6">
        <w:t>a changé</w:t>
      </w:r>
      <w:r>
        <w:t xml:space="preserve"> son mode de vie</w:t>
      </w:r>
      <w:r w:rsidR="009B09E0">
        <w:t>.</w:t>
      </w:r>
    </w:p>
    <w:p w:rsidR="009C3D5F" w:rsidRDefault="00ED6005" w:rsidP="004A6A9D">
      <w:pPr>
        <w:pStyle w:val="Paragraphe"/>
      </w:pPr>
      <w:r>
        <w:t>Considérant que l’accusé</w:t>
      </w:r>
      <w:r w:rsidR="00434AA6">
        <w:t>e</w:t>
      </w:r>
      <w:r>
        <w:t xml:space="preserve"> a un emploi stable et qu’elle a la garde de son enfant de 15 mois deux fins de semaine sur trois.</w:t>
      </w:r>
    </w:p>
    <w:p w:rsidR="009C3D5F" w:rsidRDefault="00ED6005" w:rsidP="004A6A9D">
      <w:pPr>
        <w:pStyle w:val="Paragraphe"/>
      </w:pPr>
      <w:r>
        <w:t xml:space="preserve">Considérant que son antécédent judiciaire de voies de fait causant des lésions corporelles remonte à 2015, alors qu’elle </w:t>
      </w:r>
      <w:r w:rsidRPr="00E400DB">
        <w:t>est</w:t>
      </w:r>
      <w:r w:rsidR="00E400DB">
        <w:t xml:space="preserve"> âgée de 19 ans et</w:t>
      </w:r>
      <w:r w:rsidR="001B14A5">
        <w:t xml:space="preserve"> </w:t>
      </w:r>
      <w:r w:rsidR="00E400DB">
        <w:t>t</w:t>
      </w:r>
      <w:r w:rsidRPr="00E400DB">
        <w:t xml:space="preserve">ravaille </w:t>
      </w:r>
      <w:r>
        <w:t>dans les bars.</w:t>
      </w:r>
    </w:p>
    <w:p w:rsidR="009C3D5F" w:rsidRDefault="00ED6005" w:rsidP="004A6A9D">
      <w:pPr>
        <w:pStyle w:val="Paragraphe"/>
      </w:pPr>
      <w:r>
        <w:t>Considérant son jeune âge et le plaidoyer de culpabilité.</w:t>
      </w:r>
    </w:p>
    <w:p w:rsidR="00434AA6" w:rsidRDefault="00ED6005" w:rsidP="004A6A9D">
      <w:pPr>
        <w:pStyle w:val="Paragraphe"/>
      </w:pPr>
      <w:r>
        <w:t>Considérant par ailleurs sa fragilité et son ouverture à participer à un programme pour</w:t>
      </w:r>
      <w:r w:rsidR="009B09E0">
        <w:t xml:space="preserve"> « </w:t>
      </w:r>
      <w:r w:rsidRPr="00434AA6">
        <w:rPr>
          <w:i/>
        </w:rPr>
        <w:t>l’aider dans ses relations interpersonnelles et augmenter son estime d’elle-même</w:t>
      </w:r>
      <w:r w:rsidR="00E400DB">
        <w:rPr>
          <w:i/>
        </w:rPr>
        <w:t> »</w:t>
      </w:r>
      <w:r>
        <w:rPr>
          <w:rStyle w:val="Appelnotedebasdep"/>
        </w:rPr>
        <w:footnoteReference w:id="12"/>
      </w:r>
      <w:r w:rsidR="00E400DB">
        <w:rPr>
          <w:i/>
        </w:rPr>
        <w:t>. </w:t>
      </w:r>
    </w:p>
    <w:p w:rsidR="00434AA6" w:rsidRDefault="00ED6005" w:rsidP="00434AA6">
      <w:pPr>
        <w:pStyle w:val="Paragraphe"/>
      </w:pPr>
      <w:r>
        <w:t xml:space="preserve">Considérant que, selon l’agente de probation, cet encadrement favoriserait sa </w:t>
      </w:r>
      <w:r w:rsidR="00B76F39">
        <w:t>réhabilitation.</w:t>
      </w:r>
    </w:p>
    <w:p w:rsidR="0033185F" w:rsidRDefault="00ED6005" w:rsidP="00B76F39">
      <w:pPr>
        <w:pStyle w:val="Paragraphe"/>
      </w:pPr>
      <w:r>
        <w:t>Considérant qu’en raison du</w:t>
      </w:r>
      <w:r w:rsidR="003336F7">
        <w:rPr>
          <w:lang w:val="fr-FR"/>
        </w:rPr>
        <w:t xml:space="preserve"> </w:t>
      </w:r>
      <w:r w:rsidR="00DA5EE6">
        <w:rPr>
          <w:lang w:val="fr-FR"/>
        </w:rPr>
        <w:t>principe d’</w:t>
      </w:r>
      <w:r w:rsidR="003336F7" w:rsidRPr="00D5440E">
        <w:rPr>
          <w:lang w:val="fr-FR"/>
        </w:rPr>
        <w:t>individualisation de la peine, la jurisprudence reconnaît que</w:t>
      </w:r>
      <w:r w:rsidR="003336F7">
        <w:rPr>
          <w:color w:val="000000"/>
          <w:sz w:val="14"/>
          <w:szCs w:val="14"/>
        </w:rPr>
        <w:t xml:space="preserve"> </w:t>
      </w:r>
      <w:r w:rsidR="003336F7" w:rsidRPr="00DA5EE6">
        <w:rPr>
          <w:rFonts w:cs="Arial"/>
          <w:i/>
          <w:color w:val="000000"/>
        </w:rPr>
        <w:t>« même lorsque les objectifs de dissuasion et de dénonciation sont sollicités, l</w:t>
      </w:r>
      <w:r w:rsidR="003336F7" w:rsidRPr="00DA5EE6">
        <w:rPr>
          <w:i/>
          <w:lang w:val="fr-FR"/>
        </w:rPr>
        <w:t>’exercice de la détermination ne doit pas amener le juge à ignorer les autres objectifs : seul l’équilibre mène à une peine juste</w:t>
      </w:r>
      <w:r w:rsidR="00E400DB">
        <w:rPr>
          <w:i/>
          <w:lang w:val="fr-FR"/>
        </w:rPr>
        <w:t> »</w:t>
      </w:r>
      <w:r>
        <w:rPr>
          <w:rStyle w:val="Appelnotedebasdep"/>
        </w:rPr>
        <w:footnoteReference w:id="13"/>
      </w:r>
      <w:r w:rsidR="003336F7">
        <w:t>.</w:t>
      </w:r>
      <w:r w:rsidR="00E400DB">
        <w:t> </w:t>
      </w:r>
      <w:r w:rsidR="003336F7">
        <w:t xml:space="preserve"> </w:t>
      </w:r>
    </w:p>
    <w:p w:rsidR="003336F7" w:rsidRDefault="00ED6005" w:rsidP="003336F7">
      <w:pPr>
        <w:pStyle w:val="Paragraphe"/>
      </w:pPr>
      <w:r>
        <w:t>Considérant le principe de modération avant d’envisager la privation d</w:t>
      </w:r>
      <w:r w:rsidR="00E65AE5">
        <w:t>e liberté</w:t>
      </w:r>
      <w:r>
        <w:rPr>
          <w:rStyle w:val="Appelnotedebasdep"/>
        </w:rPr>
        <w:footnoteReference w:id="14"/>
      </w:r>
      <w:r w:rsidR="00E65AE5">
        <w:t>.</w:t>
      </w:r>
    </w:p>
    <w:p w:rsidR="003336F7" w:rsidRDefault="00ED6005" w:rsidP="003336F7">
      <w:pPr>
        <w:pStyle w:val="Paragraphe"/>
      </w:pPr>
      <w:r>
        <w:t xml:space="preserve">Considérant que </w:t>
      </w:r>
      <w:r w:rsidRPr="00B15794">
        <w:t>la jurisprudence reconnaît que les objectifs de dénonciation et de dissuasion ne requièrent p</w:t>
      </w:r>
      <w:r w:rsidRPr="00535838">
        <w:t>a</w:t>
      </w:r>
      <w:r w:rsidRPr="00B15794">
        <w:t>s nécessairement une peine d’emprisonnement</w:t>
      </w:r>
      <w:r>
        <w:rPr>
          <w:rStyle w:val="Appelnotedebasdep"/>
        </w:rPr>
        <w:footnoteReference w:id="15"/>
      </w:r>
      <w:r w:rsidRPr="00B15794">
        <w:t xml:space="preserve">. </w:t>
      </w:r>
    </w:p>
    <w:p w:rsidR="003336F7" w:rsidRDefault="00ED6005" w:rsidP="003336F7">
      <w:pPr>
        <w:pStyle w:val="Paragraphe"/>
      </w:pPr>
      <w:r w:rsidRPr="004E3892">
        <w:t xml:space="preserve">Considérant que </w:t>
      </w:r>
      <w:r>
        <w:t>la jurisprudence reconnaît que l’obl</w:t>
      </w:r>
      <w:r w:rsidR="00E65AE5">
        <w:t>igation d’effectuer du service communautaire</w:t>
      </w:r>
      <w:r>
        <w:t xml:space="preserve"> peut remplacer une courte peine d’emprisonnement</w:t>
      </w:r>
      <w:r>
        <w:rPr>
          <w:rStyle w:val="Appelnotedebasdep"/>
        </w:rPr>
        <w:footnoteReference w:id="16"/>
      </w:r>
      <w:r w:rsidR="004B0D91">
        <w:t>.</w:t>
      </w:r>
    </w:p>
    <w:p w:rsidR="003336F7" w:rsidRPr="00434AA6" w:rsidRDefault="00ED6005" w:rsidP="003336F7">
      <w:pPr>
        <w:pStyle w:val="Paragraphe"/>
        <w:rPr>
          <w:i/>
        </w:rPr>
      </w:pPr>
      <w:r>
        <w:t xml:space="preserve">Considérant que  l’ordonnance de probation </w:t>
      </w:r>
      <w:r w:rsidRPr="003E75D9">
        <w:t>«</w:t>
      </w:r>
      <w:r w:rsidRPr="003E75D9">
        <w:rPr>
          <w:lang w:val="fr-FR"/>
        </w:rPr>
        <w:t> </w:t>
      </w:r>
      <w:r w:rsidRPr="00434AA6">
        <w:rPr>
          <w:i/>
          <w:lang w:val="fr-FR"/>
        </w:rPr>
        <w:t>permet d’exercer un contrôle plus serré sur l’accusé [et] confère une marge de manœuvre importante aux tribunaux en leur permettant de favoriser la réadaptation du délinquant tout en répondant à des objectifs de</w:t>
      </w:r>
      <w:r w:rsidR="007A5B2E">
        <w:rPr>
          <w:i/>
          <w:lang w:val="fr-FR"/>
        </w:rPr>
        <w:t xml:space="preserve"> dénonciation et de dissuasion</w:t>
      </w:r>
      <w:r w:rsidR="00E65AE5">
        <w:rPr>
          <w:i/>
          <w:lang w:val="fr-FR"/>
        </w:rPr>
        <w:t> »</w:t>
      </w:r>
      <w:r>
        <w:rPr>
          <w:rStyle w:val="Appelnotedebasdep"/>
          <w:i/>
        </w:rPr>
        <w:footnoteReference w:id="17"/>
      </w:r>
      <w:r w:rsidRPr="00434AA6">
        <w:rPr>
          <w:i/>
          <w:lang w:val="fr-FR"/>
        </w:rPr>
        <w:t>.</w:t>
      </w:r>
      <w:r w:rsidR="00E65AE5">
        <w:rPr>
          <w:i/>
          <w:lang w:val="fr-FR"/>
        </w:rPr>
        <w:t> </w:t>
      </w:r>
    </w:p>
    <w:p w:rsidR="003336F7" w:rsidRDefault="00ED6005" w:rsidP="003336F7">
      <w:pPr>
        <w:pStyle w:val="Paragraphe"/>
      </w:pPr>
      <w:r>
        <w:t>Considérant l’offre de l’accusé</w:t>
      </w:r>
      <w:r w:rsidR="00B76F39">
        <w:t>e</w:t>
      </w:r>
      <w:r>
        <w:t xml:space="preserve"> de verser la somme de 1 </w:t>
      </w:r>
      <w:r w:rsidR="00B76F39">
        <w:t>000 $ à un organisme de charité.</w:t>
      </w:r>
    </w:p>
    <w:p w:rsidR="001C2079" w:rsidRPr="004A6A9D" w:rsidRDefault="00ED6005" w:rsidP="00434AA6">
      <w:pPr>
        <w:pStyle w:val="Paragraphe"/>
      </w:pPr>
      <w:r>
        <w:t xml:space="preserve">Tenant compte de ce qui précède,  l’obligation d’effectuer 240 </w:t>
      </w:r>
      <w:r w:rsidR="00434AA6">
        <w:t xml:space="preserve">heures </w:t>
      </w:r>
      <w:r>
        <w:t xml:space="preserve">de service communautaire et de verser </w:t>
      </w:r>
      <w:r w:rsidR="004B0D91">
        <w:t xml:space="preserve">un don de </w:t>
      </w:r>
      <w:r>
        <w:t xml:space="preserve">1 000 $ </w:t>
      </w:r>
      <w:r w:rsidR="00434AA6">
        <w:t>à un o</w:t>
      </w:r>
      <w:r w:rsidR="00D8759F">
        <w:t xml:space="preserve">rganisme de charité avec </w:t>
      </w:r>
      <w:r>
        <w:t>un suivi probatoire</w:t>
      </w:r>
      <w:r w:rsidR="009B09E0">
        <w:t>,</w:t>
      </w:r>
      <w:r>
        <w:t xml:space="preserve"> rencontrent les objectifs de dénonciation et de dissuasion tout en n’occultant pas ceux de </w:t>
      </w:r>
      <w:r w:rsidRPr="003E75D9">
        <w:t>réinsertion,</w:t>
      </w:r>
      <w:r>
        <w:rPr>
          <w:i/>
        </w:rPr>
        <w:t xml:space="preserve"> </w:t>
      </w:r>
      <w:r w:rsidRPr="003E75D9">
        <w:t>réparation et prise de responsabilité</w:t>
      </w:r>
      <w:r>
        <w:rPr>
          <w:rStyle w:val="Appelnotedebasdep"/>
        </w:rPr>
        <w:footnoteReference w:id="18"/>
      </w:r>
      <w:r w:rsidR="004B0D91">
        <w:t>.</w:t>
      </w:r>
    </w:p>
    <w:p w:rsidR="00700007" w:rsidRDefault="00ED6005" w:rsidP="00875A35">
      <w:pPr>
        <w:pStyle w:val="Paragraphe"/>
        <w:numPr>
          <w:ilvl w:val="0"/>
          <w:numId w:val="0"/>
        </w:numPr>
        <w:spacing w:before="240" w:after="240"/>
        <w:rPr>
          <w:b/>
        </w:rPr>
      </w:pPr>
      <w:r w:rsidRPr="00FC3001">
        <w:rPr>
          <w:b/>
        </w:rPr>
        <w:t>PAR CES MOTIFS, LE TRIBUNAL :</w:t>
      </w:r>
      <w:r>
        <w:rPr>
          <w:b/>
        </w:rPr>
        <w:t xml:space="preserve"> </w:t>
      </w:r>
    </w:p>
    <w:p w:rsidR="0063696D" w:rsidRPr="00875A35" w:rsidRDefault="00ED6005" w:rsidP="0063696D">
      <w:pPr>
        <w:pStyle w:val="Paragraphe"/>
        <w:numPr>
          <w:ilvl w:val="0"/>
          <w:numId w:val="0"/>
        </w:numPr>
        <w:rPr>
          <w:b/>
        </w:rPr>
      </w:pPr>
      <w:r>
        <w:rPr>
          <w:b/>
        </w:rPr>
        <w:t xml:space="preserve">SURSEOIT </w:t>
      </w:r>
      <w:r w:rsidRPr="00235B36">
        <w:t>au prononcée de la peine</w:t>
      </w:r>
      <w:r>
        <w:t> :</w:t>
      </w:r>
    </w:p>
    <w:p w:rsidR="000F094C" w:rsidRDefault="00ED6005" w:rsidP="000D240B">
      <w:pPr>
        <w:pStyle w:val="Paragraphe"/>
        <w:numPr>
          <w:ilvl w:val="0"/>
          <w:numId w:val="0"/>
        </w:numPr>
      </w:pPr>
      <w:r w:rsidRPr="00461CF4">
        <w:rPr>
          <w:b/>
        </w:rPr>
        <w:t>ORDONNE</w:t>
      </w:r>
      <w:r>
        <w:t xml:space="preserve"> que l’accusé</w:t>
      </w:r>
      <w:r w:rsidR="009B09E0">
        <w:t>e</w:t>
      </w:r>
      <w:r>
        <w:t xml:space="preserve"> se conforme aux conditions suivantes d’une ordonnance </w:t>
      </w:r>
      <w:r w:rsidR="00700007">
        <w:t>d</w:t>
      </w:r>
      <w:r w:rsidR="00875A35">
        <w:t>e probation d’une durée de deux</w:t>
      </w:r>
      <w:r w:rsidR="00700007">
        <w:t xml:space="preserve"> ans</w:t>
      </w:r>
      <w:r w:rsidR="00D41BA5">
        <w:t> :</w:t>
      </w:r>
    </w:p>
    <w:p w:rsidR="000F094C" w:rsidRPr="00ED52F8" w:rsidRDefault="00ED6005" w:rsidP="000F094C">
      <w:pPr>
        <w:pStyle w:val="Paragraphe"/>
        <w:numPr>
          <w:ilvl w:val="0"/>
          <w:numId w:val="18"/>
        </w:numPr>
        <w:ind w:left="1440" w:hanging="720"/>
      </w:pPr>
      <w:r>
        <w:t>N</w:t>
      </w:r>
      <w:r w:rsidRPr="00ED52F8">
        <w:t>e pas troubler l’ordre public et avoir une bonne conduite</w:t>
      </w:r>
      <w:r w:rsidR="00456209">
        <w:t> </w:t>
      </w:r>
      <w:r w:rsidRPr="00ED52F8">
        <w:t>;</w:t>
      </w:r>
    </w:p>
    <w:p w:rsidR="000F094C" w:rsidRPr="00ED52F8" w:rsidRDefault="00ED6005" w:rsidP="000F094C">
      <w:pPr>
        <w:pStyle w:val="Paragraphe"/>
        <w:numPr>
          <w:ilvl w:val="0"/>
          <w:numId w:val="18"/>
        </w:numPr>
        <w:ind w:left="1440" w:hanging="720"/>
      </w:pPr>
      <w:r>
        <w:t>R</w:t>
      </w:r>
      <w:r w:rsidRPr="00ED52F8">
        <w:t>épondre aux convocations du tribunal</w:t>
      </w:r>
      <w:r w:rsidR="00456209">
        <w:t> </w:t>
      </w:r>
      <w:r w:rsidRPr="00ED52F8">
        <w:t>;</w:t>
      </w:r>
    </w:p>
    <w:p w:rsidR="000F094C" w:rsidRDefault="00ED6005" w:rsidP="000F094C">
      <w:pPr>
        <w:pStyle w:val="Paragraphe"/>
        <w:numPr>
          <w:ilvl w:val="0"/>
          <w:numId w:val="18"/>
        </w:numPr>
        <w:ind w:left="1440" w:hanging="720"/>
      </w:pPr>
      <w:r>
        <w:t>S</w:t>
      </w:r>
      <w:r w:rsidRPr="00ED52F8">
        <w:t xml:space="preserve">e présenter à un agent </w:t>
      </w:r>
      <w:r w:rsidR="005A645D">
        <w:t>de probation dans les 10</w:t>
      </w:r>
      <w:r w:rsidR="009D221D">
        <w:t xml:space="preserve"> jours ouvrables suivant</w:t>
      </w:r>
      <w:r w:rsidR="00D34775">
        <w:t xml:space="preserve"> </w:t>
      </w:r>
      <w:r w:rsidRPr="00ED52F8">
        <w:t>l’entrée en</w:t>
      </w:r>
      <w:r w:rsidR="009D221D">
        <w:t xml:space="preserve"> vigueur de la probation et</w:t>
      </w:r>
      <w:r w:rsidR="00D41BA5">
        <w:t>,</w:t>
      </w:r>
      <w:r w:rsidR="009D221D">
        <w:t xml:space="preserve"> par la suite</w:t>
      </w:r>
      <w:r w:rsidR="00D41BA5">
        <w:t>,</w:t>
      </w:r>
      <w:r w:rsidR="009D221D">
        <w:t xml:space="preserve"> selon les modalités de temps et de forme fixées par l’agent de probation, et ce, pour une</w:t>
      </w:r>
      <w:r w:rsidR="00D34775">
        <w:t xml:space="preserve"> </w:t>
      </w:r>
      <w:r w:rsidR="009D221D">
        <w:t>période d’un an</w:t>
      </w:r>
      <w:r w:rsidR="00456209">
        <w:t> </w:t>
      </w:r>
      <w:r w:rsidR="00D41BA5">
        <w:t>;</w:t>
      </w:r>
    </w:p>
    <w:p w:rsidR="009D221D" w:rsidRDefault="00ED6005" w:rsidP="000F094C">
      <w:pPr>
        <w:pStyle w:val="Paragraphe"/>
        <w:numPr>
          <w:ilvl w:val="0"/>
          <w:numId w:val="18"/>
        </w:numPr>
        <w:ind w:left="1440" w:hanging="720"/>
      </w:pPr>
      <w:r>
        <w:t>Suivre</w:t>
      </w:r>
      <w:r w:rsidR="000E464F">
        <w:t xml:space="preserve"> les directives de l’agent de probation ou tout autre intervenant désigné par celui-ci relativem</w:t>
      </w:r>
      <w:r w:rsidR="00875A35">
        <w:t xml:space="preserve">ent à un programme </w:t>
      </w:r>
      <w:r w:rsidR="00280E47">
        <w:t>pouvant l’aider dans ses relations interpersonnelles et augmenter son estime d’</w:t>
      </w:r>
      <w:r w:rsidR="00D14D01">
        <w:t>elle-même</w:t>
      </w:r>
      <w:r>
        <w:t xml:space="preserve"> ;</w:t>
      </w:r>
    </w:p>
    <w:p w:rsidR="00D14D01" w:rsidRDefault="00ED6005" w:rsidP="000F094C">
      <w:pPr>
        <w:pStyle w:val="Paragraphe"/>
        <w:numPr>
          <w:ilvl w:val="0"/>
          <w:numId w:val="18"/>
        </w:numPr>
        <w:ind w:left="1440" w:hanging="720"/>
      </w:pPr>
      <w:r>
        <w:t xml:space="preserve">Effectuer 240 heures de service communautaire </w:t>
      </w:r>
      <w:r w:rsidR="0063696D">
        <w:t xml:space="preserve">dans un délai de 12 mois </w:t>
      </w:r>
      <w:r>
        <w:t>et suivre les directives de l’agent de probation ou tout autre intervenant désigné par celui-ci quant aux modalités d’exécution ;</w:t>
      </w:r>
    </w:p>
    <w:p w:rsidR="00700007" w:rsidRDefault="00ED6005" w:rsidP="0032121C">
      <w:pPr>
        <w:pStyle w:val="Paragraphe"/>
        <w:numPr>
          <w:ilvl w:val="0"/>
          <w:numId w:val="18"/>
        </w:numPr>
        <w:ind w:left="1440" w:hanging="720"/>
      </w:pPr>
      <w:r>
        <w:t>P</w:t>
      </w:r>
      <w:r w:rsidRPr="00ED52F8">
        <w:t>révenir l’agent de probation de ses changements d’adresse ou de nom et l’aviser rapidement de ses changements d’emploi ou d’occupation</w:t>
      </w:r>
      <w:r w:rsidR="00456209">
        <w:t> </w:t>
      </w:r>
      <w:r w:rsidRPr="00ED52F8">
        <w:t>;</w:t>
      </w:r>
    </w:p>
    <w:p w:rsidR="000E464F" w:rsidRPr="00ED52F8" w:rsidRDefault="00ED6005" w:rsidP="000F094C">
      <w:pPr>
        <w:pStyle w:val="Paragraphe"/>
        <w:numPr>
          <w:ilvl w:val="0"/>
          <w:numId w:val="18"/>
        </w:numPr>
        <w:ind w:left="1440" w:hanging="720"/>
      </w:pPr>
      <w:r>
        <w:t>Ne pas se trouver dans des endroits où on fait l’usage, la vente, le trafic ou la distribution de drogues illégales</w:t>
      </w:r>
      <w:r w:rsidR="00456209">
        <w:t> </w:t>
      </w:r>
      <w:r w:rsidR="00E76C9B">
        <w:t>;</w:t>
      </w:r>
    </w:p>
    <w:p w:rsidR="000F094C" w:rsidRDefault="00ED6005" w:rsidP="000F094C">
      <w:pPr>
        <w:pStyle w:val="Paragraphe"/>
        <w:numPr>
          <w:ilvl w:val="0"/>
          <w:numId w:val="18"/>
        </w:numPr>
        <w:ind w:left="1440" w:hanging="720"/>
      </w:pPr>
      <w:r>
        <w:t>N</w:t>
      </w:r>
      <w:r w:rsidRPr="00ED52F8">
        <w:t>e pas se trouver en présence de gens qui, à sa connaissance, illégalement consomment, possède</w:t>
      </w:r>
      <w:r w:rsidR="00B76F39">
        <w:t>nt</w:t>
      </w:r>
      <w:r w:rsidRPr="00ED52F8">
        <w:t xml:space="preserve"> ou trafiquent des drogues</w:t>
      </w:r>
      <w:r>
        <w:t xml:space="preserve"> ;</w:t>
      </w:r>
      <w:r w:rsidR="00456209">
        <w:t> </w:t>
      </w:r>
    </w:p>
    <w:p w:rsidR="00A76247" w:rsidRDefault="00ED6005" w:rsidP="005A7A28">
      <w:pPr>
        <w:pStyle w:val="Paragraphe"/>
        <w:numPr>
          <w:ilvl w:val="0"/>
          <w:numId w:val="18"/>
        </w:numPr>
        <w:ind w:left="1440" w:hanging="720"/>
      </w:pPr>
      <w:r w:rsidRPr="007A5B2E">
        <w:t>Ne pas communiquer, ne pas être en présence physique, ne pas être sur le lieu de travail ni être à tout endroit où pourrait résider</w:t>
      </w:r>
      <w:r>
        <w:t> : Jérémie Vallée-Paquette, Joël Beauregard-Rousseau</w:t>
      </w:r>
      <w:r w:rsidR="000C5762">
        <w:t>, Jonathan Gagné, Carl Racicot,</w:t>
      </w:r>
      <w:r>
        <w:t xml:space="preserve"> Maxime Leclerc, Alex Rodrigue, Anne-Marie Rodrigue, Isabelle Perras, Jonathan Lortie, Mili Brkovic, Nicky Raîche et Sammy Dorman-Labrecque</w:t>
      </w:r>
      <w:r w:rsidR="00B76F39">
        <w:t xml:space="preserve"> ;</w:t>
      </w:r>
      <w:r>
        <w:t xml:space="preserve"> </w:t>
      </w:r>
    </w:p>
    <w:p w:rsidR="00434AA6" w:rsidRDefault="00ED6005" w:rsidP="00A76247">
      <w:pPr>
        <w:pStyle w:val="Paragraphe"/>
        <w:numPr>
          <w:ilvl w:val="0"/>
          <w:numId w:val="18"/>
        </w:numPr>
        <w:ind w:left="1440" w:hanging="720"/>
      </w:pPr>
      <w:r>
        <w:t xml:space="preserve">Dans un délai de 9 mois, verser la somme de 1 000 $ au greffe de la cour au bénéfice du centre Estrie-Aide ; </w:t>
      </w:r>
      <w:r w:rsidR="002A5C35">
        <w:t xml:space="preserve"> </w:t>
      </w:r>
    </w:p>
    <w:p w:rsidR="000F094C" w:rsidRDefault="00ED6005" w:rsidP="000D240B">
      <w:pPr>
        <w:pStyle w:val="Paragraphe"/>
        <w:numPr>
          <w:ilvl w:val="0"/>
          <w:numId w:val="0"/>
        </w:numPr>
      </w:pPr>
      <w:r w:rsidRPr="008C2B26">
        <w:rPr>
          <w:b/>
        </w:rPr>
        <w:t>INTERDIT</w:t>
      </w:r>
      <w:r>
        <w:rPr>
          <w:b/>
        </w:rPr>
        <w:t xml:space="preserve"> </w:t>
      </w:r>
      <w:r>
        <w:t>à l’accusé</w:t>
      </w:r>
      <w:r w:rsidR="0085793C">
        <w:t>e</w:t>
      </w:r>
      <w:r>
        <w:t xml:space="preserve"> d’avoir en sa possession des armes à feu, arbalètes, armes à autorisation restreinte, munitions et substances explosives, et ce, pour une période de 10 ans</w:t>
      </w:r>
      <w:r w:rsidR="00456209">
        <w:t> </w:t>
      </w:r>
      <w:r>
        <w:t>;</w:t>
      </w:r>
    </w:p>
    <w:p w:rsidR="000F094C" w:rsidRDefault="00ED6005" w:rsidP="000D240B">
      <w:pPr>
        <w:pStyle w:val="Paragraphe"/>
        <w:numPr>
          <w:ilvl w:val="0"/>
          <w:numId w:val="0"/>
        </w:numPr>
      </w:pPr>
      <w:r w:rsidRPr="008C2B26">
        <w:rPr>
          <w:b/>
        </w:rPr>
        <w:t>INTERDIT</w:t>
      </w:r>
      <w:r>
        <w:rPr>
          <w:b/>
        </w:rPr>
        <w:t xml:space="preserve"> </w:t>
      </w:r>
      <w:r>
        <w:t>à perpétuité à l’accusé</w:t>
      </w:r>
      <w:r w:rsidR="0085793C">
        <w:t>e</w:t>
      </w:r>
      <w:r>
        <w:t xml:space="preserve"> d’avoir en sa possession des armes à feu prohibées, armes à feu à autorisations restreintes, armes prohibées, des dispositifs prohibés et des munitions prohibées</w:t>
      </w:r>
      <w:r w:rsidR="00456209">
        <w:t> </w:t>
      </w:r>
      <w:r>
        <w:t>;</w:t>
      </w:r>
    </w:p>
    <w:p w:rsidR="000F094C" w:rsidRPr="00E939F8" w:rsidRDefault="000F094C" w:rsidP="000D240B">
      <w:pPr>
        <w:pStyle w:val="Paragraphe"/>
        <w:numPr>
          <w:ilvl w:val="0"/>
          <w:numId w:val="0"/>
        </w:numPr>
      </w:pPr>
    </w:p>
    <w:tbl>
      <w:tblPr>
        <w:tblW w:w="9505" w:type="dxa"/>
        <w:tblLayout w:type="fixed"/>
        <w:tblCellMar>
          <w:left w:w="70" w:type="dxa"/>
          <w:right w:w="70" w:type="dxa"/>
        </w:tblCellMar>
        <w:tblLook w:val="0000" w:firstRow="0" w:lastRow="0" w:firstColumn="0" w:lastColumn="0" w:noHBand="0" w:noVBand="0"/>
      </w:tblPr>
      <w:tblGrid>
        <w:gridCol w:w="4867"/>
        <w:gridCol w:w="4638"/>
      </w:tblGrid>
      <w:tr w:rsidR="00E852CB" w:rsidTr="00F52E2D">
        <w:trPr>
          <w:trHeight w:val="576"/>
        </w:trPr>
        <w:tc>
          <w:tcPr>
            <w:tcW w:w="9505" w:type="dxa"/>
            <w:gridSpan w:val="2"/>
          </w:tcPr>
          <w:p w:rsidR="000B2721" w:rsidRDefault="000B2721">
            <w:pPr>
              <w:keepNext/>
              <w:keepLines/>
            </w:pPr>
          </w:p>
          <w:p w:rsidR="007216E2" w:rsidRDefault="007216E2">
            <w:pPr>
              <w:keepNext/>
              <w:keepLines/>
            </w:pPr>
          </w:p>
          <w:p w:rsidR="007216E2" w:rsidRDefault="007216E2">
            <w:pPr>
              <w:keepNext/>
              <w:keepLines/>
            </w:pPr>
          </w:p>
          <w:p w:rsidR="007216E2" w:rsidRDefault="007216E2">
            <w:pPr>
              <w:keepNext/>
              <w:keepLines/>
            </w:pPr>
          </w:p>
        </w:tc>
      </w:tr>
      <w:tr w:rsidR="00E852CB" w:rsidTr="00F52E2D">
        <w:tblPrEx>
          <w:tblCellMar>
            <w:left w:w="0" w:type="dxa"/>
            <w:right w:w="0" w:type="dxa"/>
          </w:tblCellMar>
        </w:tblPrEx>
        <w:trPr>
          <w:cantSplit/>
        </w:trPr>
        <w:tc>
          <w:tcPr>
            <w:tcW w:w="4867" w:type="dxa"/>
          </w:tcPr>
          <w:p w:rsidR="000B2721" w:rsidRDefault="000B2721"/>
        </w:tc>
        <w:tc>
          <w:tcPr>
            <w:tcW w:w="4638" w:type="dxa"/>
            <w:tcBorders>
              <w:top w:val="single" w:sz="12" w:space="0" w:color="auto"/>
            </w:tcBorders>
          </w:tcPr>
          <w:p w:rsidR="000B2721" w:rsidRPr="00D823D1" w:rsidRDefault="00ED6005" w:rsidP="00D823D1">
            <w:pPr>
              <w:pStyle w:val="zSoquijdatSignature3Juge"/>
              <w:spacing w:before="120" w:after="120"/>
              <w:rPr>
                <w:b/>
              </w:rPr>
            </w:pPr>
            <w:r w:rsidRPr="00D823D1">
              <w:rPr>
                <w:b/>
              </w:rPr>
              <w:t>DANIELLE CÔTÉ, J.C.Q.</w:t>
            </w:r>
          </w:p>
        </w:tc>
      </w:tr>
      <w:tr w:rsidR="00E852CB" w:rsidTr="00F52E2D">
        <w:tc>
          <w:tcPr>
            <w:tcW w:w="9505" w:type="dxa"/>
            <w:gridSpan w:val="2"/>
          </w:tcPr>
          <w:p w:rsidR="000B2721" w:rsidRDefault="000B2721"/>
        </w:tc>
      </w:tr>
      <w:tr w:rsidR="00E852CB" w:rsidTr="00F52E2D">
        <w:trPr>
          <w:cantSplit/>
        </w:trPr>
        <w:tc>
          <w:tcPr>
            <w:tcW w:w="9505" w:type="dxa"/>
            <w:gridSpan w:val="2"/>
          </w:tcPr>
          <w:p w:rsidR="000B2721" w:rsidRDefault="00ED6005" w:rsidP="0032121C">
            <w:pPr>
              <w:pStyle w:val="zSoquijdatCabinetProcureurDem"/>
              <w:keepNext/>
            </w:pPr>
            <w:r>
              <w:t>M</w:t>
            </w:r>
            <w:r w:rsidRPr="00F52E2D">
              <w:rPr>
                <w:vertAlign w:val="superscript"/>
              </w:rPr>
              <w:t>e</w:t>
            </w:r>
            <w:r>
              <w:t xml:space="preserve"> </w:t>
            </w:r>
            <w:r w:rsidR="00D14D01">
              <w:t>Gabrielle Cloutier</w:t>
            </w:r>
          </w:p>
        </w:tc>
      </w:tr>
      <w:tr w:rsidR="00E852CB" w:rsidTr="00F52E2D">
        <w:trPr>
          <w:cantSplit/>
        </w:trPr>
        <w:tc>
          <w:tcPr>
            <w:tcW w:w="9505" w:type="dxa"/>
            <w:gridSpan w:val="2"/>
          </w:tcPr>
          <w:p w:rsidR="000B2721" w:rsidRDefault="00ED6005" w:rsidP="00EC683B">
            <w:pPr>
              <w:pStyle w:val="zSoquijlblProcureurDem"/>
            </w:pPr>
            <w:r>
              <w:t>Procureur</w:t>
            </w:r>
            <w:r w:rsidR="00EC683B">
              <w:t>e</w:t>
            </w:r>
            <w:r>
              <w:t xml:space="preserve"> de la p</w:t>
            </w:r>
            <w:r w:rsidR="00160FD7">
              <w:t>oursuivante</w:t>
            </w:r>
          </w:p>
        </w:tc>
      </w:tr>
      <w:tr w:rsidR="00E852CB" w:rsidTr="00F52E2D">
        <w:trPr>
          <w:cantSplit/>
        </w:trPr>
        <w:tc>
          <w:tcPr>
            <w:tcW w:w="9505" w:type="dxa"/>
            <w:gridSpan w:val="2"/>
          </w:tcPr>
          <w:p w:rsidR="000B2721" w:rsidRDefault="000B2721"/>
        </w:tc>
      </w:tr>
      <w:tr w:rsidR="00E852CB" w:rsidTr="00F52E2D">
        <w:trPr>
          <w:cantSplit/>
        </w:trPr>
        <w:tc>
          <w:tcPr>
            <w:tcW w:w="9505" w:type="dxa"/>
            <w:gridSpan w:val="2"/>
          </w:tcPr>
          <w:p w:rsidR="000B2721" w:rsidRDefault="00ED6005" w:rsidP="0032121C">
            <w:pPr>
              <w:pStyle w:val="zSoquijdatCabinetProcureurDef"/>
            </w:pPr>
            <w:r>
              <w:t>M</w:t>
            </w:r>
            <w:r w:rsidRPr="00F52E2D">
              <w:rPr>
                <w:vertAlign w:val="superscript"/>
              </w:rPr>
              <w:t>e</w:t>
            </w:r>
            <w:r>
              <w:t xml:space="preserve"> </w:t>
            </w:r>
            <w:r w:rsidR="0032121C">
              <w:t>Christian R</w:t>
            </w:r>
            <w:r w:rsidR="00700007">
              <w:t>aymond</w:t>
            </w:r>
          </w:p>
        </w:tc>
      </w:tr>
      <w:tr w:rsidR="00E852CB" w:rsidTr="00F52E2D">
        <w:trPr>
          <w:cantSplit/>
        </w:trPr>
        <w:tc>
          <w:tcPr>
            <w:tcW w:w="9505" w:type="dxa"/>
            <w:gridSpan w:val="2"/>
          </w:tcPr>
          <w:p w:rsidR="000B2721" w:rsidRDefault="00ED6005" w:rsidP="0032121C">
            <w:pPr>
              <w:pStyle w:val="zSoquijlblProcureurDef"/>
            </w:pPr>
            <w:r>
              <w:t>Procureur de l</w:t>
            </w:r>
            <w:r w:rsidR="00F52E2D">
              <w:t>’</w:t>
            </w:r>
            <w:r w:rsidR="00D83585">
              <w:t>accusé</w:t>
            </w:r>
            <w:r w:rsidR="0085793C">
              <w:t>e</w:t>
            </w:r>
          </w:p>
        </w:tc>
      </w:tr>
    </w:tbl>
    <w:p w:rsidR="00D7363F" w:rsidRDefault="00D7363F" w:rsidP="00A76247"/>
    <w:sectPr w:rsidR="00D7363F" w:rsidSect="007216E2">
      <w:headerReference w:type="even" r:id="rId8"/>
      <w:headerReference w:type="default" r:id="rId9"/>
      <w:footerReference w:type="even" r:id="rId10"/>
      <w:headerReference w:type="first" r:id="rId11"/>
      <w:footnotePr>
        <w:numRestart w:val="eachSect"/>
      </w:footnotePr>
      <w:pgSz w:w="12242" w:h="15842" w:code="1"/>
      <w:pgMar w:top="1440" w:right="1008" w:bottom="1260" w:left="1872" w:header="1440" w:footer="79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2C4" w:rsidRDefault="00B252C4">
      <w:r>
        <w:separator/>
      </w:r>
    </w:p>
  </w:endnote>
  <w:endnote w:type="continuationSeparator" w:id="0">
    <w:p w:rsidR="00B252C4" w:rsidRDefault="00B25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3001" w:rsidRDefault="00ED6005">
    <w:pPr>
      <w:framePr w:wrap="around" w:vAnchor="text" w:hAnchor="margin" w:xAlign="right" w:y="1"/>
    </w:pPr>
    <w:r>
      <w:fldChar w:fldCharType="begin"/>
    </w:r>
    <w:r>
      <w:instrText xml:space="preserve">PAGE  </w:instrText>
    </w:r>
    <w:r>
      <w:fldChar w:fldCharType="end"/>
    </w:r>
  </w:p>
  <w:p w:rsidR="00FC3001" w:rsidRDefault="00FC3001">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2C4" w:rsidRDefault="00B252C4">
      <w:r>
        <w:separator/>
      </w:r>
    </w:p>
  </w:footnote>
  <w:footnote w:type="continuationSeparator" w:id="0">
    <w:p w:rsidR="00B252C4" w:rsidRDefault="00B252C4">
      <w:r>
        <w:continuationSeparator/>
      </w:r>
    </w:p>
  </w:footnote>
  <w:footnote w:id="1">
    <w:p w:rsidR="00B63945" w:rsidRPr="00152377" w:rsidRDefault="00ED6005" w:rsidP="00B63945">
      <w:pPr>
        <w:pStyle w:val="Notedebasdepage"/>
      </w:pPr>
      <w:r>
        <w:rPr>
          <w:rStyle w:val="Appelnotedebasdep"/>
        </w:rPr>
        <w:footnoteRef/>
      </w:r>
      <w:r w:rsidRPr="00152377">
        <w:t xml:space="preserve"> </w:t>
      </w:r>
      <w:r w:rsidRPr="00152377">
        <w:tab/>
        <w:t>L.C. 1996, c. 19.</w:t>
      </w:r>
    </w:p>
  </w:footnote>
  <w:footnote w:id="2">
    <w:p w:rsidR="003B689F" w:rsidRPr="00152377" w:rsidRDefault="00ED6005" w:rsidP="003B689F">
      <w:pPr>
        <w:pStyle w:val="Notedebasdepage"/>
      </w:pPr>
      <w:r>
        <w:rPr>
          <w:rStyle w:val="Appelnotedebasdep"/>
        </w:rPr>
        <w:footnoteRef/>
      </w:r>
      <w:r w:rsidR="00C220B4">
        <w:t xml:space="preserve"> </w:t>
      </w:r>
      <w:r w:rsidR="00C220B4">
        <w:tab/>
        <w:t>Art. 718 Code criminel</w:t>
      </w:r>
    </w:p>
  </w:footnote>
  <w:footnote w:id="3">
    <w:p w:rsidR="00B63945" w:rsidRDefault="00ED6005" w:rsidP="00B63945">
      <w:pPr>
        <w:pStyle w:val="Notedebasdepage"/>
      </w:pPr>
      <w:r>
        <w:rPr>
          <w:rStyle w:val="Appelnotedebasdep"/>
        </w:rPr>
        <w:footnoteRef/>
      </w:r>
      <w:r>
        <w:t xml:space="preserve"> </w:t>
      </w:r>
      <w:r>
        <w:tab/>
      </w:r>
      <w:r>
        <w:rPr>
          <w:i/>
        </w:rPr>
        <w:t xml:space="preserve">Harbour </w:t>
      </w:r>
      <w:r w:rsidRPr="006A0A23">
        <w:rPr>
          <w:iCs/>
        </w:rPr>
        <w:t>c</w:t>
      </w:r>
      <w:r w:rsidRPr="00552157">
        <w:rPr>
          <w:i/>
          <w:iCs/>
        </w:rPr>
        <w:t xml:space="preserve">. </w:t>
      </w:r>
      <w:r>
        <w:rPr>
          <w:i/>
          <w:iCs/>
        </w:rPr>
        <w:t>R.</w:t>
      </w:r>
      <w:r>
        <w:t>,</w:t>
      </w:r>
      <w:r w:rsidRPr="00552157">
        <w:t xml:space="preserve"> </w:t>
      </w:r>
      <w:r>
        <w:t>2017 QCCA 204, référence</w:t>
      </w:r>
      <w:r w:rsidR="006A0A23">
        <w:t>s</w:t>
      </w:r>
      <w:r>
        <w:t xml:space="preserve"> aux articles du Code criminel omise</w:t>
      </w:r>
      <w:r w:rsidR="006A0A23">
        <w:t>s</w:t>
      </w:r>
      <w:r>
        <w:t>.</w:t>
      </w:r>
    </w:p>
  </w:footnote>
  <w:footnote w:id="4">
    <w:p w:rsidR="00B63945" w:rsidRPr="007343E0" w:rsidRDefault="00ED6005" w:rsidP="00B63945">
      <w:pPr>
        <w:pStyle w:val="Notedebasdepage"/>
        <w:rPr>
          <w:lang w:val="en-CA"/>
        </w:rPr>
      </w:pPr>
      <w:r>
        <w:rPr>
          <w:rStyle w:val="Appelnotedebasdep"/>
        </w:rPr>
        <w:footnoteRef/>
      </w:r>
      <w:r w:rsidRPr="009D61E7">
        <w:rPr>
          <w:lang w:val="en-CA"/>
        </w:rPr>
        <w:t xml:space="preserve"> </w:t>
      </w:r>
      <w:r w:rsidRPr="009D61E7">
        <w:rPr>
          <w:lang w:val="en-CA"/>
        </w:rPr>
        <w:tab/>
        <w:t xml:space="preserve">Art. </w:t>
      </w:r>
      <w:r w:rsidRPr="007343E0">
        <w:rPr>
          <w:lang w:val="en-CA"/>
        </w:rPr>
        <w:t>718.1 C.cr.</w:t>
      </w:r>
    </w:p>
  </w:footnote>
  <w:footnote w:id="5">
    <w:p w:rsidR="00B63945" w:rsidRPr="007343E0" w:rsidRDefault="00ED6005" w:rsidP="00B63945">
      <w:pPr>
        <w:pStyle w:val="Notedebasdepage"/>
        <w:rPr>
          <w:lang w:val="en-CA"/>
        </w:rPr>
      </w:pPr>
      <w:r>
        <w:rPr>
          <w:rStyle w:val="Appelnotedebasdep"/>
        </w:rPr>
        <w:footnoteRef/>
      </w:r>
      <w:r w:rsidRPr="007343E0">
        <w:rPr>
          <w:lang w:val="en-CA"/>
        </w:rPr>
        <w:t xml:space="preserve"> </w:t>
      </w:r>
      <w:r w:rsidRPr="007343E0">
        <w:rPr>
          <w:lang w:val="en-CA"/>
        </w:rPr>
        <w:tab/>
        <w:t>Art</w:t>
      </w:r>
      <w:r>
        <w:rPr>
          <w:lang w:val="en-CA"/>
        </w:rPr>
        <w:t xml:space="preserve">. </w:t>
      </w:r>
      <w:r w:rsidRPr="007343E0">
        <w:rPr>
          <w:lang w:val="en-CA"/>
        </w:rPr>
        <w:t>718.2 a</w:t>
      </w:r>
      <w:r>
        <w:rPr>
          <w:lang w:val="en-CA"/>
        </w:rPr>
        <w:t>)</w:t>
      </w:r>
      <w:r w:rsidRPr="007343E0">
        <w:rPr>
          <w:lang w:val="en-CA"/>
        </w:rPr>
        <w:t>, b</w:t>
      </w:r>
      <w:r>
        <w:rPr>
          <w:lang w:val="en-CA"/>
        </w:rPr>
        <w:t>) et</w:t>
      </w:r>
      <w:r w:rsidRPr="007343E0">
        <w:rPr>
          <w:lang w:val="en-CA"/>
        </w:rPr>
        <w:t xml:space="preserve"> c</w:t>
      </w:r>
      <w:r>
        <w:rPr>
          <w:lang w:val="en-CA"/>
        </w:rPr>
        <w:t>)</w:t>
      </w:r>
      <w:r w:rsidRPr="007343E0">
        <w:rPr>
          <w:lang w:val="en-CA"/>
        </w:rPr>
        <w:t xml:space="preserve"> C.cr.</w:t>
      </w:r>
    </w:p>
  </w:footnote>
  <w:footnote w:id="6">
    <w:p w:rsidR="00B63945" w:rsidRPr="00DC1BF9" w:rsidRDefault="00ED6005" w:rsidP="00B63945">
      <w:pPr>
        <w:pStyle w:val="Notedebasdepage"/>
        <w:rPr>
          <w:lang w:val="en-CA"/>
        </w:rPr>
      </w:pPr>
      <w:r>
        <w:rPr>
          <w:rStyle w:val="Appelnotedebasdep"/>
        </w:rPr>
        <w:footnoteRef/>
      </w:r>
      <w:r w:rsidRPr="00DC1BF9">
        <w:rPr>
          <w:lang w:val="en-CA"/>
        </w:rPr>
        <w:t xml:space="preserve"> </w:t>
      </w:r>
      <w:r w:rsidRPr="00DC1BF9">
        <w:rPr>
          <w:lang w:val="en-CA"/>
        </w:rPr>
        <w:tab/>
        <w:t>Art.</w:t>
      </w:r>
      <w:r>
        <w:rPr>
          <w:lang w:val="en-CA"/>
        </w:rPr>
        <w:t xml:space="preserve"> </w:t>
      </w:r>
      <w:r w:rsidRPr="00DC1BF9">
        <w:rPr>
          <w:lang w:val="en-CA"/>
        </w:rPr>
        <w:t>718.2 d) C.cr.</w:t>
      </w:r>
    </w:p>
  </w:footnote>
  <w:footnote w:id="7">
    <w:p w:rsidR="001C2079" w:rsidRPr="00D8759F" w:rsidRDefault="00ED6005" w:rsidP="001C2079">
      <w:pPr>
        <w:pStyle w:val="Notedebasdepage"/>
        <w:rPr>
          <w:lang w:val="en-CA"/>
        </w:rPr>
      </w:pPr>
      <w:r>
        <w:rPr>
          <w:rStyle w:val="Appelnotedebasdep"/>
        </w:rPr>
        <w:footnoteRef/>
      </w:r>
      <w:r w:rsidRPr="00D8759F">
        <w:rPr>
          <w:lang w:val="en-CA"/>
        </w:rPr>
        <w:t xml:space="preserve"> </w:t>
      </w:r>
      <w:r w:rsidRPr="00D8759F">
        <w:rPr>
          <w:lang w:val="en-CA"/>
        </w:rPr>
        <w:tab/>
      </w:r>
      <w:r w:rsidRPr="00D8759F">
        <w:rPr>
          <w:i/>
          <w:iCs/>
          <w:lang w:val="en-CA"/>
        </w:rPr>
        <w:t xml:space="preserve">R. </w:t>
      </w:r>
      <w:r w:rsidRPr="00D8759F">
        <w:rPr>
          <w:iCs/>
          <w:lang w:val="en-CA"/>
        </w:rPr>
        <w:t>c</w:t>
      </w:r>
      <w:r w:rsidRPr="00D8759F">
        <w:rPr>
          <w:i/>
          <w:iCs/>
          <w:lang w:val="en-CA"/>
        </w:rPr>
        <w:t>. Nguyen</w:t>
      </w:r>
      <w:r w:rsidRPr="00D8759F">
        <w:rPr>
          <w:lang w:val="en-CA"/>
        </w:rPr>
        <w:t>, 2018 QCCS 3070.</w:t>
      </w:r>
    </w:p>
  </w:footnote>
  <w:footnote w:id="8">
    <w:p w:rsidR="001C2079" w:rsidRPr="007A2F5D" w:rsidRDefault="00ED6005" w:rsidP="001C2079">
      <w:pPr>
        <w:pStyle w:val="Notedebasdepage"/>
      </w:pPr>
      <w:r>
        <w:rPr>
          <w:rStyle w:val="Appelnotedebasdep"/>
        </w:rPr>
        <w:footnoteRef/>
      </w:r>
      <w:r w:rsidRPr="007A2F5D">
        <w:t xml:space="preserve"> </w:t>
      </w:r>
      <w:r w:rsidRPr="007A2F5D">
        <w:tab/>
      </w:r>
      <w:r w:rsidRPr="007A2F5D">
        <w:rPr>
          <w:i/>
        </w:rPr>
        <w:t>R.</w:t>
      </w:r>
      <w:r w:rsidRPr="007A2F5D">
        <w:t xml:space="preserve"> c. </w:t>
      </w:r>
      <w:r w:rsidRPr="007A2F5D">
        <w:rPr>
          <w:i/>
        </w:rPr>
        <w:t>Duhaime</w:t>
      </w:r>
      <w:r w:rsidRPr="007A2F5D">
        <w:t>, 2015 QCCA 685.</w:t>
      </w:r>
    </w:p>
  </w:footnote>
  <w:footnote w:id="9">
    <w:p w:rsidR="001C2079" w:rsidRDefault="00ED6005" w:rsidP="001C2079">
      <w:pPr>
        <w:pStyle w:val="Notedebasdepage"/>
      </w:pPr>
      <w:r>
        <w:rPr>
          <w:rStyle w:val="Appelnotedebasdep"/>
        </w:rPr>
        <w:footnoteRef/>
      </w:r>
      <w:r>
        <w:t xml:space="preserve"> </w:t>
      </w:r>
      <w:r>
        <w:tab/>
      </w:r>
      <w:r w:rsidRPr="00552902">
        <w:rPr>
          <w:i/>
        </w:rPr>
        <w:t>R.</w:t>
      </w:r>
      <w:r>
        <w:t xml:space="preserve"> c. </w:t>
      </w:r>
      <w:r w:rsidRPr="00552902">
        <w:rPr>
          <w:i/>
        </w:rPr>
        <w:t>Lacasse</w:t>
      </w:r>
      <w:r>
        <w:t xml:space="preserve">, 2015 CSC 64, principe réitéré dans </w:t>
      </w:r>
      <w:r w:rsidRPr="00506AE2">
        <w:rPr>
          <w:i/>
        </w:rPr>
        <w:t>R.</w:t>
      </w:r>
      <w:r>
        <w:t xml:space="preserve"> c. </w:t>
      </w:r>
      <w:r w:rsidRPr="00506AE2">
        <w:rPr>
          <w:i/>
        </w:rPr>
        <w:t>Friesen</w:t>
      </w:r>
      <w:r>
        <w:t>, 2020 CSC 9.</w:t>
      </w:r>
    </w:p>
  </w:footnote>
  <w:footnote w:id="10">
    <w:p w:rsidR="001C2079" w:rsidRPr="00AD2159" w:rsidRDefault="00ED6005" w:rsidP="001C2079">
      <w:pPr>
        <w:pStyle w:val="Notedebasdepage"/>
      </w:pPr>
      <w:r>
        <w:rPr>
          <w:rStyle w:val="Appelnotedebasdep"/>
        </w:rPr>
        <w:footnoteRef/>
      </w:r>
      <w:r w:rsidR="00C220B4">
        <w:t xml:space="preserve">  </w:t>
      </w:r>
      <w:r w:rsidR="00E81AE6">
        <w:t xml:space="preserve"> </w:t>
      </w:r>
      <w:r w:rsidR="00631D40">
        <w:t xml:space="preserve"> </w:t>
      </w:r>
      <w:r w:rsidR="00E41458">
        <w:t>2020 QCCA 1138.</w:t>
      </w:r>
    </w:p>
  </w:footnote>
  <w:footnote w:id="11">
    <w:p w:rsidR="001C2079" w:rsidRPr="00C220B4" w:rsidRDefault="00ED6005" w:rsidP="001C2079">
      <w:pPr>
        <w:pStyle w:val="Notedebasdepage"/>
      </w:pPr>
      <w:r>
        <w:rPr>
          <w:rStyle w:val="Appelnotedebasdep"/>
        </w:rPr>
        <w:footnoteRef/>
      </w:r>
      <w:r w:rsidRPr="00C220B4">
        <w:t xml:space="preserve"> </w:t>
      </w:r>
      <w:r w:rsidR="004B0D91">
        <w:t xml:space="preserve">  </w:t>
      </w:r>
      <w:r w:rsidR="007E3BA7">
        <w:rPr>
          <w:i/>
        </w:rPr>
        <w:t xml:space="preserve">Supra, </w:t>
      </w:r>
      <w:r w:rsidR="007E3BA7" w:rsidRPr="007E3BA7">
        <w:t>note 9</w:t>
      </w:r>
      <w:r w:rsidR="004B0D91" w:rsidRPr="007E3BA7">
        <w:t>.</w:t>
      </w:r>
    </w:p>
  </w:footnote>
  <w:footnote w:id="12">
    <w:p w:rsidR="00434AA6" w:rsidRDefault="00ED6005">
      <w:pPr>
        <w:pStyle w:val="Notedebasdepage"/>
      </w:pPr>
      <w:r>
        <w:rPr>
          <w:rStyle w:val="Appelnotedebasdep"/>
        </w:rPr>
        <w:footnoteRef/>
      </w:r>
      <w:r>
        <w:t xml:space="preserve"> </w:t>
      </w:r>
      <w:r w:rsidR="004B0D91">
        <w:t xml:space="preserve">   </w:t>
      </w:r>
      <w:r>
        <w:t>Rapport présentenciel</w:t>
      </w:r>
      <w:r w:rsidR="001B14A5">
        <w:t>,</w:t>
      </w:r>
      <w:r>
        <w:t xml:space="preserve"> page 8</w:t>
      </w:r>
    </w:p>
  </w:footnote>
  <w:footnote w:id="13">
    <w:p w:rsidR="003336F7" w:rsidRPr="00C51BD5" w:rsidRDefault="00ED6005" w:rsidP="003336F7">
      <w:pPr>
        <w:pStyle w:val="Notedebasdepage"/>
      </w:pPr>
      <w:r>
        <w:rPr>
          <w:rStyle w:val="Appelnotedebasdep"/>
        </w:rPr>
        <w:footnoteRef/>
      </w:r>
      <w:r w:rsidRPr="00C51BD5">
        <w:t xml:space="preserve">  </w:t>
      </w:r>
      <w:r w:rsidR="004B0D91">
        <w:t xml:space="preserve"> </w:t>
      </w:r>
      <w:r w:rsidRPr="00C51BD5">
        <w:t xml:space="preserve"> </w:t>
      </w:r>
      <w:r w:rsidRPr="00C51BD5">
        <w:rPr>
          <w:i/>
        </w:rPr>
        <w:t xml:space="preserve">Lacelle Belec </w:t>
      </w:r>
      <w:r w:rsidRPr="00C51BD5">
        <w:t>c</w:t>
      </w:r>
      <w:r w:rsidRPr="00C51BD5">
        <w:rPr>
          <w:i/>
        </w:rPr>
        <w:t>. R</w:t>
      </w:r>
      <w:r w:rsidRPr="00C51BD5">
        <w:t>., 2019 QCCA 711.</w:t>
      </w:r>
    </w:p>
  </w:footnote>
  <w:footnote w:id="14">
    <w:p w:rsidR="003336F7" w:rsidRPr="003336F7" w:rsidRDefault="00ED6005" w:rsidP="003336F7">
      <w:pPr>
        <w:pStyle w:val="Notedebasdepage"/>
        <w:rPr>
          <w:lang w:val="en-CA"/>
        </w:rPr>
      </w:pPr>
      <w:r>
        <w:rPr>
          <w:rStyle w:val="Appelnotedebasdep"/>
        </w:rPr>
        <w:footnoteRef/>
      </w:r>
      <w:r w:rsidRPr="003336F7">
        <w:rPr>
          <w:lang w:val="en-CA"/>
        </w:rPr>
        <w:t xml:space="preserve"> </w:t>
      </w:r>
      <w:r w:rsidR="00BB0D28">
        <w:rPr>
          <w:lang w:val="en-CA"/>
        </w:rPr>
        <w:t xml:space="preserve">   </w:t>
      </w:r>
      <w:r w:rsidR="00BB0D28" w:rsidRPr="007A5B2E">
        <w:rPr>
          <w:lang w:val="en-CA"/>
        </w:rPr>
        <w:t>Art. 718.2 d) C.cr.</w:t>
      </w:r>
    </w:p>
  </w:footnote>
  <w:footnote w:id="15">
    <w:p w:rsidR="003336F7" w:rsidRPr="00C51BD5" w:rsidRDefault="00ED6005" w:rsidP="003336F7">
      <w:pPr>
        <w:pStyle w:val="Notedebasdepage"/>
        <w:rPr>
          <w:lang w:val="en-CA"/>
        </w:rPr>
      </w:pPr>
      <w:r>
        <w:rPr>
          <w:rStyle w:val="Appelnotedebasdep"/>
        </w:rPr>
        <w:footnoteRef/>
      </w:r>
      <w:r w:rsidRPr="00C51BD5">
        <w:rPr>
          <w:lang w:val="en-CA"/>
        </w:rPr>
        <w:t xml:space="preserve"> </w:t>
      </w:r>
      <w:r w:rsidRPr="00C51BD5">
        <w:rPr>
          <w:lang w:val="en-CA"/>
        </w:rPr>
        <w:tab/>
      </w:r>
      <w:r w:rsidRPr="00C51BD5">
        <w:rPr>
          <w:i/>
          <w:lang w:val="en-CA"/>
        </w:rPr>
        <w:t>R</w:t>
      </w:r>
      <w:r w:rsidRPr="00C51BD5">
        <w:rPr>
          <w:lang w:val="en-CA"/>
        </w:rPr>
        <w:t xml:space="preserve">. c. </w:t>
      </w:r>
      <w:r w:rsidRPr="00C51BD5">
        <w:rPr>
          <w:i/>
          <w:lang w:val="en-CA"/>
        </w:rPr>
        <w:t>Gladue,</w:t>
      </w:r>
      <w:r w:rsidRPr="00C51BD5">
        <w:rPr>
          <w:lang w:val="en-CA"/>
        </w:rPr>
        <w:t xml:space="preserve"> 1999, 1 R.C.S. 688; </w:t>
      </w:r>
      <w:r w:rsidRPr="00C51BD5">
        <w:rPr>
          <w:i/>
          <w:lang w:val="en-CA"/>
        </w:rPr>
        <w:t>R</w:t>
      </w:r>
      <w:r w:rsidRPr="00C51BD5">
        <w:rPr>
          <w:lang w:val="en-CA"/>
        </w:rPr>
        <w:t xml:space="preserve">. v. </w:t>
      </w:r>
      <w:r w:rsidRPr="00C51BD5">
        <w:rPr>
          <w:i/>
          <w:lang w:val="en-CA"/>
        </w:rPr>
        <w:t>Chowdhury</w:t>
      </w:r>
      <w:r w:rsidRPr="00C51BD5">
        <w:rPr>
          <w:lang w:val="en-CA"/>
        </w:rPr>
        <w:t>, 2019 ABCA 205 (CanLII)</w:t>
      </w:r>
    </w:p>
  </w:footnote>
  <w:footnote w:id="16">
    <w:p w:rsidR="003336F7" w:rsidRPr="008F241F" w:rsidRDefault="00ED6005" w:rsidP="003336F7">
      <w:pPr>
        <w:pStyle w:val="Notedebasdepage"/>
      </w:pPr>
      <w:r>
        <w:rPr>
          <w:rStyle w:val="Appelnotedebasdep"/>
        </w:rPr>
        <w:footnoteRef/>
      </w:r>
      <w:r w:rsidRPr="008F241F">
        <w:t xml:space="preserve"> </w:t>
      </w:r>
      <w:r w:rsidRPr="008F241F">
        <w:tab/>
      </w:r>
      <w:r w:rsidRPr="008F241F">
        <w:rPr>
          <w:i/>
        </w:rPr>
        <w:t>R</w:t>
      </w:r>
      <w:r w:rsidRPr="008F241F">
        <w:t xml:space="preserve">. c. </w:t>
      </w:r>
      <w:r w:rsidRPr="008F241F">
        <w:rPr>
          <w:i/>
        </w:rPr>
        <w:t>Quirion</w:t>
      </w:r>
      <w:r w:rsidRPr="008F241F">
        <w:t>, 1993 CanLII 3603 (QCCA)</w:t>
      </w:r>
    </w:p>
  </w:footnote>
  <w:footnote w:id="17">
    <w:p w:rsidR="00E65AE5" w:rsidRPr="00FC7E56" w:rsidRDefault="00ED6005" w:rsidP="00E65AE5">
      <w:pPr>
        <w:pStyle w:val="Notedebasdepage"/>
      </w:pPr>
      <w:r>
        <w:rPr>
          <w:rStyle w:val="Appelnotedebasdep"/>
        </w:rPr>
        <w:footnoteRef/>
      </w:r>
      <w:r w:rsidRPr="004E3892">
        <w:t xml:space="preserve"> </w:t>
      </w:r>
      <w:r w:rsidRPr="004E3892">
        <w:tab/>
      </w:r>
      <w:r w:rsidRPr="00E7598C">
        <w:t xml:space="preserve">Hugues </w:t>
      </w:r>
      <w:r w:rsidRPr="00E7598C">
        <w:rPr>
          <w:smallCaps/>
        </w:rPr>
        <w:t>Parent</w:t>
      </w:r>
      <w:r w:rsidRPr="00E7598C">
        <w:t xml:space="preserve"> et Julie </w:t>
      </w:r>
      <w:r w:rsidRPr="00E7598C">
        <w:rPr>
          <w:smallCaps/>
        </w:rPr>
        <w:t>Desrosiers</w:t>
      </w:r>
      <w:r>
        <w:rPr>
          <w:smallCaps/>
        </w:rPr>
        <w:t>,</w:t>
      </w:r>
      <w:r w:rsidRPr="00E7598C">
        <w:rPr>
          <w:i/>
        </w:rPr>
        <w:t xml:space="preserve"> Traité de droit criminel : la </w:t>
      </w:r>
      <w:r w:rsidRPr="00915B88">
        <w:rPr>
          <w:i/>
        </w:rPr>
        <w:t>peine</w:t>
      </w:r>
      <w:r w:rsidRPr="00E7598C">
        <w:t>, 2</w:t>
      </w:r>
      <w:r w:rsidRPr="00E7598C">
        <w:rPr>
          <w:vertAlign w:val="superscript"/>
        </w:rPr>
        <w:t>e</w:t>
      </w:r>
      <w:r w:rsidRPr="00E7598C">
        <w:t xml:space="preserve"> éd., tome 3, Montréal, Les </w:t>
      </w:r>
      <w:r>
        <w:t xml:space="preserve">  </w:t>
      </w:r>
      <w:r w:rsidRPr="00E7598C">
        <w:t xml:space="preserve">Éditions Thémis, 2016, </w:t>
      </w:r>
      <w:r>
        <w:rPr>
          <w:rFonts w:cs="Arial"/>
        </w:rPr>
        <w:t>p. 294.</w:t>
      </w:r>
    </w:p>
    <w:p w:rsidR="003336F7" w:rsidRPr="004E3892" w:rsidRDefault="003336F7" w:rsidP="003336F7">
      <w:pPr>
        <w:pStyle w:val="Notedebasdepage"/>
      </w:pPr>
    </w:p>
  </w:footnote>
  <w:footnote w:id="18">
    <w:p w:rsidR="003336F7" w:rsidRDefault="00ED6005" w:rsidP="003336F7">
      <w:pPr>
        <w:pStyle w:val="Notedebasdepage"/>
      </w:pPr>
      <w:r>
        <w:rPr>
          <w:rStyle w:val="Appelnotedebasdep"/>
        </w:rPr>
        <w:footnoteRef/>
      </w:r>
      <w:r w:rsidR="005A7A28">
        <w:t xml:space="preserve">    </w:t>
      </w:r>
      <w:r w:rsidR="005A7A28" w:rsidRPr="007A5B2E">
        <w:rPr>
          <w:i/>
        </w:rPr>
        <w:t xml:space="preserve">Harbour </w:t>
      </w:r>
      <w:r w:rsidR="005A7A28" w:rsidRPr="0063696D">
        <w:rPr>
          <w:iCs/>
        </w:rPr>
        <w:t>c</w:t>
      </w:r>
      <w:r w:rsidR="005A7A28" w:rsidRPr="007A5B2E">
        <w:rPr>
          <w:i/>
          <w:iCs/>
        </w:rPr>
        <w:t>. R.</w:t>
      </w:r>
      <w:r w:rsidR="005A7A28" w:rsidRPr="007A5B2E">
        <w:t>, 2017 QCCA 204, référence aux articles du Code criminel omise.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AD2" w:rsidRDefault="004A5AD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3001" w:rsidRDefault="00ED6005">
    <w:pPr>
      <w:tabs>
        <w:tab w:val="center" w:pos="4709"/>
        <w:tab w:val="right" w:pos="9360"/>
      </w:tabs>
      <w:ind w:right="524"/>
    </w:pPr>
    <w:r>
      <w:t>450-01-120350-207 (002)</w:t>
    </w:r>
    <w:r>
      <w:tab/>
    </w:r>
    <w:r>
      <w:tab/>
      <w:t xml:space="preserve">PAGE : </w:t>
    </w:r>
    <w:r>
      <w:fldChar w:fldCharType="begin"/>
    </w:r>
    <w:r>
      <w:instrText xml:space="preserve"> PAGE </w:instrText>
    </w:r>
    <w:r>
      <w:fldChar w:fldCharType="separate"/>
    </w:r>
    <w:r w:rsidR="00022C8B">
      <w:rPr>
        <w:noProof/>
      </w:rPr>
      <w:t>9</w:t>
    </w:r>
    <w:r>
      <w:fldChar w:fldCharType="end"/>
    </w:r>
  </w:p>
  <w:p w:rsidR="00FC3001" w:rsidRDefault="00FC3001">
    <w:pPr>
      <w:tabs>
        <w:tab w:val="center" w:pos="4709"/>
        <w:tab w:val="right" w:pos="9090"/>
      </w:tabs>
      <w:ind w:right="524"/>
    </w:pPr>
  </w:p>
  <w:p w:rsidR="00FC3001" w:rsidRDefault="00FC3001">
    <w:pPr>
      <w:tabs>
        <w:tab w:val="center" w:pos="4709"/>
        <w:tab w:val="right" w:pos="9090"/>
      </w:tabs>
      <w:ind w:right="52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AD2" w:rsidRDefault="004A5AD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B5C8E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6EA15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052476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300ED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784BF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7A90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56528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6F01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346F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90CFC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095C0B"/>
    <w:multiLevelType w:val="hybridMultilevel"/>
    <w:tmpl w:val="39ACDE1C"/>
    <w:lvl w:ilvl="0" w:tplc="8D0A2C5E">
      <w:start w:val="1"/>
      <w:numFmt w:val="lowerLetter"/>
      <w:lvlText w:val="%1."/>
      <w:lvlJc w:val="left"/>
      <w:pPr>
        <w:ind w:left="1828" w:hanging="360"/>
      </w:pPr>
      <w:rPr>
        <w:rFonts w:hint="default"/>
      </w:rPr>
    </w:lvl>
    <w:lvl w:ilvl="1" w:tplc="609E2832" w:tentative="1">
      <w:start w:val="1"/>
      <w:numFmt w:val="lowerLetter"/>
      <w:lvlText w:val="%2."/>
      <w:lvlJc w:val="left"/>
      <w:pPr>
        <w:ind w:left="2548" w:hanging="360"/>
      </w:pPr>
    </w:lvl>
    <w:lvl w:ilvl="2" w:tplc="735C3186" w:tentative="1">
      <w:start w:val="1"/>
      <w:numFmt w:val="lowerRoman"/>
      <w:lvlText w:val="%3."/>
      <w:lvlJc w:val="right"/>
      <w:pPr>
        <w:ind w:left="3268" w:hanging="180"/>
      </w:pPr>
    </w:lvl>
    <w:lvl w:ilvl="3" w:tplc="637CFFBE" w:tentative="1">
      <w:start w:val="1"/>
      <w:numFmt w:val="decimal"/>
      <w:lvlText w:val="%4."/>
      <w:lvlJc w:val="left"/>
      <w:pPr>
        <w:ind w:left="3988" w:hanging="360"/>
      </w:pPr>
    </w:lvl>
    <w:lvl w:ilvl="4" w:tplc="CB88A3F6" w:tentative="1">
      <w:start w:val="1"/>
      <w:numFmt w:val="lowerLetter"/>
      <w:lvlText w:val="%5."/>
      <w:lvlJc w:val="left"/>
      <w:pPr>
        <w:ind w:left="4708" w:hanging="360"/>
      </w:pPr>
    </w:lvl>
    <w:lvl w:ilvl="5" w:tplc="8FC8713C" w:tentative="1">
      <w:start w:val="1"/>
      <w:numFmt w:val="lowerRoman"/>
      <w:lvlText w:val="%6."/>
      <w:lvlJc w:val="right"/>
      <w:pPr>
        <w:ind w:left="5428" w:hanging="180"/>
      </w:pPr>
    </w:lvl>
    <w:lvl w:ilvl="6" w:tplc="87704174" w:tentative="1">
      <w:start w:val="1"/>
      <w:numFmt w:val="decimal"/>
      <w:lvlText w:val="%7."/>
      <w:lvlJc w:val="left"/>
      <w:pPr>
        <w:ind w:left="6148" w:hanging="360"/>
      </w:pPr>
    </w:lvl>
    <w:lvl w:ilvl="7" w:tplc="9322F198" w:tentative="1">
      <w:start w:val="1"/>
      <w:numFmt w:val="lowerLetter"/>
      <w:lvlText w:val="%8."/>
      <w:lvlJc w:val="left"/>
      <w:pPr>
        <w:ind w:left="6868" w:hanging="360"/>
      </w:pPr>
    </w:lvl>
    <w:lvl w:ilvl="8" w:tplc="1A06AE5C" w:tentative="1">
      <w:start w:val="1"/>
      <w:numFmt w:val="lowerRoman"/>
      <w:lvlText w:val="%9."/>
      <w:lvlJc w:val="right"/>
      <w:pPr>
        <w:ind w:left="7588" w:hanging="180"/>
      </w:pPr>
    </w:lvl>
  </w:abstractNum>
  <w:abstractNum w:abstractNumId="11" w15:restartNumberingAfterBreak="0">
    <w:nsid w:val="1A3C3150"/>
    <w:multiLevelType w:val="hybridMultilevel"/>
    <w:tmpl w:val="0CC2D914"/>
    <w:lvl w:ilvl="0" w:tplc="7B52803C">
      <w:start w:val="1"/>
      <w:numFmt w:val="lowerLetter"/>
      <w:lvlText w:val="%1)"/>
      <w:lvlJc w:val="left"/>
      <w:pPr>
        <w:ind w:left="1454" w:hanging="360"/>
      </w:pPr>
    </w:lvl>
    <w:lvl w:ilvl="1" w:tplc="18803294" w:tentative="1">
      <w:start w:val="1"/>
      <w:numFmt w:val="lowerLetter"/>
      <w:lvlText w:val="%2."/>
      <w:lvlJc w:val="left"/>
      <w:pPr>
        <w:ind w:left="2174" w:hanging="360"/>
      </w:pPr>
    </w:lvl>
    <w:lvl w:ilvl="2" w:tplc="E2625E94" w:tentative="1">
      <w:start w:val="1"/>
      <w:numFmt w:val="lowerRoman"/>
      <w:lvlText w:val="%3."/>
      <w:lvlJc w:val="right"/>
      <w:pPr>
        <w:ind w:left="2894" w:hanging="180"/>
      </w:pPr>
    </w:lvl>
    <w:lvl w:ilvl="3" w:tplc="D95A14CC" w:tentative="1">
      <w:start w:val="1"/>
      <w:numFmt w:val="decimal"/>
      <w:lvlText w:val="%4."/>
      <w:lvlJc w:val="left"/>
      <w:pPr>
        <w:ind w:left="3614" w:hanging="360"/>
      </w:pPr>
    </w:lvl>
    <w:lvl w:ilvl="4" w:tplc="18D85B34" w:tentative="1">
      <w:start w:val="1"/>
      <w:numFmt w:val="lowerLetter"/>
      <w:lvlText w:val="%5."/>
      <w:lvlJc w:val="left"/>
      <w:pPr>
        <w:ind w:left="4334" w:hanging="360"/>
      </w:pPr>
    </w:lvl>
    <w:lvl w:ilvl="5" w:tplc="51242D3C" w:tentative="1">
      <w:start w:val="1"/>
      <w:numFmt w:val="lowerRoman"/>
      <w:lvlText w:val="%6."/>
      <w:lvlJc w:val="right"/>
      <w:pPr>
        <w:ind w:left="5054" w:hanging="180"/>
      </w:pPr>
    </w:lvl>
    <w:lvl w:ilvl="6" w:tplc="D61A486C" w:tentative="1">
      <w:start w:val="1"/>
      <w:numFmt w:val="decimal"/>
      <w:lvlText w:val="%7."/>
      <w:lvlJc w:val="left"/>
      <w:pPr>
        <w:ind w:left="5774" w:hanging="360"/>
      </w:pPr>
    </w:lvl>
    <w:lvl w:ilvl="7" w:tplc="B6F42FAA" w:tentative="1">
      <w:start w:val="1"/>
      <w:numFmt w:val="lowerLetter"/>
      <w:lvlText w:val="%8."/>
      <w:lvlJc w:val="left"/>
      <w:pPr>
        <w:ind w:left="6494" w:hanging="360"/>
      </w:pPr>
    </w:lvl>
    <w:lvl w:ilvl="8" w:tplc="13701620" w:tentative="1">
      <w:start w:val="1"/>
      <w:numFmt w:val="lowerRoman"/>
      <w:lvlText w:val="%9."/>
      <w:lvlJc w:val="right"/>
      <w:pPr>
        <w:ind w:left="7214" w:hanging="180"/>
      </w:pPr>
    </w:lvl>
  </w:abstractNum>
  <w:abstractNum w:abstractNumId="12" w15:restartNumberingAfterBreak="0">
    <w:nsid w:val="249B0F0A"/>
    <w:multiLevelType w:val="hybridMultilevel"/>
    <w:tmpl w:val="32FEC422"/>
    <w:lvl w:ilvl="0" w:tplc="F196A7F2">
      <w:start w:val="1"/>
      <w:numFmt w:val="decimal"/>
      <w:lvlText w:val="[%1]"/>
      <w:lvlJc w:val="left"/>
      <w:pPr>
        <w:ind w:left="720" w:hanging="360"/>
      </w:pPr>
      <w:rPr>
        <w:rFonts w:hint="default"/>
      </w:rPr>
    </w:lvl>
    <w:lvl w:ilvl="1" w:tplc="9A92722C" w:tentative="1">
      <w:start w:val="1"/>
      <w:numFmt w:val="lowerLetter"/>
      <w:lvlText w:val="%2."/>
      <w:lvlJc w:val="left"/>
      <w:pPr>
        <w:ind w:left="1440" w:hanging="360"/>
      </w:pPr>
    </w:lvl>
    <w:lvl w:ilvl="2" w:tplc="6DACF594" w:tentative="1">
      <w:start w:val="1"/>
      <w:numFmt w:val="lowerRoman"/>
      <w:lvlText w:val="%3."/>
      <w:lvlJc w:val="right"/>
      <w:pPr>
        <w:ind w:left="2160" w:hanging="180"/>
      </w:pPr>
    </w:lvl>
    <w:lvl w:ilvl="3" w:tplc="B95EE3A2" w:tentative="1">
      <w:start w:val="1"/>
      <w:numFmt w:val="decimal"/>
      <w:lvlText w:val="%4."/>
      <w:lvlJc w:val="left"/>
      <w:pPr>
        <w:ind w:left="2880" w:hanging="360"/>
      </w:pPr>
    </w:lvl>
    <w:lvl w:ilvl="4" w:tplc="43521982" w:tentative="1">
      <w:start w:val="1"/>
      <w:numFmt w:val="lowerLetter"/>
      <w:lvlText w:val="%5."/>
      <w:lvlJc w:val="left"/>
      <w:pPr>
        <w:ind w:left="3600" w:hanging="360"/>
      </w:pPr>
    </w:lvl>
    <w:lvl w:ilvl="5" w:tplc="07CC7F8C" w:tentative="1">
      <w:start w:val="1"/>
      <w:numFmt w:val="lowerRoman"/>
      <w:lvlText w:val="%6."/>
      <w:lvlJc w:val="right"/>
      <w:pPr>
        <w:ind w:left="4320" w:hanging="180"/>
      </w:pPr>
    </w:lvl>
    <w:lvl w:ilvl="6" w:tplc="BF56C338" w:tentative="1">
      <w:start w:val="1"/>
      <w:numFmt w:val="decimal"/>
      <w:lvlText w:val="%7."/>
      <w:lvlJc w:val="left"/>
      <w:pPr>
        <w:ind w:left="5040" w:hanging="360"/>
      </w:pPr>
    </w:lvl>
    <w:lvl w:ilvl="7" w:tplc="D63A2128" w:tentative="1">
      <w:start w:val="1"/>
      <w:numFmt w:val="lowerLetter"/>
      <w:lvlText w:val="%8."/>
      <w:lvlJc w:val="left"/>
      <w:pPr>
        <w:ind w:left="5760" w:hanging="360"/>
      </w:pPr>
    </w:lvl>
    <w:lvl w:ilvl="8" w:tplc="605C40AA" w:tentative="1">
      <w:start w:val="1"/>
      <w:numFmt w:val="lowerRoman"/>
      <w:lvlText w:val="%9."/>
      <w:lvlJc w:val="right"/>
      <w:pPr>
        <w:ind w:left="6480" w:hanging="180"/>
      </w:pPr>
    </w:lvl>
  </w:abstractNum>
  <w:abstractNum w:abstractNumId="13" w15:restartNumberingAfterBreak="0">
    <w:nsid w:val="28C12DC0"/>
    <w:multiLevelType w:val="multilevel"/>
    <w:tmpl w:val="C196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364895"/>
    <w:multiLevelType w:val="hybridMultilevel"/>
    <w:tmpl w:val="D9F2BC74"/>
    <w:lvl w:ilvl="0" w:tplc="3E4E9D64">
      <w:start w:val="1"/>
      <w:numFmt w:val="lowerLetter"/>
      <w:lvlText w:val="%1)"/>
      <w:lvlJc w:val="left"/>
      <w:pPr>
        <w:ind w:left="1454" w:hanging="360"/>
      </w:pPr>
    </w:lvl>
    <w:lvl w:ilvl="1" w:tplc="B21A2D9E" w:tentative="1">
      <w:start w:val="1"/>
      <w:numFmt w:val="lowerLetter"/>
      <w:lvlText w:val="%2."/>
      <w:lvlJc w:val="left"/>
      <w:pPr>
        <w:ind w:left="2174" w:hanging="360"/>
      </w:pPr>
    </w:lvl>
    <w:lvl w:ilvl="2" w:tplc="64FEE4A8" w:tentative="1">
      <w:start w:val="1"/>
      <w:numFmt w:val="lowerRoman"/>
      <w:lvlText w:val="%3."/>
      <w:lvlJc w:val="right"/>
      <w:pPr>
        <w:ind w:left="2894" w:hanging="180"/>
      </w:pPr>
    </w:lvl>
    <w:lvl w:ilvl="3" w:tplc="828CC366" w:tentative="1">
      <w:start w:val="1"/>
      <w:numFmt w:val="decimal"/>
      <w:lvlText w:val="%4."/>
      <w:lvlJc w:val="left"/>
      <w:pPr>
        <w:ind w:left="3614" w:hanging="360"/>
      </w:pPr>
    </w:lvl>
    <w:lvl w:ilvl="4" w:tplc="B374D88C" w:tentative="1">
      <w:start w:val="1"/>
      <w:numFmt w:val="lowerLetter"/>
      <w:lvlText w:val="%5."/>
      <w:lvlJc w:val="left"/>
      <w:pPr>
        <w:ind w:left="4334" w:hanging="360"/>
      </w:pPr>
    </w:lvl>
    <w:lvl w:ilvl="5" w:tplc="24AC55F4" w:tentative="1">
      <w:start w:val="1"/>
      <w:numFmt w:val="lowerRoman"/>
      <w:lvlText w:val="%6."/>
      <w:lvlJc w:val="right"/>
      <w:pPr>
        <w:ind w:left="5054" w:hanging="180"/>
      </w:pPr>
    </w:lvl>
    <w:lvl w:ilvl="6" w:tplc="E4761000" w:tentative="1">
      <w:start w:val="1"/>
      <w:numFmt w:val="decimal"/>
      <w:lvlText w:val="%7."/>
      <w:lvlJc w:val="left"/>
      <w:pPr>
        <w:ind w:left="5774" w:hanging="360"/>
      </w:pPr>
    </w:lvl>
    <w:lvl w:ilvl="7" w:tplc="46E29A98" w:tentative="1">
      <w:start w:val="1"/>
      <w:numFmt w:val="lowerLetter"/>
      <w:lvlText w:val="%8."/>
      <w:lvlJc w:val="left"/>
      <w:pPr>
        <w:ind w:left="6494" w:hanging="360"/>
      </w:pPr>
    </w:lvl>
    <w:lvl w:ilvl="8" w:tplc="57BADD4C" w:tentative="1">
      <w:start w:val="1"/>
      <w:numFmt w:val="lowerRoman"/>
      <w:lvlText w:val="%9."/>
      <w:lvlJc w:val="right"/>
      <w:pPr>
        <w:ind w:left="7214" w:hanging="180"/>
      </w:pPr>
    </w:lvl>
  </w:abstractNum>
  <w:abstractNum w:abstractNumId="15" w15:restartNumberingAfterBreak="0">
    <w:nsid w:val="3FAC6809"/>
    <w:multiLevelType w:val="hybridMultilevel"/>
    <w:tmpl w:val="FB347F6E"/>
    <w:lvl w:ilvl="0" w:tplc="C7605354">
      <w:start w:val="1"/>
      <w:numFmt w:val="decimal"/>
      <w:lvlText w:val="%1."/>
      <w:lvlJc w:val="left"/>
      <w:pPr>
        <w:ind w:left="1090" w:hanging="360"/>
      </w:pPr>
      <w:rPr>
        <w:rFonts w:hint="default"/>
      </w:rPr>
    </w:lvl>
    <w:lvl w:ilvl="1" w:tplc="3D0C464A" w:tentative="1">
      <w:start w:val="1"/>
      <w:numFmt w:val="lowerLetter"/>
      <w:lvlText w:val="%2."/>
      <w:lvlJc w:val="left"/>
      <w:pPr>
        <w:ind w:left="1810" w:hanging="360"/>
      </w:pPr>
    </w:lvl>
    <w:lvl w:ilvl="2" w:tplc="08087C18" w:tentative="1">
      <w:start w:val="1"/>
      <w:numFmt w:val="lowerRoman"/>
      <w:lvlText w:val="%3."/>
      <w:lvlJc w:val="right"/>
      <w:pPr>
        <w:ind w:left="2530" w:hanging="180"/>
      </w:pPr>
    </w:lvl>
    <w:lvl w:ilvl="3" w:tplc="3AECF934" w:tentative="1">
      <w:start w:val="1"/>
      <w:numFmt w:val="decimal"/>
      <w:lvlText w:val="%4."/>
      <w:lvlJc w:val="left"/>
      <w:pPr>
        <w:ind w:left="3250" w:hanging="360"/>
      </w:pPr>
    </w:lvl>
    <w:lvl w:ilvl="4" w:tplc="E0EEA8FC" w:tentative="1">
      <w:start w:val="1"/>
      <w:numFmt w:val="lowerLetter"/>
      <w:lvlText w:val="%5."/>
      <w:lvlJc w:val="left"/>
      <w:pPr>
        <w:ind w:left="3970" w:hanging="360"/>
      </w:pPr>
    </w:lvl>
    <w:lvl w:ilvl="5" w:tplc="387EA790" w:tentative="1">
      <w:start w:val="1"/>
      <w:numFmt w:val="lowerRoman"/>
      <w:lvlText w:val="%6."/>
      <w:lvlJc w:val="right"/>
      <w:pPr>
        <w:ind w:left="4690" w:hanging="180"/>
      </w:pPr>
    </w:lvl>
    <w:lvl w:ilvl="6" w:tplc="DEBC7978" w:tentative="1">
      <w:start w:val="1"/>
      <w:numFmt w:val="decimal"/>
      <w:lvlText w:val="%7."/>
      <w:lvlJc w:val="left"/>
      <w:pPr>
        <w:ind w:left="5410" w:hanging="360"/>
      </w:pPr>
    </w:lvl>
    <w:lvl w:ilvl="7" w:tplc="80F003CA" w:tentative="1">
      <w:start w:val="1"/>
      <w:numFmt w:val="lowerLetter"/>
      <w:lvlText w:val="%8."/>
      <w:lvlJc w:val="left"/>
      <w:pPr>
        <w:ind w:left="6130" w:hanging="360"/>
      </w:pPr>
    </w:lvl>
    <w:lvl w:ilvl="8" w:tplc="C7CE9EB4" w:tentative="1">
      <w:start w:val="1"/>
      <w:numFmt w:val="lowerRoman"/>
      <w:lvlText w:val="%9."/>
      <w:lvlJc w:val="right"/>
      <w:pPr>
        <w:ind w:left="6850" w:hanging="180"/>
      </w:pPr>
    </w:lvl>
  </w:abstractNum>
  <w:abstractNum w:abstractNumId="16" w15:restartNumberingAfterBreak="0">
    <w:nsid w:val="609C0DCC"/>
    <w:multiLevelType w:val="multilevel"/>
    <w:tmpl w:val="C1848992"/>
    <w:lvl w:ilvl="0">
      <w:start w:val="1"/>
      <w:numFmt w:val="decimal"/>
      <w:pStyle w:val="Paragraphe"/>
      <w:lvlText w:val="[%1]"/>
      <w:lvlJc w:val="left"/>
      <w:pPr>
        <w:tabs>
          <w:tab w:val="num" w:pos="9630"/>
        </w:tabs>
        <w:ind w:left="9270" w:firstLine="0"/>
      </w:pPr>
      <w:rPr>
        <w:rFonts w:ascii="Arial" w:hAnsi="Arial" w:hint="default"/>
        <w:b w:val="0"/>
        <w:i w:val="0"/>
        <w:sz w:val="24"/>
      </w:rPr>
    </w:lvl>
    <w:lvl w:ilvl="1">
      <w:start w:val="1"/>
      <w:numFmt w:val="decimal"/>
      <w:pStyle w:val="Sous-paragraphe"/>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7" w15:restartNumberingAfterBreak="0">
    <w:nsid w:val="6E707F7B"/>
    <w:multiLevelType w:val="hybridMultilevel"/>
    <w:tmpl w:val="BA04A8E8"/>
    <w:lvl w:ilvl="0" w:tplc="6FAEFA30">
      <w:start w:val="1"/>
      <w:numFmt w:val="decimal"/>
      <w:lvlText w:val="%1."/>
      <w:lvlJc w:val="left"/>
      <w:pPr>
        <w:ind w:left="1834" w:hanging="360"/>
      </w:pPr>
      <w:rPr>
        <w:rFonts w:ascii="Arial" w:hAnsi="Arial" w:hint="default"/>
        <w:b w:val="0"/>
        <w:i w:val="0"/>
        <w:caps w:val="0"/>
        <w:strike w:val="0"/>
        <w:dstrike w:val="0"/>
        <w:vanish w:val="0"/>
        <w:sz w:val="24"/>
        <w:vertAlign w:val="baseline"/>
      </w:rPr>
    </w:lvl>
    <w:lvl w:ilvl="1" w:tplc="86E473A8">
      <w:start w:val="1"/>
      <w:numFmt w:val="bullet"/>
      <w:lvlText w:val="o"/>
      <w:lvlJc w:val="left"/>
      <w:pPr>
        <w:ind w:left="2554" w:hanging="360"/>
      </w:pPr>
      <w:rPr>
        <w:rFonts w:ascii="Courier New" w:hAnsi="Courier New" w:cs="Courier New" w:hint="default"/>
      </w:rPr>
    </w:lvl>
    <w:lvl w:ilvl="2" w:tplc="6EA08B10" w:tentative="1">
      <w:start w:val="1"/>
      <w:numFmt w:val="bullet"/>
      <w:lvlText w:val=""/>
      <w:lvlJc w:val="left"/>
      <w:pPr>
        <w:ind w:left="3274" w:hanging="360"/>
      </w:pPr>
      <w:rPr>
        <w:rFonts w:ascii="Wingdings" w:hAnsi="Wingdings" w:hint="default"/>
      </w:rPr>
    </w:lvl>
    <w:lvl w:ilvl="3" w:tplc="4E326D0C" w:tentative="1">
      <w:start w:val="1"/>
      <w:numFmt w:val="bullet"/>
      <w:lvlText w:val=""/>
      <w:lvlJc w:val="left"/>
      <w:pPr>
        <w:ind w:left="3994" w:hanging="360"/>
      </w:pPr>
      <w:rPr>
        <w:rFonts w:ascii="Symbol" w:hAnsi="Symbol" w:hint="default"/>
      </w:rPr>
    </w:lvl>
    <w:lvl w:ilvl="4" w:tplc="DB5043F0" w:tentative="1">
      <w:start w:val="1"/>
      <w:numFmt w:val="bullet"/>
      <w:lvlText w:val="o"/>
      <w:lvlJc w:val="left"/>
      <w:pPr>
        <w:ind w:left="4714" w:hanging="360"/>
      </w:pPr>
      <w:rPr>
        <w:rFonts w:ascii="Courier New" w:hAnsi="Courier New" w:cs="Courier New" w:hint="default"/>
      </w:rPr>
    </w:lvl>
    <w:lvl w:ilvl="5" w:tplc="BE7E9470" w:tentative="1">
      <w:start w:val="1"/>
      <w:numFmt w:val="bullet"/>
      <w:lvlText w:val=""/>
      <w:lvlJc w:val="left"/>
      <w:pPr>
        <w:ind w:left="5434" w:hanging="360"/>
      </w:pPr>
      <w:rPr>
        <w:rFonts w:ascii="Wingdings" w:hAnsi="Wingdings" w:hint="default"/>
      </w:rPr>
    </w:lvl>
    <w:lvl w:ilvl="6" w:tplc="3834B090" w:tentative="1">
      <w:start w:val="1"/>
      <w:numFmt w:val="bullet"/>
      <w:lvlText w:val=""/>
      <w:lvlJc w:val="left"/>
      <w:pPr>
        <w:ind w:left="6154" w:hanging="360"/>
      </w:pPr>
      <w:rPr>
        <w:rFonts w:ascii="Symbol" w:hAnsi="Symbol" w:hint="default"/>
      </w:rPr>
    </w:lvl>
    <w:lvl w:ilvl="7" w:tplc="39B419A6" w:tentative="1">
      <w:start w:val="1"/>
      <w:numFmt w:val="bullet"/>
      <w:lvlText w:val="o"/>
      <w:lvlJc w:val="left"/>
      <w:pPr>
        <w:ind w:left="6874" w:hanging="360"/>
      </w:pPr>
      <w:rPr>
        <w:rFonts w:ascii="Courier New" w:hAnsi="Courier New" w:cs="Courier New" w:hint="default"/>
      </w:rPr>
    </w:lvl>
    <w:lvl w:ilvl="8" w:tplc="53B6C298" w:tentative="1">
      <w:start w:val="1"/>
      <w:numFmt w:val="bullet"/>
      <w:lvlText w:val=""/>
      <w:lvlJc w:val="left"/>
      <w:pPr>
        <w:ind w:left="7594" w:hanging="360"/>
      </w:pPr>
      <w:rPr>
        <w:rFonts w:ascii="Wingdings" w:hAnsi="Wingdings" w:hint="default"/>
      </w:rPr>
    </w:lvl>
  </w:abstractNum>
  <w:num w:numId="1">
    <w:abstractNumId w:val="16"/>
  </w:num>
  <w:num w:numId="2">
    <w:abstractNumId w:val="16"/>
  </w:num>
  <w:num w:numId="3">
    <w:abstractNumId w:val="16"/>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1"/>
  </w:num>
  <w:num w:numId="15">
    <w:abstractNumId w:val="14"/>
  </w:num>
  <w:num w:numId="16">
    <w:abstractNumId w:val="15"/>
  </w:num>
  <w:num w:numId="17">
    <w:abstractNumId w:val="10"/>
  </w:num>
  <w:num w:numId="18">
    <w:abstractNumId w:val="17"/>
  </w:num>
  <w:num w:numId="19">
    <w:abstractNumId w:val="1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removePersonalInformation/>
  <w:removeDateAndTime/>
  <w:defaultTabStop w:val="73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D75"/>
    <w:rsid w:val="00000B73"/>
    <w:rsid w:val="00007668"/>
    <w:rsid w:val="000125E9"/>
    <w:rsid w:val="00016366"/>
    <w:rsid w:val="00020BD3"/>
    <w:rsid w:val="00022C8B"/>
    <w:rsid w:val="00033E70"/>
    <w:rsid w:val="00043668"/>
    <w:rsid w:val="00046A0C"/>
    <w:rsid w:val="00047325"/>
    <w:rsid w:val="00060369"/>
    <w:rsid w:val="00063134"/>
    <w:rsid w:val="000634F9"/>
    <w:rsid w:val="00082EFE"/>
    <w:rsid w:val="00087431"/>
    <w:rsid w:val="00090541"/>
    <w:rsid w:val="00091883"/>
    <w:rsid w:val="000A6A91"/>
    <w:rsid w:val="000B2721"/>
    <w:rsid w:val="000B526F"/>
    <w:rsid w:val="000C5762"/>
    <w:rsid w:val="000D240B"/>
    <w:rsid w:val="000D3DFE"/>
    <w:rsid w:val="000E464F"/>
    <w:rsid w:val="000E61E8"/>
    <w:rsid w:val="000F094C"/>
    <w:rsid w:val="000F6C03"/>
    <w:rsid w:val="00104181"/>
    <w:rsid w:val="001115C8"/>
    <w:rsid w:val="001176D7"/>
    <w:rsid w:val="00124A57"/>
    <w:rsid w:val="00145F26"/>
    <w:rsid w:val="00150DF9"/>
    <w:rsid w:val="00152377"/>
    <w:rsid w:val="00160FD7"/>
    <w:rsid w:val="0016487A"/>
    <w:rsid w:val="001742B2"/>
    <w:rsid w:val="00175E5D"/>
    <w:rsid w:val="00177E85"/>
    <w:rsid w:val="0018194C"/>
    <w:rsid w:val="0019012E"/>
    <w:rsid w:val="00192D42"/>
    <w:rsid w:val="001967E9"/>
    <w:rsid w:val="001974A2"/>
    <w:rsid w:val="001A2EDE"/>
    <w:rsid w:val="001B14A5"/>
    <w:rsid w:val="001C2079"/>
    <w:rsid w:val="001C74D1"/>
    <w:rsid w:val="001F7882"/>
    <w:rsid w:val="00205899"/>
    <w:rsid w:val="00206605"/>
    <w:rsid w:val="00215A0F"/>
    <w:rsid w:val="0022708B"/>
    <w:rsid w:val="00235B36"/>
    <w:rsid w:val="002521DC"/>
    <w:rsid w:val="0025234E"/>
    <w:rsid w:val="00260A4D"/>
    <w:rsid w:val="00277B07"/>
    <w:rsid w:val="00280E47"/>
    <w:rsid w:val="0028358D"/>
    <w:rsid w:val="00290E77"/>
    <w:rsid w:val="002A5C35"/>
    <w:rsid w:val="002B0AA9"/>
    <w:rsid w:val="002C53A9"/>
    <w:rsid w:val="002C7E29"/>
    <w:rsid w:val="002E1B81"/>
    <w:rsid w:val="002E2D4A"/>
    <w:rsid w:val="002E301F"/>
    <w:rsid w:val="002E626C"/>
    <w:rsid w:val="0030546F"/>
    <w:rsid w:val="00316A1C"/>
    <w:rsid w:val="00320DB7"/>
    <w:rsid w:val="0032121C"/>
    <w:rsid w:val="0033185F"/>
    <w:rsid w:val="003336F7"/>
    <w:rsid w:val="003356A8"/>
    <w:rsid w:val="00355406"/>
    <w:rsid w:val="00363715"/>
    <w:rsid w:val="00363BD8"/>
    <w:rsid w:val="00367DCA"/>
    <w:rsid w:val="003974AB"/>
    <w:rsid w:val="003A0349"/>
    <w:rsid w:val="003B689F"/>
    <w:rsid w:val="003C421B"/>
    <w:rsid w:val="003D4AE1"/>
    <w:rsid w:val="003E51AB"/>
    <w:rsid w:val="003E75D9"/>
    <w:rsid w:val="003F7250"/>
    <w:rsid w:val="00400E7A"/>
    <w:rsid w:val="00403940"/>
    <w:rsid w:val="00403D4F"/>
    <w:rsid w:val="00412003"/>
    <w:rsid w:val="00416163"/>
    <w:rsid w:val="00434AA6"/>
    <w:rsid w:val="00435127"/>
    <w:rsid w:val="00436B47"/>
    <w:rsid w:val="00441564"/>
    <w:rsid w:val="00441EAB"/>
    <w:rsid w:val="004444CA"/>
    <w:rsid w:val="0044730F"/>
    <w:rsid w:val="00451027"/>
    <w:rsid w:val="004517D1"/>
    <w:rsid w:val="00455978"/>
    <w:rsid w:val="00456209"/>
    <w:rsid w:val="00461CF4"/>
    <w:rsid w:val="00466E3A"/>
    <w:rsid w:val="00475BDC"/>
    <w:rsid w:val="00475DD4"/>
    <w:rsid w:val="004A084B"/>
    <w:rsid w:val="004A5AD2"/>
    <w:rsid w:val="004A6A9D"/>
    <w:rsid w:val="004A7E84"/>
    <w:rsid w:val="004B0D91"/>
    <w:rsid w:val="004B1D23"/>
    <w:rsid w:val="004E055D"/>
    <w:rsid w:val="004E3892"/>
    <w:rsid w:val="004F3340"/>
    <w:rsid w:val="005022DD"/>
    <w:rsid w:val="00506AE2"/>
    <w:rsid w:val="00514995"/>
    <w:rsid w:val="00526230"/>
    <w:rsid w:val="005347B4"/>
    <w:rsid w:val="00535838"/>
    <w:rsid w:val="00552157"/>
    <w:rsid w:val="005522F4"/>
    <w:rsid w:val="00552902"/>
    <w:rsid w:val="00557531"/>
    <w:rsid w:val="005840D4"/>
    <w:rsid w:val="00584195"/>
    <w:rsid w:val="005A645D"/>
    <w:rsid w:val="005A7A28"/>
    <w:rsid w:val="005B7F7F"/>
    <w:rsid w:val="005C7E09"/>
    <w:rsid w:val="005D588D"/>
    <w:rsid w:val="005D669F"/>
    <w:rsid w:val="005D7840"/>
    <w:rsid w:val="005F3486"/>
    <w:rsid w:val="005F5E52"/>
    <w:rsid w:val="006008C2"/>
    <w:rsid w:val="0061149B"/>
    <w:rsid w:val="006254E7"/>
    <w:rsid w:val="00631D40"/>
    <w:rsid w:val="0063696D"/>
    <w:rsid w:val="0064400A"/>
    <w:rsid w:val="0064558E"/>
    <w:rsid w:val="00646F65"/>
    <w:rsid w:val="00655266"/>
    <w:rsid w:val="00665824"/>
    <w:rsid w:val="00696CB2"/>
    <w:rsid w:val="006A0A23"/>
    <w:rsid w:val="006B059F"/>
    <w:rsid w:val="00700007"/>
    <w:rsid w:val="007027F3"/>
    <w:rsid w:val="00716A71"/>
    <w:rsid w:val="007216E2"/>
    <w:rsid w:val="007241CD"/>
    <w:rsid w:val="00725061"/>
    <w:rsid w:val="00731B2E"/>
    <w:rsid w:val="007343E0"/>
    <w:rsid w:val="00740606"/>
    <w:rsid w:val="00752C34"/>
    <w:rsid w:val="007633DE"/>
    <w:rsid w:val="00771614"/>
    <w:rsid w:val="007738A9"/>
    <w:rsid w:val="007800E5"/>
    <w:rsid w:val="0078721D"/>
    <w:rsid w:val="00790109"/>
    <w:rsid w:val="007A2F5D"/>
    <w:rsid w:val="007A5B2E"/>
    <w:rsid w:val="007A7FB0"/>
    <w:rsid w:val="007C34CE"/>
    <w:rsid w:val="007D4BE1"/>
    <w:rsid w:val="007D677E"/>
    <w:rsid w:val="007E02B6"/>
    <w:rsid w:val="007E3BA7"/>
    <w:rsid w:val="007F6B8E"/>
    <w:rsid w:val="0081048A"/>
    <w:rsid w:val="00821614"/>
    <w:rsid w:val="008319F0"/>
    <w:rsid w:val="00847651"/>
    <w:rsid w:val="0085793C"/>
    <w:rsid w:val="00862B0A"/>
    <w:rsid w:val="00875A35"/>
    <w:rsid w:val="00882BAF"/>
    <w:rsid w:val="00883544"/>
    <w:rsid w:val="008840A9"/>
    <w:rsid w:val="008875F8"/>
    <w:rsid w:val="008B2442"/>
    <w:rsid w:val="008B57C1"/>
    <w:rsid w:val="008C080C"/>
    <w:rsid w:val="008C2B26"/>
    <w:rsid w:val="008F241F"/>
    <w:rsid w:val="008F5F35"/>
    <w:rsid w:val="00901C1F"/>
    <w:rsid w:val="00904E5B"/>
    <w:rsid w:val="00915B88"/>
    <w:rsid w:val="00923DB0"/>
    <w:rsid w:val="00924B13"/>
    <w:rsid w:val="00926BA0"/>
    <w:rsid w:val="00963B63"/>
    <w:rsid w:val="00977E53"/>
    <w:rsid w:val="009959E8"/>
    <w:rsid w:val="009A03D2"/>
    <w:rsid w:val="009A1D54"/>
    <w:rsid w:val="009B09E0"/>
    <w:rsid w:val="009B29FD"/>
    <w:rsid w:val="009C3D5F"/>
    <w:rsid w:val="009D221D"/>
    <w:rsid w:val="009D61E7"/>
    <w:rsid w:val="009E66E0"/>
    <w:rsid w:val="009F6D98"/>
    <w:rsid w:val="009F7513"/>
    <w:rsid w:val="00A1746F"/>
    <w:rsid w:val="00A36950"/>
    <w:rsid w:val="00A4169F"/>
    <w:rsid w:val="00A52138"/>
    <w:rsid w:val="00A54408"/>
    <w:rsid w:val="00A550E2"/>
    <w:rsid w:val="00A64FDE"/>
    <w:rsid w:val="00A76247"/>
    <w:rsid w:val="00A94552"/>
    <w:rsid w:val="00AC771C"/>
    <w:rsid w:val="00AD0F88"/>
    <w:rsid w:val="00AD1AD0"/>
    <w:rsid w:val="00AD2159"/>
    <w:rsid w:val="00AD77EE"/>
    <w:rsid w:val="00AE5A1B"/>
    <w:rsid w:val="00AF138E"/>
    <w:rsid w:val="00AF4C04"/>
    <w:rsid w:val="00B13DF5"/>
    <w:rsid w:val="00B15794"/>
    <w:rsid w:val="00B252C4"/>
    <w:rsid w:val="00B348DC"/>
    <w:rsid w:val="00B3553B"/>
    <w:rsid w:val="00B4614A"/>
    <w:rsid w:val="00B5049A"/>
    <w:rsid w:val="00B63945"/>
    <w:rsid w:val="00B71062"/>
    <w:rsid w:val="00B73F25"/>
    <w:rsid w:val="00B76F39"/>
    <w:rsid w:val="00BA24BD"/>
    <w:rsid w:val="00BA6BC8"/>
    <w:rsid w:val="00BB0D28"/>
    <w:rsid w:val="00BB6837"/>
    <w:rsid w:val="00BD0B3A"/>
    <w:rsid w:val="00BE79CF"/>
    <w:rsid w:val="00BF5619"/>
    <w:rsid w:val="00C01EA4"/>
    <w:rsid w:val="00C06BC0"/>
    <w:rsid w:val="00C124B1"/>
    <w:rsid w:val="00C220B4"/>
    <w:rsid w:val="00C24D75"/>
    <w:rsid w:val="00C27F46"/>
    <w:rsid w:val="00C40F30"/>
    <w:rsid w:val="00C47524"/>
    <w:rsid w:val="00C51BD5"/>
    <w:rsid w:val="00C572A5"/>
    <w:rsid w:val="00C61E62"/>
    <w:rsid w:val="00C6368F"/>
    <w:rsid w:val="00C64361"/>
    <w:rsid w:val="00C675AE"/>
    <w:rsid w:val="00C74169"/>
    <w:rsid w:val="00C772C7"/>
    <w:rsid w:val="00C779E2"/>
    <w:rsid w:val="00C82878"/>
    <w:rsid w:val="00C86E93"/>
    <w:rsid w:val="00C94F16"/>
    <w:rsid w:val="00CA72AC"/>
    <w:rsid w:val="00CD6E43"/>
    <w:rsid w:val="00CE07CF"/>
    <w:rsid w:val="00D00204"/>
    <w:rsid w:val="00D13722"/>
    <w:rsid w:val="00D14D01"/>
    <w:rsid w:val="00D20B9E"/>
    <w:rsid w:val="00D22007"/>
    <w:rsid w:val="00D30D12"/>
    <w:rsid w:val="00D32A99"/>
    <w:rsid w:val="00D34775"/>
    <w:rsid w:val="00D35E4B"/>
    <w:rsid w:val="00D41BA5"/>
    <w:rsid w:val="00D51C2A"/>
    <w:rsid w:val="00D5440E"/>
    <w:rsid w:val="00D646EA"/>
    <w:rsid w:val="00D71A50"/>
    <w:rsid w:val="00D7363F"/>
    <w:rsid w:val="00D823D1"/>
    <w:rsid w:val="00D83585"/>
    <w:rsid w:val="00D84DE2"/>
    <w:rsid w:val="00D8759F"/>
    <w:rsid w:val="00DA0329"/>
    <w:rsid w:val="00DA48BF"/>
    <w:rsid w:val="00DA5332"/>
    <w:rsid w:val="00DA5EE6"/>
    <w:rsid w:val="00DC1BF9"/>
    <w:rsid w:val="00DC67BA"/>
    <w:rsid w:val="00E0357E"/>
    <w:rsid w:val="00E064AC"/>
    <w:rsid w:val="00E22B49"/>
    <w:rsid w:val="00E358E3"/>
    <w:rsid w:val="00E400DB"/>
    <w:rsid w:val="00E41458"/>
    <w:rsid w:val="00E42E7A"/>
    <w:rsid w:val="00E5211E"/>
    <w:rsid w:val="00E53CA2"/>
    <w:rsid w:val="00E65AE5"/>
    <w:rsid w:val="00E661A2"/>
    <w:rsid w:val="00E7598C"/>
    <w:rsid w:val="00E76C9B"/>
    <w:rsid w:val="00E809C7"/>
    <w:rsid w:val="00E81AE6"/>
    <w:rsid w:val="00E852CB"/>
    <w:rsid w:val="00E8776D"/>
    <w:rsid w:val="00E93360"/>
    <w:rsid w:val="00E939F8"/>
    <w:rsid w:val="00E96CB8"/>
    <w:rsid w:val="00EA3E8D"/>
    <w:rsid w:val="00EB15C6"/>
    <w:rsid w:val="00EC4CF3"/>
    <w:rsid w:val="00EC683B"/>
    <w:rsid w:val="00ED52F8"/>
    <w:rsid w:val="00ED6005"/>
    <w:rsid w:val="00EE154F"/>
    <w:rsid w:val="00EF1569"/>
    <w:rsid w:val="00EF34AF"/>
    <w:rsid w:val="00F031A9"/>
    <w:rsid w:val="00F05D2F"/>
    <w:rsid w:val="00F10554"/>
    <w:rsid w:val="00F17414"/>
    <w:rsid w:val="00F21726"/>
    <w:rsid w:val="00F3230F"/>
    <w:rsid w:val="00F332A5"/>
    <w:rsid w:val="00F33E1E"/>
    <w:rsid w:val="00F41032"/>
    <w:rsid w:val="00F44C89"/>
    <w:rsid w:val="00F52E2D"/>
    <w:rsid w:val="00F5447C"/>
    <w:rsid w:val="00F620B2"/>
    <w:rsid w:val="00F64770"/>
    <w:rsid w:val="00F834F8"/>
    <w:rsid w:val="00F83A5C"/>
    <w:rsid w:val="00F9066E"/>
    <w:rsid w:val="00F97C7D"/>
    <w:rsid w:val="00FB1FF4"/>
    <w:rsid w:val="00FC3001"/>
    <w:rsid w:val="00FC7E56"/>
    <w:rsid w:val="00FD5814"/>
    <w:rsid w:val="00FE464E"/>
    <w:rsid w:val="00FE502F"/>
    <w:rsid w:val="00FF3DA7"/>
    <w:rsid w:val="00FF691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eastAsia="fr-FR"/>
    </w:rPr>
  </w:style>
  <w:style w:type="paragraph" w:styleId="Titre1">
    <w:name w:val="heading 1"/>
    <w:basedOn w:val="Normal"/>
    <w:next w:val="Normal"/>
    <w:qFormat/>
    <w:pPr>
      <w:keepNext/>
      <w:spacing w:before="240" w:after="60"/>
      <w:outlineLvl w:val="0"/>
    </w:pPr>
    <w:rPr>
      <w:b/>
      <w:kern w:val="28"/>
      <w:sz w:val="28"/>
    </w:rPr>
  </w:style>
  <w:style w:type="paragraph" w:styleId="Titre2">
    <w:name w:val="heading 2"/>
    <w:basedOn w:val="Normal"/>
    <w:next w:val="Normal"/>
    <w:qFormat/>
    <w:pPr>
      <w:keepNext/>
      <w:spacing w:before="240" w:after="60"/>
      <w:outlineLvl w:val="1"/>
    </w:pPr>
    <w:rPr>
      <w:b/>
      <w:i/>
    </w:rPr>
  </w:style>
  <w:style w:type="paragraph" w:styleId="Titre3">
    <w:name w:val="heading 3"/>
    <w:basedOn w:val="Normal"/>
    <w:next w:val="Normal"/>
    <w:qFormat/>
    <w:pPr>
      <w:keepNext/>
      <w:spacing w:before="240" w:after="60"/>
      <w:outlineLvl w:val="2"/>
    </w:pPr>
  </w:style>
  <w:style w:type="paragraph" w:styleId="Titre4">
    <w:name w:val="heading 4"/>
    <w:basedOn w:val="Normal"/>
    <w:next w:val="Normal"/>
    <w:qFormat/>
    <w:pPr>
      <w:keepNext/>
      <w:spacing w:before="240" w:after="60"/>
      <w:outlineLvl w:val="3"/>
    </w:pPr>
    <w:rPr>
      <w:b/>
    </w:rPr>
  </w:style>
  <w:style w:type="paragraph" w:styleId="Titre5">
    <w:name w:val="heading 5"/>
    <w:basedOn w:val="Normal"/>
    <w:next w:val="Normal"/>
    <w:qFormat/>
    <w:pPr>
      <w:spacing w:before="240" w:after="60"/>
      <w:outlineLvl w:val="4"/>
    </w:pPr>
    <w:rPr>
      <w:sz w:val="22"/>
    </w:rPr>
  </w:style>
  <w:style w:type="paragraph" w:styleId="Titre6">
    <w:name w:val="heading 6"/>
    <w:basedOn w:val="Normal"/>
    <w:next w:val="Normal"/>
    <w:qFormat/>
    <w:pPr>
      <w:spacing w:before="240" w:after="60"/>
      <w:outlineLvl w:val="5"/>
    </w:pPr>
    <w:rPr>
      <w:i/>
      <w:sz w:val="22"/>
    </w:rPr>
  </w:style>
  <w:style w:type="paragraph" w:styleId="Titre7">
    <w:name w:val="heading 7"/>
    <w:basedOn w:val="Normal"/>
    <w:next w:val="Normal"/>
    <w:qFormat/>
    <w:pPr>
      <w:spacing w:before="240" w:after="60"/>
      <w:outlineLvl w:val="6"/>
    </w:pPr>
    <w:rPr>
      <w:sz w:val="20"/>
    </w:rPr>
  </w:style>
  <w:style w:type="paragraph" w:styleId="Titre8">
    <w:name w:val="heading 8"/>
    <w:basedOn w:val="Normal"/>
    <w:next w:val="Normal"/>
    <w:qFormat/>
    <w:pPr>
      <w:spacing w:before="240" w:after="60"/>
      <w:outlineLvl w:val="7"/>
    </w:pPr>
    <w:rPr>
      <w:i/>
      <w:sz w:val="20"/>
    </w:rPr>
  </w:style>
  <w:style w:type="paragraph" w:styleId="Titre9">
    <w:name w:val="heading 9"/>
    <w:basedOn w:val="Normal"/>
    <w:next w:val="Normal"/>
    <w:qFormat/>
    <w:p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rsid w:val="00EC683B"/>
    <w:pPr>
      <w:numPr>
        <w:numId w:val="2"/>
      </w:numPr>
      <w:tabs>
        <w:tab w:val="clear" w:pos="9630"/>
      </w:tabs>
      <w:spacing w:before="120" w:after="120"/>
      <w:ind w:left="0"/>
      <w:jc w:val="both"/>
    </w:pPr>
    <w:rPr>
      <w:kern w:val="28"/>
    </w:rPr>
  </w:style>
  <w:style w:type="paragraph" w:customStyle="1" w:styleId="Citationenretrait">
    <w:name w:val="Citation en retrait"/>
    <w:basedOn w:val="Normal"/>
    <w:pPr>
      <w:spacing w:before="120" w:after="120"/>
      <w:ind w:left="720" w:right="720"/>
      <w:jc w:val="both"/>
    </w:pPr>
    <w:rPr>
      <w:kern w:val="24"/>
      <w:sz w:val="22"/>
    </w:rPr>
  </w:style>
  <w:style w:type="character" w:customStyle="1" w:styleId="Citationintgre">
    <w:name w:val="Citation intégrée"/>
    <w:basedOn w:val="Policepardfaut"/>
    <w:rPr>
      <w:rFonts w:ascii="Arial" w:hAnsi="Arial"/>
      <w:i/>
      <w:noProof w:val="0"/>
      <w:sz w:val="22"/>
      <w:lang w:val="fr-CA"/>
    </w:rPr>
  </w:style>
  <w:style w:type="paragraph" w:styleId="Corpsdetexte">
    <w:name w:val="Body Text"/>
    <w:basedOn w:val="Normal"/>
    <w:semiHidden/>
    <w:pPr>
      <w:spacing w:after="120"/>
    </w:pPr>
  </w:style>
  <w:style w:type="paragraph" w:styleId="Notedebasdepage">
    <w:name w:val="footnote text"/>
    <w:basedOn w:val="Normal"/>
    <w:link w:val="NotedebasdepageCar"/>
    <w:pPr>
      <w:ind w:left="360" w:hanging="360"/>
      <w:jc w:val="both"/>
    </w:pPr>
    <w:rPr>
      <w:sz w:val="20"/>
    </w:rPr>
  </w:style>
  <w:style w:type="paragraph" w:styleId="Notedefin">
    <w:name w:val="endnote text"/>
    <w:basedOn w:val="Normal"/>
    <w:semiHidden/>
    <w:pPr>
      <w:ind w:left="-360"/>
      <w:jc w:val="both"/>
    </w:pPr>
    <w:rPr>
      <w:sz w:val="20"/>
    </w:rPr>
  </w:style>
  <w:style w:type="paragraph" w:customStyle="1" w:styleId="zSoquijlblCour">
    <w:name w:val="zSoquij_lblCour"/>
    <w:basedOn w:val="Normal"/>
    <w:pPr>
      <w:jc w:val="center"/>
    </w:pPr>
    <w:rPr>
      <w:b/>
      <w:sz w:val="36"/>
    </w:rPr>
  </w:style>
  <w:style w:type="paragraph" w:customStyle="1" w:styleId="zSoquijlblPays">
    <w:name w:val="zSoquij_lblPays"/>
    <w:basedOn w:val="Normal"/>
  </w:style>
  <w:style w:type="paragraph" w:customStyle="1" w:styleId="zSoquijlblProvince">
    <w:name w:val="zSoquij_lblProvince"/>
    <w:basedOn w:val="Normal"/>
  </w:style>
  <w:style w:type="paragraph" w:customStyle="1" w:styleId="zSoquijlblGreffe">
    <w:name w:val="zSoquij_lblGreffe"/>
    <w:basedOn w:val="Normal"/>
    <w:pPr>
      <w:ind w:left="70"/>
    </w:pPr>
  </w:style>
  <w:style w:type="paragraph" w:customStyle="1" w:styleId="zSoquijdatGreffe">
    <w:name w:val="zSoquij_datGreffe"/>
    <w:basedOn w:val="Normal"/>
    <w:pPr>
      <w:ind w:left="29"/>
    </w:pPr>
  </w:style>
  <w:style w:type="paragraph" w:customStyle="1" w:styleId="zSoquijdatDivision">
    <w:name w:val="zSoquij_datDivision"/>
    <w:basedOn w:val="Normal"/>
    <w:pPr>
      <w:jc w:val="center"/>
    </w:pPr>
    <w:rPr>
      <w:sz w:val="22"/>
    </w:rPr>
  </w:style>
  <w:style w:type="paragraph" w:customStyle="1" w:styleId="zSoquijlblNoDossier">
    <w:name w:val="zSoquij_lblNoDossier"/>
    <w:basedOn w:val="Normal"/>
  </w:style>
  <w:style w:type="paragraph" w:customStyle="1" w:styleId="zSoquijdatNoDossier">
    <w:name w:val="zSoquij_datNoDossier"/>
    <w:basedOn w:val="Normal"/>
  </w:style>
  <w:style w:type="paragraph" w:customStyle="1" w:styleId="zSoquijdatNoDossierAnt">
    <w:name w:val="zSoquij_datNoDossierAnt"/>
    <w:basedOn w:val="Normal"/>
  </w:style>
  <w:style w:type="paragraph" w:customStyle="1" w:styleId="zSoquijdatDateJugement">
    <w:name w:val="zSoquij_datDateJugement"/>
    <w:basedOn w:val="Normal"/>
  </w:style>
  <w:style w:type="paragraph" w:customStyle="1" w:styleId="zSoquijlblDateJugement">
    <w:name w:val="zSoquij_lblDateJugement"/>
    <w:basedOn w:val="Normal"/>
  </w:style>
  <w:style w:type="paragraph" w:customStyle="1" w:styleId="zSoquijlblJuge">
    <w:name w:val="zSoquij_lblJuge"/>
    <w:basedOn w:val="Normal"/>
    <w:pPr>
      <w:ind w:left="70"/>
    </w:pPr>
    <w:rPr>
      <w:b/>
    </w:rPr>
  </w:style>
  <w:style w:type="paragraph" w:customStyle="1" w:styleId="zSoquijdatQteJuge">
    <w:name w:val="zSoquij_datQteJuge"/>
    <w:basedOn w:val="Normal"/>
    <w:pPr>
      <w:ind w:left="29"/>
    </w:pPr>
    <w:rPr>
      <w:b/>
    </w:rPr>
  </w:style>
  <w:style w:type="paragraph" w:customStyle="1" w:styleId="zSoquijdatJuge">
    <w:name w:val="zSoquij_datJuge"/>
    <w:basedOn w:val="Normal"/>
    <w:pPr>
      <w:ind w:left="52"/>
    </w:pPr>
    <w:rPr>
      <w:b/>
    </w:rPr>
  </w:style>
  <w:style w:type="paragraph" w:customStyle="1" w:styleId="zSoquijdatNomPartieDem">
    <w:name w:val="zSoquij_datNomPartieDem"/>
    <w:basedOn w:val="Normal"/>
    <w:rPr>
      <w:b/>
      <w:bCs/>
    </w:rPr>
  </w:style>
  <w:style w:type="paragraph" w:customStyle="1" w:styleId="zSoquijdatQtePartieDem">
    <w:name w:val="zSoquij_datQtePartieDem"/>
    <w:basedOn w:val="Normal"/>
    <w:pPr>
      <w:ind w:left="708"/>
    </w:pPr>
  </w:style>
  <w:style w:type="paragraph" w:customStyle="1" w:styleId="zSoquijlblLienParties">
    <w:name w:val="zSoquij_lblLienParties"/>
    <w:basedOn w:val="Normal"/>
  </w:style>
  <w:style w:type="paragraph" w:customStyle="1" w:styleId="zSoquijdatNomPartieDef">
    <w:name w:val="zSoquij_datNomPartieDef"/>
    <w:basedOn w:val="Normal"/>
    <w:rPr>
      <w:b/>
      <w:bCs/>
    </w:rPr>
  </w:style>
  <w:style w:type="paragraph" w:customStyle="1" w:styleId="zSoquijdatQtePartieDef">
    <w:name w:val="zSoquij_datQtePartieDef"/>
    <w:basedOn w:val="Normal"/>
    <w:pPr>
      <w:ind w:left="708"/>
    </w:pPr>
  </w:style>
  <w:style w:type="paragraph" w:customStyle="1" w:styleId="zSoquijlblTypeDocument">
    <w:name w:val="zSoquij_lblTypeDocument"/>
    <w:basedOn w:val="Normal"/>
    <w:pPr>
      <w:jc w:val="center"/>
    </w:pPr>
  </w:style>
  <w:style w:type="paragraph" w:customStyle="1" w:styleId="zSoquijlblProcureurDem">
    <w:name w:val="zSoquij_lblProcureurDem"/>
    <w:basedOn w:val="Normal"/>
  </w:style>
  <w:style w:type="paragraph" w:customStyle="1" w:styleId="zSoquijlblProcureurDef">
    <w:name w:val="zSoquij_lblProcureurDef"/>
    <w:basedOn w:val="Normal"/>
  </w:style>
  <w:style w:type="paragraph" w:customStyle="1" w:styleId="zSoquijlblDateAudience">
    <w:name w:val="zSoquij_lblDateAudience"/>
    <w:basedOn w:val="Normal"/>
  </w:style>
  <w:style w:type="paragraph" w:customStyle="1" w:styleId="zSoquijdatDateAudience">
    <w:name w:val="zSoquij_datDateAudience"/>
    <w:basedOn w:val="Normal"/>
  </w:style>
  <w:style w:type="paragraph" w:customStyle="1" w:styleId="zSoquijlblNomChambre">
    <w:name w:val="zSoquij_lblNomChambre"/>
    <w:basedOn w:val="Normal"/>
  </w:style>
  <w:style w:type="paragraph" w:customStyle="1" w:styleId="zSoquijlblOpinionJuge">
    <w:name w:val="zSoquij_lblOpinionJuge"/>
    <w:basedOn w:val="Normal"/>
    <w:pPr>
      <w:tabs>
        <w:tab w:val="left" w:pos="720"/>
      </w:tabs>
      <w:jc w:val="center"/>
    </w:pPr>
  </w:style>
  <w:style w:type="character" w:customStyle="1" w:styleId="zSoquijlblEntNoDossier">
    <w:name w:val="zSoquij_lblEntNoDossier"/>
    <w:basedOn w:val="Policepardfaut"/>
    <w:rPr>
      <w:lang w:val="fr-CA"/>
    </w:rPr>
  </w:style>
  <w:style w:type="paragraph" w:customStyle="1" w:styleId="zSoquijlblTitrePartie">
    <w:name w:val="zSoquij_lblTitrePartie"/>
    <w:basedOn w:val="Normal"/>
  </w:style>
  <w:style w:type="paragraph" w:customStyle="1" w:styleId="zSoquijdatSignature3Juge">
    <w:name w:val="zSoquij_datSignature3Juge"/>
    <w:basedOn w:val="Normal"/>
  </w:style>
  <w:style w:type="paragraph" w:customStyle="1" w:styleId="ParagNonNum">
    <w:name w:val="ParagNonNum"/>
    <w:basedOn w:val="Paragraphe"/>
    <w:rsid w:val="00104181"/>
    <w:pPr>
      <w:keepNext/>
      <w:numPr>
        <w:numId w:val="0"/>
      </w:numPr>
      <w:ind w:firstLine="734"/>
    </w:pPr>
  </w:style>
  <w:style w:type="paragraph" w:customStyle="1" w:styleId="zSoquijdatIdJuge">
    <w:name w:val="zSoquij_datIdJuge"/>
    <w:basedOn w:val="Normal"/>
    <w:pPr>
      <w:jc w:val="center"/>
    </w:pPr>
    <w:rPr>
      <w:sz w:val="20"/>
    </w:rPr>
  </w:style>
  <w:style w:type="paragraph" w:customStyle="1" w:styleId="Sous-paragraphe">
    <w:name w:val="Sous-paragraphe"/>
    <w:basedOn w:val="Normal"/>
    <w:pPr>
      <w:widowControl w:val="0"/>
      <w:numPr>
        <w:ilvl w:val="1"/>
        <w:numId w:val="2"/>
      </w:numPr>
      <w:spacing w:after="120"/>
      <w:jc w:val="both"/>
    </w:pPr>
    <w:rPr>
      <w:kern w:val="28"/>
    </w:rPr>
  </w:style>
  <w:style w:type="paragraph" w:customStyle="1" w:styleId="zSoquijdatNomProcureurDem">
    <w:name w:val="zSoquij_datNomProcureurDem"/>
    <w:basedOn w:val="zSoquijlblProcureurDem"/>
  </w:style>
  <w:style w:type="paragraph" w:customStyle="1" w:styleId="zSoquijdatNomProcureurDef">
    <w:name w:val="zSoquij_datNomProcureurDef"/>
    <w:basedOn w:val="zSoquijlblProcureurDef"/>
  </w:style>
  <w:style w:type="paragraph" w:customStyle="1" w:styleId="zSoquijdatCabinetProcureurDem">
    <w:name w:val="zSoquij_datCabinetProcureurDem"/>
    <w:basedOn w:val="Normal"/>
  </w:style>
  <w:style w:type="paragraph" w:customStyle="1" w:styleId="zSoquijdatCabinetProcureurDef">
    <w:name w:val="zSoquij_datCabinetProcureurDef"/>
    <w:basedOn w:val="zSoquijlblProcureurDef"/>
  </w:style>
  <w:style w:type="paragraph" w:customStyle="1" w:styleId="zSoquijdatSignatureJuge1">
    <w:name w:val="zSoquij_datSignatureJuge1"/>
    <w:basedOn w:val="Normal"/>
  </w:style>
  <w:style w:type="paragraph" w:customStyle="1" w:styleId="zSoquijdatSignatureJuge2">
    <w:name w:val="zSoquij_datSignatureJuge2"/>
    <w:basedOn w:val="Normal"/>
  </w:style>
  <w:style w:type="paragraph" w:customStyle="1" w:styleId="zSoquijdatSignatureJuge3">
    <w:name w:val="zSoquij_datSignatureJuge3"/>
    <w:basedOn w:val="Normal"/>
  </w:style>
  <w:style w:type="paragraph" w:customStyle="1" w:styleId="zSoquijdatRepertorie">
    <w:name w:val="zSoquij_datRepertorie"/>
    <w:basedOn w:val="zSoquijlblCour"/>
    <w:pPr>
      <w:jc w:val="left"/>
    </w:pPr>
    <w:rPr>
      <w:noProof/>
      <w:sz w:val="22"/>
    </w:rPr>
  </w:style>
  <w:style w:type="paragraph" w:customStyle="1" w:styleId="zSoquijdatRefNeutre">
    <w:name w:val="zSoquij_datRefNeutre"/>
    <w:basedOn w:val="zSoquijlblCour"/>
    <w:pPr>
      <w:jc w:val="left"/>
    </w:pPr>
    <w:rPr>
      <w:noProof/>
      <w:sz w:val="22"/>
    </w:rPr>
  </w:style>
  <w:style w:type="paragraph" w:customStyle="1" w:styleId="zSoquijdatSignature2Juge">
    <w:name w:val="zSoquij_datSignature2Juge"/>
    <w:basedOn w:val="zSoquijdatSignatureJuge3"/>
  </w:style>
  <w:style w:type="paragraph" w:customStyle="1" w:styleId="ParagAlaMarge">
    <w:name w:val="ParagAlaMarge"/>
    <w:basedOn w:val="ParagNonNum"/>
    <w:rsid w:val="00104181"/>
    <w:pPr>
      <w:spacing w:before="360"/>
      <w:ind w:firstLine="0"/>
    </w:pPr>
    <w:rPr>
      <w:b/>
    </w:rPr>
  </w:style>
  <w:style w:type="paragraph" w:customStyle="1" w:styleId="zSoquijlblAssesseurs">
    <w:name w:val="zSoquij_lblAssesseurs"/>
    <w:basedOn w:val="Normal"/>
    <w:pPr>
      <w:ind w:left="14" w:right="-67"/>
    </w:pPr>
  </w:style>
  <w:style w:type="paragraph" w:customStyle="1" w:styleId="zSoquijdatAssesseurs">
    <w:name w:val="zSoquij_datAssesseurs"/>
    <w:basedOn w:val="Normal"/>
    <w:pPr>
      <w:ind w:left="14" w:right="-67"/>
    </w:pPr>
  </w:style>
  <w:style w:type="paragraph" w:customStyle="1" w:styleId="zSoquijlblLocalite">
    <w:name w:val="zSoquij_lblLocalite"/>
    <w:basedOn w:val="zSoquijlblGreffe"/>
  </w:style>
  <w:style w:type="paragraph" w:customStyle="1" w:styleId="zSoquijdatLocalite">
    <w:name w:val="zSoquij_datLocalite"/>
    <w:basedOn w:val="zSoquijdatGreffe"/>
  </w:style>
  <w:style w:type="paragraph" w:styleId="En-tte">
    <w:name w:val="header"/>
    <w:basedOn w:val="Normal"/>
    <w:link w:val="En-tteCar"/>
    <w:uiPriority w:val="99"/>
    <w:unhideWhenUsed/>
    <w:rsid w:val="004B1D23"/>
    <w:pPr>
      <w:tabs>
        <w:tab w:val="center" w:pos="4320"/>
        <w:tab w:val="right" w:pos="8640"/>
      </w:tabs>
    </w:pPr>
  </w:style>
  <w:style w:type="character" w:customStyle="1" w:styleId="En-tteCar">
    <w:name w:val="En-tête Car"/>
    <w:basedOn w:val="Policepardfaut"/>
    <w:link w:val="En-tte"/>
    <w:uiPriority w:val="99"/>
    <w:rsid w:val="004B1D23"/>
    <w:rPr>
      <w:rFonts w:ascii="Arial" w:hAnsi="Arial"/>
      <w:sz w:val="24"/>
      <w:lang w:val="fr-CA" w:eastAsia="fr-FR"/>
    </w:rPr>
  </w:style>
  <w:style w:type="paragraph" w:styleId="Pieddepage">
    <w:name w:val="footer"/>
    <w:basedOn w:val="Normal"/>
    <w:link w:val="PieddepageCar"/>
    <w:uiPriority w:val="99"/>
    <w:unhideWhenUsed/>
    <w:rsid w:val="004B1D23"/>
    <w:pPr>
      <w:tabs>
        <w:tab w:val="center" w:pos="4320"/>
        <w:tab w:val="right" w:pos="8640"/>
      </w:tabs>
    </w:pPr>
  </w:style>
  <w:style w:type="character" w:customStyle="1" w:styleId="PieddepageCar">
    <w:name w:val="Pied de page Car"/>
    <w:basedOn w:val="Policepardfaut"/>
    <w:link w:val="Pieddepage"/>
    <w:uiPriority w:val="99"/>
    <w:rsid w:val="004B1D23"/>
    <w:rPr>
      <w:rFonts w:ascii="Arial" w:hAnsi="Arial"/>
      <w:sz w:val="24"/>
      <w:lang w:val="fr-CA" w:eastAsia="fr-FR"/>
    </w:rPr>
  </w:style>
  <w:style w:type="character" w:styleId="Appelnotedebasdep">
    <w:name w:val="footnote reference"/>
    <w:basedOn w:val="Policepardfaut"/>
    <w:uiPriority w:val="99"/>
    <w:rsid w:val="00E0357E"/>
    <w:rPr>
      <w:vertAlign w:val="superscript"/>
      <w:lang w:val="fr-CA"/>
    </w:rPr>
  </w:style>
  <w:style w:type="character" w:customStyle="1" w:styleId="NotedebasdepageCar">
    <w:name w:val="Note de bas de page Car"/>
    <w:link w:val="Notedebasdepage"/>
    <w:rsid w:val="00087431"/>
    <w:rPr>
      <w:rFonts w:ascii="Arial" w:hAnsi="Arial"/>
      <w:lang w:eastAsia="fr-FR"/>
    </w:rPr>
  </w:style>
  <w:style w:type="paragraph" w:customStyle="1" w:styleId="Default">
    <w:name w:val="Default"/>
    <w:rsid w:val="009F7513"/>
    <w:pPr>
      <w:autoSpaceDE w:val="0"/>
      <w:autoSpaceDN w:val="0"/>
      <w:adjustRightInd w:val="0"/>
    </w:pPr>
    <w:rPr>
      <w:rFonts w:ascii="Arial" w:hAnsi="Arial" w:cs="Arial"/>
      <w:color w:val="000000"/>
      <w:sz w:val="24"/>
      <w:szCs w:val="24"/>
    </w:rPr>
  </w:style>
  <w:style w:type="character" w:styleId="Lienhypertexte">
    <w:name w:val="Hyperlink"/>
    <w:basedOn w:val="Policepardfaut"/>
    <w:uiPriority w:val="99"/>
    <w:unhideWhenUsed/>
    <w:rsid w:val="008840A9"/>
    <w:rPr>
      <w:color w:val="0563C1" w:themeColor="hyperlink"/>
      <w:u w:val="single"/>
    </w:rPr>
  </w:style>
  <w:style w:type="character" w:styleId="Marquedecommentaire">
    <w:name w:val="annotation reference"/>
    <w:basedOn w:val="Policepardfaut"/>
    <w:uiPriority w:val="99"/>
    <w:semiHidden/>
    <w:unhideWhenUsed/>
    <w:rsid w:val="0019012E"/>
    <w:rPr>
      <w:sz w:val="16"/>
      <w:szCs w:val="16"/>
    </w:rPr>
  </w:style>
  <w:style w:type="paragraph" w:styleId="Commentaire">
    <w:name w:val="annotation text"/>
    <w:basedOn w:val="Normal"/>
    <w:link w:val="CommentaireCar"/>
    <w:uiPriority w:val="99"/>
    <w:semiHidden/>
    <w:unhideWhenUsed/>
    <w:rsid w:val="0019012E"/>
    <w:rPr>
      <w:sz w:val="20"/>
    </w:rPr>
  </w:style>
  <w:style w:type="character" w:customStyle="1" w:styleId="CommentaireCar">
    <w:name w:val="Commentaire Car"/>
    <w:basedOn w:val="Policepardfaut"/>
    <w:link w:val="Commentaire"/>
    <w:uiPriority w:val="99"/>
    <w:semiHidden/>
    <w:rsid w:val="0019012E"/>
    <w:rPr>
      <w:rFonts w:ascii="Arial" w:hAnsi="Arial"/>
      <w:lang w:eastAsia="fr-FR"/>
    </w:rPr>
  </w:style>
  <w:style w:type="paragraph" w:styleId="Objetducommentaire">
    <w:name w:val="annotation subject"/>
    <w:basedOn w:val="Commentaire"/>
    <w:next w:val="Commentaire"/>
    <w:link w:val="ObjetducommentaireCar"/>
    <w:uiPriority w:val="99"/>
    <w:semiHidden/>
    <w:unhideWhenUsed/>
    <w:rsid w:val="0019012E"/>
    <w:rPr>
      <w:b/>
      <w:bCs/>
    </w:rPr>
  </w:style>
  <w:style w:type="character" w:customStyle="1" w:styleId="ObjetducommentaireCar">
    <w:name w:val="Objet du commentaire Car"/>
    <w:basedOn w:val="CommentaireCar"/>
    <w:link w:val="Objetducommentaire"/>
    <w:uiPriority w:val="99"/>
    <w:semiHidden/>
    <w:rsid w:val="0019012E"/>
    <w:rPr>
      <w:rFonts w:ascii="Arial" w:hAnsi="Arial"/>
      <w:b/>
      <w:bCs/>
      <w:lang w:eastAsia="fr-FR"/>
    </w:rPr>
  </w:style>
  <w:style w:type="paragraph" w:styleId="Textedebulles">
    <w:name w:val="Balloon Text"/>
    <w:basedOn w:val="Normal"/>
    <w:link w:val="TextedebullesCar"/>
    <w:uiPriority w:val="99"/>
    <w:semiHidden/>
    <w:unhideWhenUsed/>
    <w:rsid w:val="0019012E"/>
    <w:rPr>
      <w:rFonts w:ascii="Segoe UI" w:hAnsi="Segoe UI" w:cs="Segoe UI"/>
      <w:sz w:val="18"/>
      <w:szCs w:val="18"/>
    </w:rPr>
  </w:style>
  <w:style w:type="character" w:customStyle="1" w:styleId="TextedebullesCar">
    <w:name w:val="Texte de bulles Car"/>
    <w:basedOn w:val="Policepardfaut"/>
    <w:link w:val="Textedebulles"/>
    <w:uiPriority w:val="99"/>
    <w:semiHidden/>
    <w:rsid w:val="0019012E"/>
    <w:rPr>
      <w:rFonts w:ascii="Segoe UI" w:hAnsi="Segoe UI" w:cs="Segoe UI"/>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0FFBC-15A8-4CEE-88A7-01FC337B7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2615</Words>
  <Characters>13600</Characters>
  <Application>Microsoft Office Word</Application>
  <DocSecurity>0</DocSecurity>
  <Lines>113</Lines>
  <Paragraphs>32</Paragraphs>
  <ScaleCrop>false</ScaleCrop>
  <Company/>
  <LinksUpToDate>false</LinksUpToDate>
  <CharactersWithSpaces>16183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2022-02-03T18:34:00Z</dcterms:created>
  <dcterms:modified xsi:type="dcterms:W3CDTF">2022-02-03T18:34:00Z</dcterms:modified>
</cp:coreProperties>
</file>