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42"/>
        <w:gridCol w:w="1533"/>
        <w:gridCol w:w="2540"/>
        <w:gridCol w:w="1345"/>
        <w:gridCol w:w="2420"/>
      </w:tblGrid>
      <w:tr w:rsidR="008F3D8F">
        <w:trPr>
          <w:trHeight w:val="360"/>
        </w:trPr>
        <w:tc>
          <w:tcPr>
            <w:tcW w:w="7085" w:type="dxa"/>
            <w:gridSpan w:val="7"/>
          </w:tcPr>
          <w:p w:rsidR="00CD6F6F" w:rsidRPr="00213AF4" w:rsidRDefault="00213AF4" w:rsidP="00213AF4">
            <w:pPr>
              <w:pStyle w:val="zSoquijdatRepertorie"/>
              <w:rPr>
                <w:rFonts w:cs="Arial"/>
              </w:rPr>
            </w:pPr>
            <w:bookmarkStart w:id="0" w:name="_GoBack"/>
            <w:bookmarkEnd w:id="0"/>
            <w:r>
              <w:rPr>
                <w:rFonts w:cs="Arial"/>
              </w:rPr>
              <w:t>R. c. Martinet</w:t>
            </w:r>
          </w:p>
        </w:tc>
        <w:tc>
          <w:tcPr>
            <w:tcW w:w="2420" w:type="dxa"/>
          </w:tcPr>
          <w:p w:rsidR="00CD6F6F" w:rsidRPr="003053E6" w:rsidRDefault="003053E6" w:rsidP="003053E6">
            <w:pPr>
              <w:pStyle w:val="zSoquijdatRefNeutre"/>
              <w:jc w:val="right"/>
              <w:rPr>
                <w:rFonts w:cs="Arial"/>
              </w:rPr>
            </w:pPr>
            <w:r w:rsidRPr="003053E6">
              <w:rPr>
                <w:rFonts w:cs="Arial"/>
              </w:rPr>
              <w:t>2021 QCCQ 13580</w:t>
            </w:r>
          </w:p>
        </w:tc>
      </w:tr>
      <w:tr w:rsidR="008F3D8F">
        <w:trPr>
          <w:trHeight w:val="900"/>
        </w:trPr>
        <w:tc>
          <w:tcPr>
            <w:tcW w:w="9505" w:type="dxa"/>
            <w:gridSpan w:val="8"/>
            <w:vAlign w:val="bottom"/>
          </w:tcPr>
          <w:p w:rsidR="00CD6F6F" w:rsidRDefault="00024DEC">
            <w:pPr>
              <w:pStyle w:val="zSoquijlblCour"/>
            </w:pPr>
            <w:r>
              <w:t>COUR DU QUÉBEC</w:t>
            </w:r>
          </w:p>
        </w:tc>
      </w:tr>
      <w:tr w:rsidR="008F3D8F">
        <w:trPr>
          <w:trHeight w:val="540"/>
        </w:trPr>
        <w:tc>
          <w:tcPr>
            <w:tcW w:w="9505" w:type="dxa"/>
            <w:gridSpan w:val="8"/>
          </w:tcPr>
          <w:p w:rsidR="00CD6F6F" w:rsidRDefault="00CD6F6F">
            <w:pPr>
              <w:pStyle w:val="zSoquijdatDivision"/>
            </w:pPr>
          </w:p>
        </w:tc>
      </w:tr>
      <w:tr w:rsidR="008F3D8F">
        <w:tc>
          <w:tcPr>
            <w:tcW w:w="9505" w:type="dxa"/>
            <w:gridSpan w:val="8"/>
          </w:tcPr>
          <w:p w:rsidR="00CD6F6F" w:rsidRDefault="00024DEC">
            <w:pPr>
              <w:pStyle w:val="zSoquijlblPays"/>
            </w:pPr>
            <w:r>
              <w:t>CANADA</w:t>
            </w:r>
          </w:p>
        </w:tc>
      </w:tr>
      <w:tr w:rsidR="008F3D8F">
        <w:tc>
          <w:tcPr>
            <w:tcW w:w="9505" w:type="dxa"/>
            <w:gridSpan w:val="8"/>
          </w:tcPr>
          <w:p w:rsidR="00CD6F6F" w:rsidRDefault="00024DEC">
            <w:pPr>
              <w:pStyle w:val="zSoquijlblProvince"/>
            </w:pPr>
            <w:r>
              <w:t>PROVINCE DE QUÉBEC</w:t>
            </w:r>
          </w:p>
        </w:tc>
      </w:tr>
      <w:tr w:rsidR="008F3D8F">
        <w:tblPrEx>
          <w:tblCellMar>
            <w:left w:w="0" w:type="dxa"/>
            <w:right w:w="0" w:type="dxa"/>
          </w:tblCellMar>
        </w:tblPrEx>
        <w:trPr>
          <w:cantSplit/>
        </w:trPr>
        <w:tc>
          <w:tcPr>
            <w:tcW w:w="1625" w:type="dxa"/>
            <w:gridSpan w:val="3"/>
          </w:tcPr>
          <w:p w:rsidR="00CD6F6F" w:rsidRDefault="00024DEC">
            <w:pPr>
              <w:pStyle w:val="zSoquijlblGreffe"/>
            </w:pPr>
            <w:r>
              <w:t>DISTRICT DE</w:t>
            </w:r>
          </w:p>
        </w:tc>
        <w:tc>
          <w:tcPr>
            <w:tcW w:w="7880" w:type="dxa"/>
            <w:gridSpan w:val="5"/>
          </w:tcPr>
          <w:p w:rsidR="00CD6F6F" w:rsidRDefault="00024DEC">
            <w:pPr>
              <w:pStyle w:val="zSoquijdatGreffe"/>
            </w:pPr>
            <w:r>
              <w:t>GASP</w:t>
            </w:r>
            <w:r w:rsidR="00AF5772">
              <w:t>É</w:t>
            </w:r>
          </w:p>
        </w:tc>
      </w:tr>
      <w:tr w:rsidR="008F3D8F">
        <w:tblPrEx>
          <w:tblCellMar>
            <w:left w:w="0" w:type="dxa"/>
            <w:right w:w="0" w:type="dxa"/>
          </w:tblCellMar>
        </w:tblPrEx>
        <w:trPr>
          <w:cantSplit/>
        </w:trPr>
        <w:tc>
          <w:tcPr>
            <w:tcW w:w="1667" w:type="dxa"/>
            <w:gridSpan w:val="4"/>
          </w:tcPr>
          <w:p w:rsidR="00CD6F6F" w:rsidRDefault="00024DEC">
            <w:pPr>
              <w:pStyle w:val="zSoquijlblLocalite"/>
            </w:pPr>
            <w:r>
              <w:t>LOCALITÉ DE</w:t>
            </w:r>
          </w:p>
        </w:tc>
        <w:tc>
          <w:tcPr>
            <w:tcW w:w="7838" w:type="dxa"/>
            <w:gridSpan w:val="4"/>
          </w:tcPr>
          <w:p w:rsidR="00CD6F6F" w:rsidRDefault="00024DEC">
            <w:pPr>
              <w:pStyle w:val="zSoquijdatLocalite"/>
            </w:pPr>
            <w:r>
              <w:t>HAVRE-AUBERT</w:t>
            </w:r>
          </w:p>
        </w:tc>
      </w:tr>
      <w:tr w:rsidR="008F3D8F">
        <w:trPr>
          <w:trHeight w:val="540"/>
        </w:trPr>
        <w:tc>
          <w:tcPr>
            <w:tcW w:w="9505" w:type="dxa"/>
            <w:gridSpan w:val="8"/>
          </w:tcPr>
          <w:p w:rsidR="00CD6F6F" w:rsidRDefault="00024DEC">
            <w:pPr>
              <w:pStyle w:val="zSoquijlblNomChambre"/>
            </w:pPr>
            <w:r>
              <w:rPr>
                <w:lang w:val="fr-FR"/>
              </w:rPr>
              <w:t xml:space="preserve">« Chambre </w:t>
            </w:r>
            <w:r>
              <w:t>criminelle</w:t>
            </w:r>
            <w:r>
              <w:rPr>
                <w:lang w:val="fr-FR"/>
              </w:rPr>
              <w:t> »</w:t>
            </w:r>
          </w:p>
        </w:tc>
      </w:tr>
      <w:tr w:rsidR="008F3D8F">
        <w:tc>
          <w:tcPr>
            <w:tcW w:w="1105" w:type="dxa"/>
            <w:gridSpan w:val="2"/>
          </w:tcPr>
          <w:p w:rsidR="00CD6F6F" w:rsidRDefault="00024DEC">
            <w:pPr>
              <w:pStyle w:val="zSoquijlblNoDossier"/>
            </w:pPr>
            <w:r>
              <w:t>N° :</w:t>
            </w:r>
          </w:p>
        </w:tc>
        <w:tc>
          <w:tcPr>
            <w:tcW w:w="8400" w:type="dxa"/>
            <w:gridSpan w:val="6"/>
          </w:tcPr>
          <w:p w:rsidR="00CD6F6F" w:rsidRDefault="00024DEC">
            <w:pPr>
              <w:pStyle w:val="zSoquijdatNoDossier"/>
            </w:pPr>
            <w:r>
              <w:t>115-01-000252-191</w:t>
            </w:r>
          </w:p>
        </w:tc>
      </w:tr>
      <w:tr w:rsidR="008F3D8F">
        <w:tblPrEx>
          <w:tblCellMar>
            <w:left w:w="0" w:type="dxa"/>
            <w:right w:w="0" w:type="dxa"/>
          </w:tblCellMar>
        </w:tblPrEx>
        <w:trPr>
          <w:cantSplit/>
        </w:trPr>
        <w:tc>
          <w:tcPr>
            <w:tcW w:w="1105" w:type="dxa"/>
            <w:gridSpan w:val="2"/>
          </w:tcPr>
          <w:p w:rsidR="00CD6F6F" w:rsidRDefault="00CD6F6F">
            <w:pPr>
              <w:pStyle w:val="zSoquijlblGreffe"/>
            </w:pPr>
          </w:p>
        </w:tc>
        <w:tc>
          <w:tcPr>
            <w:tcW w:w="8400" w:type="dxa"/>
            <w:gridSpan w:val="6"/>
          </w:tcPr>
          <w:p w:rsidR="00CD6F6F" w:rsidRDefault="00CD6F6F">
            <w:pPr>
              <w:pStyle w:val="zSoquijdatNoDossierAnt"/>
            </w:pPr>
          </w:p>
        </w:tc>
      </w:tr>
      <w:tr w:rsidR="008F3D8F">
        <w:trPr>
          <w:cantSplit/>
          <w:trHeight w:val="235"/>
        </w:trPr>
        <w:tc>
          <w:tcPr>
            <w:tcW w:w="9505" w:type="dxa"/>
            <w:gridSpan w:val="8"/>
          </w:tcPr>
          <w:p w:rsidR="00CD6F6F" w:rsidRDefault="00CD6F6F"/>
        </w:tc>
      </w:tr>
      <w:tr w:rsidR="008F3D8F">
        <w:tc>
          <w:tcPr>
            <w:tcW w:w="1036" w:type="dxa"/>
          </w:tcPr>
          <w:p w:rsidR="00CD6F6F" w:rsidRDefault="00024DEC">
            <w:pPr>
              <w:pStyle w:val="zSoquijlblDateJugement"/>
            </w:pPr>
            <w:r>
              <w:t>DATE :</w:t>
            </w:r>
          </w:p>
        </w:tc>
        <w:tc>
          <w:tcPr>
            <w:tcW w:w="8469" w:type="dxa"/>
            <w:gridSpan w:val="7"/>
          </w:tcPr>
          <w:p w:rsidR="00CD6F6F" w:rsidRDefault="00024DEC">
            <w:pPr>
              <w:pStyle w:val="zSoquijdatDateJugement"/>
            </w:pPr>
            <w:r>
              <w:t>17 août 2021</w:t>
            </w:r>
          </w:p>
        </w:tc>
      </w:tr>
      <w:tr w:rsidR="008F3D8F">
        <w:tc>
          <w:tcPr>
            <w:tcW w:w="9505" w:type="dxa"/>
            <w:gridSpan w:val="8"/>
          </w:tcPr>
          <w:p w:rsidR="00CD6F6F" w:rsidRDefault="00024DEC">
            <w:pPr>
              <w:ind w:left="14" w:right="-67"/>
            </w:pPr>
            <w:r>
              <w:t>______________________________________________________________________</w:t>
            </w:r>
          </w:p>
        </w:tc>
      </w:tr>
      <w:tr w:rsidR="008F3D8F">
        <w:tc>
          <w:tcPr>
            <w:tcW w:w="9505" w:type="dxa"/>
            <w:gridSpan w:val="8"/>
          </w:tcPr>
          <w:p w:rsidR="00CD6F6F" w:rsidRDefault="00CD6F6F"/>
        </w:tc>
      </w:tr>
      <w:tr w:rsidR="008F3D8F">
        <w:tblPrEx>
          <w:tblCellMar>
            <w:left w:w="0" w:type="dxa"/>
            <w:right w:w="0" w:type="dxa"/>
          </w:tblCellMar>
        </w:tblPrEx>
        <w:tc>
          <w:tcPr>
            <w:tcW w:w="3200" w:type="dxa"/>
            <w:gridSpan w:val="5"/>
          </w:tcPr>
          <w:p w:rsidR="00CD6F6F" w:rsidRDefault="00024DEC">
            <w:pPr>
              <w:pStyle w:val="zSoquijlblJuge"/>
            </w:pPr>
            <w:r>
              <w:t>SOUS LA PRÉSIDENCE DE</w:t>
            </w:r>
          </w:p>
        </w:tc>
        <w:tc>
          <w:tcPr>
            <w:tcW w:w="2540" w:type="dxa"/>
          </w:tcPr>
          <w:p w:rsidR="00CD6F6F" w:rsidRDefault="00024DEC">
            <w:pPr>
              <w:pStyle w:val="zSoquijdatQteJuge"/>
            </w:pPr>
            <w:r>
              <w:t>MONSIEUR LE JUGE</w:t>
            </w:r>
          </w:p>
        </w:tc>
        <w:tc>
          <w:tcPr>
            <w:tcW w:w="3765" w:type="dxa"/>
            <w:gridSpan w:val="2"/>
          </w:tcPr>
          <w:p w:rsidR="00CD6F6F" w:rsidRDefault="00024DEC">
            <w:pPr>
              <w:pStyle w:val="zSoquijdatJuge"/>
            </w:pPr>
            <w:r>
              <w:t>DENIS PARADIS, C.Q.</w:t>
            </w:r>
          </w:p>
        </w:tc>
      </w:tr>
      <w:tr w:rsidR="008F3D8F">
        <w:tc>
          <w:tcPr>
            <w:tcW w:w="9505" w:type="dxa"/>
            <w:gridSpan w:val="8"/>
          </w:tcPr>
          <w:p w:rsidR="00CD6F6F" w:rsidRDefault="00024DEC">
            <w:pPr>
              <w:ind w:left="14" w:right="-67"/>
            </w:pPr>
            <w:r>
              <w:t>______________________________________________________________________</w:t>
            </w:r>
          </w:p>
        </w:tc>
      </w:tr>
      <w:tr w:rsidR="008F3D8F">
        <w:tc>
          <w:tcPr>
            <w:tcW w:w="9505" w:type="dxa"/>
            <w:gridSpan w:val="8"/>
          </w:tcPr>
          <w:p w:rsidR="00CD6F6F" w:rsidRDefault="00CD6F6F">
            <w:pPr>
              <w:pStyle w:val="zSoquijlblTitrePartie"/>
            </w:pPr>
          </w:p>
        </w:tc>
      </w:tr>
      <w:tr w:rsidR="008F3D8F">
        <w:tc>
          <w:tcPr>
            <w:tcW w:w="9505" w:type="dxa"/>
            <w:gridSpan w:val="8"/>
          </w:tcPr>
          <w:p w:rsidR="00CD6F6F" w:rsidRDefault="00CD6F6F"/>
        </w:tc>
      </w:tr>
      <w:tr w:rsidR="008F3D8F">
        <w:tc>
          <w:tcPr>
            <w:tcW w:w="9505" w:type="dxa"/>
            <w:gridSpan w:val="8"/>
          </w:tcPr>
          <w:p w:rsidR="00CD6F6F" w:rsidRDefault="00024DEC">
            <w:pPr>
              <w:pStyle w:val="zSoquijdatNomPartieDem"/>
            </w:pPr>
            <w:r>
              <w:t>La Reine</w:t>
            </w:r>
          </w:p>
        </w:tc>
      </w:tr>
      <w:tr w:rsidR="008F3D8F">
        <w:tc>
          <w:tcPr>
            <w:tcW w:w="9505" w:type="dxa"/>
            <w:gridSpan w:val="8"/>
          </w:tcPr>
          <w:p w:rsidR="00CD6F6F" w:rsidRDefault="00024DEC">
            <w:pPr>
              <w:pStyle w:val="zSoquijdatQtePartieDem"/>
            </w:pPr>
            <w:r>
              <w:t>Poursuivante</w:t>
            </w:r>
          </w:p>
        </w:tc>
      </w:tr>
      <w:tr w:rsidR="008F3D8F">
        <w:tc>
          <w:tcPr>
            <w:tcW w:w="9505" w:type="dxa"/>
            <w:gridSpan w:val="8"/>
          </w:tcPr>
          <w:p w:rsidR="00CD6F6F" w:rsidRDefault="00024DEC">
            <w:pPr>
              <w:pStyle w:val="zSoquijlblLienParties"/>
            </w:pPr>
            <w:r>
              <w:t>c.</w:t>
            </w:r>
          </w:p>
        </w:tc>
      </w:tr>
      <w:tr w:rsidR="008F3D8F">
        <w:tc>
          <w:tcPr>
            <w:tcW w:w="9505" w:type="dxa"/>
            <w:gridSpan w:val="8"/>
          </w:tcPr>
          <w:p w:rsidR="00CD6F6F" w:rsidRPr="002A1D9C" w:rsidRDefault="00024DEC">
            <w:pPr>
              <w:pStyle w:val="zSoquijdatNomPartieDef"/>
              <w:rPr>
                <w:b w:val="0"/>
              </w:rPr>
            </w:pPr>
            <w:r>
              <w:t>Henri Martinet</w:t>
            </w:r>
          </w:p>
        </w:tc>
      </w:tr>
      <w:tr w:rsidR="008F3D8F">
        <w:tc>
          <w:tcPr>
            <w:tcW w:w="9505" w:type="dxa"/>
            <w:gridSpan w:val="8"/>
          </w:tcPr>
          <w:p w:rsidR="00CD6F6F" w:rsidRDefault="00024DEC" w:rsidP="00163C5F">
            <w:pPr>
              <w:pStyle w:val="zSoquijdatQtePartieDef"/>
            </w:pPr>
            <w:r>
              <w:t>Accusé</w:t>
            </w:r>
          </w:p>
        </w:tc>
      </w:tr>
      <w:tr w:rsidR="008F3D8F">
        <w:tc>
          <w:tcPr>
            <w:tcW w:w="9505" w:type="dxa"/>
            <w:gridSpan w:val="8"/>
          </w:tcPr>
          <w:p w:rsidR="00CD6F6F" w:rsidRDefault="00CD6F6F">
            <w:pPr>
              <w:ind w:left="14" w:right="-95"/>
            </w:pPr>
          </w:p>
        </w:tc>
      </w:tr>
      <w:tr w:rsidR="008F3D8F">
        <w:tc>
          <w:tcPr>
            <w:tcW w:w="9505" w:type="dxa"/>
            <w:gridSpan w:val="8"/>
          </w:tcPr>
          <w:p w:rsidR="00CD6F6F" w:rsidRDefault="00024DEC">
            <w:pPr>
              <w:ind w:left="14" w:right="-95"/>
            </w:pPr>
            <w:r>
              <w:t>______________________________________________________________________</w:t>
            </w:r>
          </w:p>
        </w:tc>
      </w:tr>
      <w:tr w:rsidR="008F3D8F">
        <w:tc>
          <w:tcPr>
            <w:tcW w:w="9505" w:type="dxa"/>
            <w:gridSpan w:val="8"/>
          </w:tcPr>
          <w:p w:rsidR="00CD6F6F" w:rsidRDefault="00CD6F6F">
            <w:pPr>
              <w:jc w:val="center"/>
            </w:pPr>
          </w:p>
        </w:tc>
      </w:tr>
      <w:tr w:rsidR="008F3D8F">
        <w:tc>
          <w:tcPr>
            <w:tcW w:w="9505" w:type="dxa"/>
            <w:gridSpan w:val="8"/>
          </w:tcPr>
          <w:p w:rsidR="00CD6F6F" w:rsidRDefault="00024DEC" w:rsidP="00C80D75">
            <w:pPr>
              <w:pStyle w:val="zSoquijlblTypeDocument"/>
              <w:rPr>
                <w:b/>
                <w:bCs/>
              </w:rPr>
            </w:pPr>
            <w:r>
              <w:rPr>
                <w:b/>
                <w:bCs/>
              </w:rPr>
              <w:t>JUGEMENT</w:t>
            </w:r>
            <w:r w:rsidR="00163C5F">
              <w:rPr>
                <w:b/>
                <w:bCs/>
              </w:rPr>
              <w:t xml:space="preserve"> SUR LA D</w:t>
            </w:r>
            <w:r w:rsidR="00C80D75">
              <w:rPr>
                <w:b/>
                <w:bCs/>
              </w:rPr>
              <w:t>É</w:t>
            </w:r>
            <w:r w:rsidR="00163C5F">
              <w:rPr>
                <w:b/>
                <w:bCs/>
              </w:rPr>
              <w:t>TERMINATION DE LA PEINE</w:t>
            </w:r>
          </w:p>
        </w:tc>
      </w:tr>
      <w:tr w:rsidR="008F3D8F">
        <w:tc>
          <w:tcPr>
            <w:tcW w:w="9505" w:type="dxa"/>
            <w:gridSpan w:val="8"/>
          </w:tcPr>
          <w:p w:rsidR="00CD6F6F" w:rsidRDefault="00024DEC">
            <w:pPr>
              <w:ind w:left="14" w:right="-70"/>
            </w:pPr>
            <w:r>
              <w:t>______________________________________________________________________</w:t>
            </w:r>
          </w:p>
        </w:tc>
      </w:tr>
      <w:tr w:rsidR="008F3D8F">
        <w:tc>
          <w:tcPr>
            <w:tcW w:w="9505" w:type="dxa"/>
            <w:gridSpan w:val="8"/>
          </w:tcPr>
          <w:p w:rsidR="00CD6F6F" w:rsidRDefault="00CD6F6F"/>
        </w:tc>
      </w:tr>
    </w:tbl>
    <w:p w:rsidR="00CD6F6F" w:rsidRDefault="00024DEC" w:rsidP="00062BF6">
      <w:pPr>
        <w:pStyle w:val="Paragraphe"/>
        <w:spacing w:line="240" w:lineRule="auto"/>
      </w:pPr>
      <w:r>
        <w:t>Monsieur Henri Martinet plaide coupable à une accusation</w:t>
      </w:r>
      <w:r w:rsidR="00B2118F">
        <w:t xml:space="preserve"> de complot de trafic de </w:t>
      </w:r>
      <w:r w:rsidR="00526453" w:rsidRPr="00526453">
        <w:t xml:space="preserve">cocaïne et </w:t>
      </w:r>
      <w:r w:rsidRPr="00526453">
        <w:t>à</w:t>
      </w:r>
      <w:r>
        <w:t xml:space="preserve"> deux chefs de trafic</w:t>
      </w:r>
      <w:r w:rsidR="00526453">
        <w:t xml:space="preserve"> du même type</w:t>
      </w:r>
      <w:r>
        <w:t xml:space="preserve"> de drogue.</w:t>
      </w:r>
    </w:p>
    <w:p w:rsidR="00CD6F6F" w:rsidRDefault="00024DEC" w:rsidP="00062BF6">
      <w:pPr>
        <w:pStyle w:val="Paragraphe"/>
        <w:spacing w:line="240" w:lineRule="auto"/>
      </w:pPr>
      <w:r>
        <w:t>Le ministère public s</w:t>
      </w:r>
      <w:r w:rsidR="00884A84">
        <w:t>uggère une peine de détention se situant entre 54 et 60 mois.</w:t>
      </w:r>
      <w:r>
        <w:t xml:space="preserve"> La défense penche plutôt vers un emp</w:t>
      </w:r>
      <w:r w:rsidR="00884A84">
        <w:t>risonnement allant de 12 mois à deux ans moins un jour</w:t>
      </w:r>
      <w:r>
        <w:t>.</w:t>
      </w:r>
    </w:p>
    <w:p w:rsidR="00CD6F6F" w:rsidRPr="00062BF6" w:rsidRDefault="00024DEC" w:rsidP="00062BF6">
      <w:pPr>
        <w:pStyle w:val="Paragraphe"/>
        <w:numPr>
          <w:ilvl w:val="0"/>
          <w:numId w:val="0"/>
        </w:numPr>
        <w:spacing w:line="240" w:lineRule="auto"/>
        <w:ind w:left="734"/>
        <w:rPr>
          <w:b/>
        </w:rPr>
      </w:pPr>
      <w:r w:rsidRPr="00062BF6">
        <w:rPr>
          <w:b/>
        </w:rPr>
        <w:t>LE CONTEXTE</w:t>
      </w:r>
    </w:p>
    <w:p w:rsidR="00163C5F" w:rsidRDefault="00024DEC" w:rsidP="00062BF6">
      <w:pPr>
        <w:pStyle w:val="Paragraphe"/>
        <w:spacing w:line="240" w:lineRule="auto"/>
      </w:pPr>
      <w:r>
        <w:t>Monsieur Martinet est impliqué dans un vaste réseau de trafic de stu</w:t>
      </w:r>
      <w:r w:rsidR="00B2118F">
        <w:t>péfiants qui opère dans tout l’</w:t>
      </w:r>
      <w:r w:rsidR="00BB2F8B">
        <w:t>e</w:t>
      </w:r>
      <w:r>
        <w:t>st du Québec</w:t>
      </w:r>
      <w:r w:rsidR="00A574D9">
        <w:t xml:space="preserve"> et au Nouveau-Brunswick,</w:t>
      </w:r>
      <w:r>
        <w:t xml:space="preserve"> sous la férule du groupe criminalisé Hell’s Angels.</w:t>
      </w:r>
    </w:p>
    <w:p w:rsidR="0040332D" w:rsidRDefault="00024DEC" w:rsidP="00062BF6">
      <w:pPr>
        <w:pStyle w:val="Paragraphe"/>
        <w:spacing w:line="240" w:lineRule="auto"/>
      </w:pPr>
      <w:r>
        <w:t>Une enquête d’envergure nommée «</w:t>
      </w:r>
      <w:r w:rsidR="00B2118F">
        <w:t> </w:t>
      </w:r>
      <w:r>
        <w:t>Projet Oursin</w:t>
      </w:r>
      <w:r w:rsidR="00B2118F">
        <w:t> </w:t>
      </w:r>
      <w:r>
        <w:t>» est mise sur pied pour s’attaquer à ce réseau. Des ressources considérables sont d</w:t>
      </w:r>
      <w:r w:rsidR="00A574D9">
        <w:t xml:space="preserve">éployées. </w:t>
      </w:r>
    </w:p>
    <w:p w:rsidR="00A74E2D" w:rsidRDefault="00024DEC" w:rsidP="00062BF6">
      <w:pPr>
        <w:pStyle w:val="Paragraphe"/>
        <w:spacing w:line="240" w:lineRule="auto"/>
      </w:pPr>
      <w:r>
        <w:t xml:space="preserve">La poursuivante dépose comme pièce P-1, </w:t>
      </w:r>
      <w:r w:rsidR="0040332D">
        <w:t>un document préparé par l’enquêteur</w:t>
      </w:r>
      <w:r>
        <w:t>,</w:t>
      </w:r>
      <w:r w:rsidR="0040332D">
        <w:t xml:space="preserve"> monsieur Martin Soucy, qui </w:t>
      </w:r>
      <w:r>
        <w:t>résume bien le</w:t>
      </w:r>
      <w:r w:rsidR="0040332D">
        <w:t xml:space="preserve"> projet Oursin, les moyens d’enquête utilisés, le rôle de l’agent civil d’infiltration, l’organisation criminelle et leurs méthodes de fonctionnement</w:t>
      </w:r>
      <w:r>
        <w:rPr>
          <w:rStyle w:val="Appelnotedebasdep"/>
        </w:rPr>
        <w:footnoteReference w:id="1"/>
      </w:r>
      <w:r w:rsidR="0040332D">
        <w:t>.</w:t>
      </w:r>
    </w:p>
    <w:p w:rsidR="0040332D" w:rsidRDefault="00024DEC" w:rsidP="00062BF6">
      <w:pPr>
        <w:pStyle w:val="Paragraphe"/>
        <w:spacing w:line="240" w:lineRule="auto"/>
      </w:pPr>
      <w:r>
        <w:t xml:space="preserve">Brièvement, disons que l’organisation criminelle est dirigée par les frères </w:t>
      </w:r>
      <w:r w:rsidR="00054992">
        <w:t>É</w:t>
      </w:r>
      <w:r>
        <w:t>ric et Yanick Blanchette</w:t>
      </w:r>
      <w:r w:rsidR="00BB2F8B">
        <w:t xml:space="preserve">, liés aux Hell’s Angels. </w:t>
      </w:r>
      <w:r w:rsidR="00980485">
        <w:t>Des territoires sont alloués à des gestionnaires qui eux verse</w:t>
      </w:r>
      <w:r w:rsidR="00054992">
        <w:t>nt</w:t>
      </w:r>
      <w:r w:rsidR="00980485">
        <w:t xml:space="preserve"> une redevance mensuelle aux frères Blanchette.</w:t>
      </w:r>
    </w:p>
    <w:p w:rsidR="00980485" w:rsidRDefault="00024DEC" w:rsidP="00062BF6">
      <w:pPr>
        <w:pStyle w:val="Paragraphe"/>
        <w:spacing w:line="240" w:lineRule="auto"/>
      </w:pPr>
      <w:r>
        <w:t>Pour leur part, les gestionnaires supervisent les responsables des cellules de distribution.</w:t>
      </w:r>
    </w:p>
    <w:p w:rsidR="00980485" w:rsidRDefault="00024DEC" w:rsidP="00062BF6">
      <w:pPr>
        <w:pStyle w:val="Paragraphe"/>
        <w:spacing w:line="240" w:lineRule="auto"/>
      </w:pPr>
      <w:r>
        <w:t xml:space="preserve">Au terme de l’enquête, c’est </w:t>
      </w:r>
      <w:r w:rsidR="00667F6F">
        <w:t>une somme de 2</w:t>
      </w:r>
      <w:r w:rsidR="0088075C">
        <w:t> 359 </w:t>
      </w:r>
      <w:r w:rsidR="0039083A">
        <w:t>790,</w:t>
      </w:r>
      <w:r w:rsidR="00667F6F">
        <w:t>00</w:t>
      </w:r>
      <w:r w:rsidR="0039083A">
        <w:t> </w:t>
      </w:r>
      <w:r w:rsidR="00667F6F">
        <w:t>$ qui est transigée, 32</w:t>
      </w:r>
      <w:r w:rsidR="0088075C">
        <w:t>,</w:t>
      </w:r>
      <w:r w:rsidR="00667F6F">
        <w:t>7 kilogrammes de cocaïne, 416</w:t>
      </w:r>
      <w:r w:rsidR="0088075C">
        <w:t> </w:t>
      </w:r>
      <w:r w:rsidR="00667F6F">
        <w:t>696 comprimés de mét</w:t>
      </w:r>
      <w:r w:rsidR="0039083A">
        <w:t>h</w:t>
      </w:r>
      <w:r w:rsidR="00667F6F">
        <w:t>amphétamines, 78 kilogrammes</w:t>
      </w:r>
      <w:r>
        <w:t xml:space="preserve"> </w:t>
      </w:r>
      <w:r w:rsidR="00667F6F">
        <w:t>de coupe de cocaïne et 224</w:t>
      </w:r>
      <w:r w:rsidR="0088075C">
        <w:t> </w:t>
      </w:r>
      <w:r w:rsidR="00667F6F">
        <w:t>livres de cannabis.</w:t>
      </w:r>
    </w:p>
    <w:p w:rsidR="00483AF7" w:rsidRDefault="00024DEC" w:rsidP="00062BF6">
      <w:pPr>
        <w:pStyle w:val="Paragraphe"/>
        <w:spacing w:line="240" w:lineRule="auto"/>
      </w:pPr>
      <w:r>
        <w:t>Aux Îles de la Madeleine, c’est Roger Aucoin qui est identifié comme la tête du réseau de distribution.</w:t>
      </w:r>
    </w:p>
    <w:p w:rsidR="00CD6F6F" w:rsidRPr="00062BF6" w:rsidRDefault="00024DEC" w:rsidP="00062BF6">
      <w:pPr>
        <w:pStyle w:val="Paragraphe"/>
        <w:numPr>
          <w:ilvl w:val="0"/>
          <w:numId w:val="0"/>
        </w:numPr>
        <w:spacing w:line="240" w:lineRule="auto"/>
        <w:ind w:left="734"/>
        <w:rPr>
          <w:b/>
        </w:rPr>
      </w:pPr>
      <w:r w:rsidRPr="00062BF6">
        <w:rPr>
          <w:b/>
        </w:rPr>
        <w:t>LES FAITS</w:t>
      </w:r>
    </w:p>
    <w:p w:rsidR="00884A84" w:rsidRDefault="00024DEC" w:rsidP="00062BF6">
      <w:pPr>
        <w:pStyle w:val="Paragraphe"/>
        <w:spacing w:line="240" w:lineRule="auto"/>
      </w:pPr>
      <w:r>
        <w:t xml:space="preserve">Monsieur Martinet est impliqué </w:t>
      </w:r>
      <w:r w:rsidR="008D4A7B">
        <w:t xml:space="preserve">précisément </w:t>
      </w:r>
      <w:r>
        <w:t xml:space="preserve">dans </w:t>
      </w:r>
      <w:r w:rsidR="008D4A7B">
        <w:t>4</w:t>
      </w:r>
      <w:r>
        <w:t xml:space="preserve"> transactions</w:t>
      </w:r>
      <w:r w:rsidR="00526453">
        <w:t>.</w:t>
      </w:r>
      <w:r w:rsidR="0039083A">
        <w:t xml:space="preserve"> </w:t>
      </w:r>
      <w:r w:rsidR="00526453" w:rsidRPr="00BC3DBF">
        <w:t>Soixante-dix-neuf</w:t>
      </w:r>
      <w:r w:rsidR="0039083A">
        <w:t xml:space="preserve"> </w:t>
      </w:r>
      <w:r>
        <w:t>onces de cocaïne lui passent dans les mains.</w:t>
      </w:r>
    </w:p>
    <w:p w:rsidR="00884A84" w:rsidRDefault="00024DEC" w:rsidP="00062BF6">
      <w:pPr>
        <w:pStyle w:val="Paragraphe"/>
        <w:spacing w:line="240" w:lineRule="auto"/>
      </w:pPr>
      <w:r>
        <w:t>La première transaction le concernant a lieu le 18 septembre 2018. Un agent d’infiltration lui re</w:t>
      </w:r>
      <w:r w:rsidR="006E2896">
        <w:t>met 14 onces de cocaïne divisée</w:t>
      </w:r>
      <w:r>
        <w:t xml:space="preserve"> en 28 grammes. La conversation est de courte durée. L’accusé dit simplement qu’il est là pour «</w:t>
      </w:r>
      <w:r w:rsidR="004A041E">
        <w:t> </w:t>
      </w:r>
      <w:r>
        <w:t>le paquet</w:t>
      </w:r>
      <w:r w:rsidR="004A041E">
        <w:t> </w:t>
      </w:r>
      <w:r>
        <w:t>». L’agent lui remet et il quitte aussitôt.</w:t>
      </w:r>
      <w:r w:rsidR="00B22E76">
        <w:t xml:space="preserve"> Le rendez-vous des deux personnes impliquées a lieu à l’Anse aux Baleiniers.</w:t>
      </w:r>
    </w:p>
    <w:p w:rsidR="00E10489" w:rsidRDefault="00024DEC" w:rsidP="00062BF6">
      <w:pPr>
        <w:pStyle w:val="Paragraphe"/>
        <w:spacing w:line="240" w:lineRule="auto"/>
      </w:pPr>
      <w:r>
        <w:t>L</w:t>
      </w:r>
      <w:r w:rsidR="007E1B61">
        <w:t>ors de l</w:t>
      </w:r>
      <w:r>
        <w:t>a deuxième transaction, le 8 octobre</w:t>
      </w:r>
      <w:r w:rsidR="007E1B61">
        <w:t xml:space="preserve"> 2018</w:t>
      </w:r>
      <w:r>
        <w:t xml:space="preserve">, l’agent d’infiltration rencontre à nouveau monsieur Martinet, au même endroit, à l’Anse aux Baleiniers, et lui remet </w:t>
      </w:r>
      <w:r w:rsidR="00483AF7">
        <w:t>706 grammes de cocaïne coupée, séparée en 25 onces.</w:t>
      </w:r>
    </w:p>
    <w:p w:rsidR="00483AF7" w:rsidRDefault="00024DEC" w:rsidP="00062BF6">
      <w:pPr>
        <w:pStyle w:val="Paragraphe"/>
        <w:spacing w:line="240" w:lineRule="auto"/>
      </w:pPr>
      <w:r>
        <w:t>Lors de cette même renco</w:t>
      </w:r>
      <w:r w:rsidR="00FE1939">
        <w:t>ntre, l’accusé remet à l’agent six</w:t>
      </w:r>
      <w:r>
        <w:t xml:space="preserve"> onces de coca</w:t>
      </w:r>
      <w:r w:rsidR="00B22E76">
        <w:t>ïne jugée de mauvaise qualité par Roger Aucoin.</w:t>
      </w:r>
      <w:r>
        <w:t xml:space="preserve"> Cette même soirée, Henri Martinet se rend au domicile de Roger Aucoin</w:t>
      </w:r>
      <w:r w:rsidR="000643A3">
        <w:t xml:space="preserve"> avec un échantillon de cocaïne afin que la qualité soit vérifiée.</w:t>
      </w:r>
    </w:p>
    <w:p w:rsidR="00CD6F6F" w:rsidRDefault="00024DEC" w:rsidP="00062BF6">
      <w:pPr>
        <w:pStyle w:val="Paragraphe"/>
        <w:spacing w:line="240" w:lineRule="auto"/>
      </w:pPr>
      <w:r>
        <w:t>Le 8 novembre</w:t>
      </w:r>
      <w:r w:rsidR="00FE1939">
        <w:t xml:space="preserve"> 2018</w:t>
      </w:r>
      <w:r>
        <w:t xml:space="preserve"> en soirée, l’agent d’infiltration remet cette fois 40 onces de cocaïne à monsieur Martinet.</w:t>
      </w:r>
    </w:p>
    <w:p w:rsidR="00A95F46" w:rsidRDefault="00024DEC" w:rsidP="00062BF6">
      <w:pPr>
        <w:pStyle w:val="Paragraphe"/>
        <w:spacing w:line="240" w:lineRule="auto"/>
      </w:pPr>
      <w:r>
        <w:t>Le 6 décembre</w:t>
      </w:r>
      <w:r w:rsidR="00FE1939">
        <w:t xml:space="preserve"> 2018</w:t>
      </w:r>
      <w:r>
        <w:t>, l’accusé se rend à la résidence de Roger Aucoin avec un échantillon pour tester la qualité.</w:t>
      </w:r>
      <w:r w:rsidR="0000454F">
        <w:t xml:space="preserve"> </w:t>
      </w:r>
      <w:r w:rsidR="00506465">
        <w:t xml:space="preserve">Il y reste moins de deux minutes. </w:t>
      </w:r>
      <w:r w:rsidR="002A13E6">
        <w:t>Cet</w:t>
      </w:r>
      <w:r w:rsidR="0000454F">
        <w:t xml:space="preserve"> échantillon provient d’une livraison reçue </w:t>
      </w:r>
      <w:r w:rsidR="00FE1939">
        <w:t>un peu plus tôt</w:t>
      </w:r>
      <w:r w:rsidR="00960B67">
        <w:t xml:space="preserve"> </w:t>
      </w:r>
      <w:r w:rsidR="00753F2B">
        <w:t>par</w:t>
      </w:r>
      <w:r w:rsidR="00FE1939">
        <w:t xml:space="preserve"> </w:t>
      </w:r>
      <w:r w:rsidR="0000454F">
        <w:t>Roger Aucoin lui-même, mais pas au même endroit. La livraison se fa</w:t>
      </w:r>
      <w:r w:rsidR="00960B67">
        <w:t xml:space="preserve">it sur la rue Bourgeois et non </w:t>
      </w:r>
      <w:r w:rsidR="0000454F">
        <w:t>à l’Anse aux Baleiniers.</w:t>
      </w:r>
      <w:r>
        <w:t xml:space="preserve"> </w:t>
      </w:r>
    </w:p>
    <w:p w:rsidR="00667A22" w:rsidRDefault="00024DEC" w:rsidP="00062BF6">
      <w:pPr>
        <w:pStyle w:val="Paragraphe"/>
        <w:spacing w:line="240" w:lineRule="auto"/>
      </w:pPr>
      <w:r>
        <w:t>Il est admis que monsieur Martinet ne manipule pas d’argent et qu’il n’est pas connu comme un acteur du milieu des stu</w:t>
      </w:r>
      <w:r w:rsidR="00960B67">
        <w:t>péfiants avant septembre 2018.</w:t>
      </w:r>
    </w:p>
    <w:p w:rsidR="00CD6F6F" w:rsidRDefault="00024DEC" w:rsidP="00062BF6">
      <w:pPr>
        <w:pStyle w:val="Paragraphe"/>
        <w:spacing w:line="240" w:lineRule="auto"/>
      </w:pPr>
      <w:r>
        <w:t>L’accusé est un ami de Roger Aucoin.</w:t>
      </w:r>
      <w:r w:rsidR="00134DE0">
        <w:t xml:space="preserve"> La preuve est muette quant au montant que reçoit l’accusé pour son rôle dans la livraison de la drogue.</w:t>
      </w:r>
    </w:p>
    <w:p w:rsidR="00D4189D" w:rsidRPr="00062BF6" w:rsidRDefault="00024DEC" w:rsidP="00062BF6">
      <w:pPr>
        <w:pStyle w:val="Paragraphe"/>
        <w:numPr>
          <w:ilvl w:val="0"/>
          <w:numId w:val="0"/>
        </w:numPr>
        <w:spacing w:line="240" w:lineRule="auto"/>
        <w:ind w:left="734"/>
        <w:rPr>
          <w:b/>
        </w:rPr>
      </w:pPr>
      <w:r w:rsidRPr="00062BF6">
        <w:rPr>
          <w:b/>
        </w:rPr>
        <w:t>LA PERSONNALITÉ DE L’ACCUSÉ</w:t>
      </w:r>
    </w:p>
    <w:p w:rsidR="00D4189D" w:rsidRDefault="00024DEC" w:rsidP="00062BF6">
      <w:pPr>
        <w:pStyle w:val="Paragraphe"/>
        <w:spacing w:line="240" w:lineRule="auto"/>
      </w:pPr>
      <w:r>
        <w:t>Monsieur Aucoin est âgé de 67 ans. Il n’a pas d’antécédents judic</w:t>
      </w:r>
      <w:r w:rsidR="0088075C">
        <w:t>i</w:t>
      </w:r>
      <w:r>
        <w:t xml:space="preserve">aires significatifs. Sa conjointe le quitte </w:t>
      </w:r>
      <w:r w:rsidR="00960B67">
        <w:t xml:space="preserve">à la </w:t>
      </w:r>
      <w:r>
        <w:t xml:space="preserve">suite </w:t>
      </w:r>
      <w:r w:rsidR="00960B67">
        <w:t>de</w:t>
      </w:r>
      <w:r>
        <w:t xml:space="preserve"> son arrestation. Il a de sérieux problèmes de santé et ne tr</w:t>
      </w:r>
      <w:r w:rsidR="00554190">
        <w:t xml:space="preserve">availle </w:t>
      </w:r>
      <w:r>
        <w:t>plus de</w:t>
      </w:r>
      <w:r w:rsidR="00B22E76">
        <w:t>puis de</w:t>
      </w:r>
      <w:r>
        <w:t xml:space="preserve"> nombreuses années.</w:t>
      </w:r>
    </w:p>
    <w:p w:rsidR="00824DF6" w:rsidRDefault="00024DEC" w:rsidP="00062BF6">
      <w:pPr>
        <w:pStyle w:val="Paragraphe"/>
        <w:spacing w:line="240" w:lineRule="auto"/>
      </w:pPr>
      <w:r>
        <w:t xml:space="preserve">Il a encore de la famille aux </w:t>
      </w:r>
      <w:r w:rsidR="00554190">
        <w:t>Î</w:t>
      </w:r>
      <w:r>
        <w:t>les de la Madeleine</w:t>
      </w:r>
      <w:r w:rsidR="00554190">
        <w:t xml:space="preserve"> et depuis quelques années, i</w:t>
      </w:r>
      <w:r>
        <w:t>l s’adonne à des activités de bénévolat.</w:t>
      </w:r>
    </w:p>
    <w:p w:rsidR="00824DF6" w:rsidRPr="00062BF6" w:rsidRDefault="00024DEC" w:rsidP="00062BF6">
      <w:pPr>
        <w:pStyle w:val="Paragraphe"/>
        <w:numPr>
          <w:ilvl w:val="0"/>
          <w:numId w:val="0"/>
        </w:numPr>
        <w:spacing w:line="240" w:lineRule="auto"/>
        <w:ind w:left="734"/>
        <w:rPr>
          <w:b/>
        </w:rPr>
      </w:pPr>
      <w:r w:rsidRPr="00062BF6">
        <w:rPr>
          <w:b/>
        </w:rPr>
        <w:t>LE RAPPORT PR</w:t>
      </w:r>
      <w:r w:rsidR="00062BF6" w:rsidRPr="00062BF6">
        <w:rPr>
          <w:b/>
        </w:rPr>
        <w:t>É</w:t>
      </w:r>
      <w:r w:rsidRPr="00062BF6">
        <w:rPr>
          <w:b/>
        </w:rPr>
        <w:t>SENTENCIEL</w:t>
      </w:r>
    </w:p>
    <w:p w:rsidR="00824DF6" w:rsidRDefault="00024DEC" w:rsidP="00062BF6">
      <w:pPr>
        <w:pStyle w:val="Paragraphe"/>
        <w:spacing w:line="240" w:lineRule="auto"/>
      </w:pPr>
      <w:r>
        <w:t>Tant le ministère public que la défense critique</w:t>
      </w:r>
      <w:r w:rsidR="00156013">
        <w:t>nt</w:t>
      </w:r>
      <w:r>
        <w:t xml:space="preserve"> certains passages ou certaines pa</w:t>
      </w:r>
      <w:r w:rsidR="00973D72">
        <w:t>rties du rapport. Toutefois, l</w:t>
      </w:r>
      <w:r>
        <w:t>e Tribunal retient que monsieur Martinet reconnaît qu’il agit par cupidité et qu’il est conscient que ses activités illégales sont lourdes de conséquences.</w:t>
      </w:r>
    </w:p>
    <w:p w:rsidR="002E7B1F" w:rsidRDefault="00024DEC" w:rsidP="00062BF6">
      <w:pPr>
        <w:pStyle w:val="Paragraphe"/>
        <w:spacing w:line="240" w:lineRule="auto"/>
      </w:pPr>
      <w:r>
        <w:t>L’auteur</w:t>
      </w:r>
      <w:r w:rsidR="00B22E76">
        <w:t>e</w:t>
      </w:r>
      <w:r>
        <w:t xml:space="preserve"> du rapport, madame Catherine Cyr, est satisfaite de la collaboration de monsieur Martinet.</w:t>
      </w:r>
      <w:r w:rsidR="00973D72">
        <w:t xml:space="preserve"> Il donne l’impression d’avoir des valeurs prosociales</w:t>
      </w:r>
      <w:r w:rsidR="00156013">
        <w:t>,</w:t>
      </w:r>
      <w:r w:rsidR="00973D72">
        <w:t xml:space="preserve"> écrit-elle. Son entourage semble en mesure de lui apporter du support. Quelques amis et sa famille constituent cet entourage. Il a une vie saine et équilibrée</w:t>
      </w:r>
      <w:r w:rsidR="00276D00">
        <w:t>,</w:t>
      </w:r>
      <w:r w:rsidR="00973D72">
        <w:t xml:space="preserve"> croit madame Cyr, outre les délits reprochés</w:t>
      </w:r>
      <w:r w:rsidR="00276D00">
        <w:t>,</w:t>
      </w:r>
      <w:r w:rsidR="00973D72">
        <w:t xml:space="preserve"> il va de soi.</w:t>
      </w:r>
    </w:p>
    <w:p w:rsidR="00973D72" w:rsidRDefault="00024DEC" w:rsidP="00062BF6">
      <w:pPr>
        <w:pStyle w:val="Paragraphe"/>
        <w:spacing w:line="240" w:lineRule="auto"/>
      </w:pPr>
      <w:r>
        <w:t>Constatant que son arrestation a un impact positif sur lui, elle conclut à un risque de récidive plutôt faible.</w:t>
      </w:r>
    </w:p>
    <w:p w:rsidR="00C82B1D" w:rsidRPr="00062BF6" w:rsidRDefault="00024DEC" w:rsidP="00062BF6">
      <w:pPr>
        <w:pStyle w:val="Paragraphe"/>
        <w:numPr>
          <w:ilvl w:val="0"/>
          <w:numId w:val="0"/>
        </w:numPr>
        <w:spacing w:line="240" w:lineRule="auto"/>
        <w:ind w:left="734"/>
        <w:rPr>
          <w:b/>
        </w:rPr>
      </w:pPr>
      <w:r w:rsidRPr="00062BF6">
        <w:rPr>
          <w:b/>
        </w:rPr>
        <w:t>LES FACTEURS AGGRAVANTS ET ATTÉNUANTS</w:t>
      </w:r>
    </w:p>
    <w:p w:rsidR="00C82B1D" w:rsidRDefault="00024DEC" w:rsidP="00062BF6">
      <w:pPr>
        <w:pStyle w:val="Paragraphe"/>
        <w:spacing w:line="240" w:lineRule="auto"/>
      </w:pPr>
      <w:r>
        <w:t>Le Tribunal relève comme facteurs aggravants qu’il s’</w:t>
      </w:r>
      <w:r w:rsidR="00BF3E0D">
        <w:t>agit de drogue dure, et que la quantité est importante.</w:t>
      </w:r>
      <w:r>
        <w:t xml:space="preserve"> La peine</w:t>
      </w:r>
      <w:r w:rsidR="00753F2B">
        <w:t xml:space="preserve"> maximum</w:t>
      </w:r>
      <w:r>
        <w:t xml:space="preserve"> prévue est</w:t>
      </w:r>
      <w:r w:rsidR="00134DE0">
        <w:t xml:space="preserve"> une incarcération à perpétuité, ce qui confirme la gravité objective certaine des crimes reprochés.</w:t>
      </w:r>
      <w:r>
        <w:t xml:space="preserve"> </w:t>
      </w:r>
      <w:r w:rsidR="00134DE0">
        <w:t xml:space="preserve">L’accusé agit suivant un appétit de faire de l’argent </w:t>
      </w:r>
      <w:r w:rsidR="00753F2B">
        <w:t>facil</w:t>
      </w:r>
      <w:r w:rsidR="00134DE0">
        <w:t>ement. Le trafic de drogue dure dans de petites communautés comm</w:t>
      </w:r>
      <w:r w:rsidR="004C2084">
        <w:t>e celles de la Gaspésie et des Îles particulièrement a</w:t>
      </w:r>
      <w:r w:rsidR="00134DE0">
        <w:t xml:space="preserve"> un effet désastreux.</w:t>
      </w:r>
      <w:r w:rsidR="00BF3E0D">
        <w:t xml:space="preserve"> Cela ne peut être mis de côté.</w:t>
      </w:r>
      <w:r w:rsidR="003E69D7">
        <w:t xml:space="preserve"> Finalement, il a un rôle plus important que celui d’un simple transporteur, prétend le ministère public.</w:t>
      </w:r>
      <w:r w:rsidR="00B22E76">
        <w:t xml:space="preserve"> Nous y reviendrons.</w:t>
      </w:r>
    </w:p>
    <w:p w:rsidR="00BF3E0D" w:rsidRDefault="00024DEC" w:rsidP="00062BF6">
      <w:pPr>
        <w:pStyle w:val="Paragraphe"/>
        <w:spacing w:line="240" w:lineRule="auto"/>
      </w:pPr>
      <w:r w:rsidRPr="00526453">
        <w:t>Comme facteur</w:t>
      </w:r>
      <w:r w:rsidR="004C2084" w:rsidRPr="00526453">
        <w:t>s</w:t>
      </w:r>
      <w:r w:rsidRPr="00526453">
        <w:t xml:space="preserve"> atténuant</w:t>
      </w:r>
      <w:r w:rsidR="004C2084" w:rsidRPr="00526453">
        <w:t>s,</w:t>
      </w:r>
      <w:r w:rsidRPr="00526453">
        <w:t xml:space="preserve"> le plaidoyer</w:t>
      </w:r>
      <w:r>
        <w:t xml:space="preserve"> de culpabilité est noté, quoique la preuve solide ne lui laisse guère le choix. </w:t>
      </w:r>
      <w:r w:rsidR="00976E08">
        <w:t xml:space="preserve">Il respecte ses conditions de mise en liberté. Son </w:t>
      </w:r>
      <w:r w:rsidR="002F3286">
        <w:t>avocat</w:t>
      </w:r>
      <w:r w:rsidR="003E69D7">
        <w:t xml:space="preserve"> le voit comme un simple courrier, sans plus. C’est un homme sans antécédent judiciaire mis à part une conduite avec les facultés affaiblies</w:t>
      </w:r>
      <w:r w:rsidR="00B81FAE">
        <w:t xml:space="preserve"> et un vol simple qui remonte</w:t>
      </w:r>
      <w:r w:rsidR="002F3286">
        <w:t xml:space="preserve">nt </w:t>
      </w:r>
      <w:r w:rsidR="00B81FAE">
        <w:t>à plusieurs années.</w:t>
      </w:r>
    </w:p>
    <w:p w:rsidR="00C82B1D" w:rsidRPr="00062BF6" w:rsidRDefault="00024DEC" w:rsidP="00062BF6">
      <w:pPr>
        <w:pStyle w:val="Paragraphe"/>
        <w:numPr>
          <w:ilvl w:val="0"/>
          <w:numId w:val="0"/>
        </w:numPr>
        <w:spacing w:line="240" w:lineRule="auto"/>
        <w:ind w:left="734"/>
        <w:rPr>
          <w:b/>
        </w:rPr>
      </w:pPr>
      <w:r w:rsidRPr="00062BF6">
        <w:rPr>
          <w:b/>
        </w:rPr>
        <w:t>LE DROIT</w:t>
      </w:r>
    </w:p>
    <w:p w:rsidR="00C82B1D" w:rsidRDefault="00024DEC" w:rsidP="00062BF6">
      <w:pPr>
        <w:pStyle w:val="Paragraphe"/>
        <w:spacing w:line="240" w:lineRule="auto"/>
      </w:pPr>
      <w:r>
        <w:t xml:space="preserve">Les </w:t>
      </w:r>
      <w:r w:rsidR="005A2F0A">
        <w:t xml:space="preserve">objectifs et les </w:t>
      </w:r>
      <w:r>
        <w:t>principes de détermination de la peine sont bien connus. Il</w:t>
      </w:r>
      <w:r w:rsidR="006D5B12">
        <w:t>s</w:t>
      </w:r>
      <w:r>
        <w:t xml:space="preserve"> sont contenus aux articles</w:t>
      </w:r>
      <w:r w:rsidR="0088075C">
        <w:t> </w:t>
      </w:r>
      <w:r>
        <w:t xml:space="preserve">718 et suivants du </w:t>
      </w:r>
      <w:r w:rsidRPr="002F3286">
        <w:rPr>
          <w:i/>
        </w:rPr>
        <w:t>Code criminel</w:t>
      </w:r>
      <w:r>
        <w:t>.</w:t>
      </w:r>
      <w:r w:rsidR="00296FD2">
        <w:t xml:space="preserve"> Le principe fondamental est que la peine doit être proportionnelle à la gravité de l’</w:t>
      </w:r>
      <w:r w:rsidR="005A2F0A">
        <w:t>infraction</w:t>
      </w:r>
      <w:r w:rsidR="00296FD2">
        <w:t xml:space="preserve"> et au degré de responsabilité du délinquant.</w:t>
      </w:r>
    </w:p>
    <w:p w:rsidR="002A13E6" w:rsidRDefault="00024DEC" w:rsidP="00062BF6">
      <w:pPr>
        <w:pStyle w:val="Paragraphe"/>
        <w:spacing w:line="240" w:lineRule="auto"/>
      </w:pPr>
      <w:r>
        <w:t xml:space="preserve">Le prononcé </w:t>
      </w:r>
      <w:r w:rsidRPr="00526453">
        <w:t>d’une peine est un processus qui demeure influencé par l’</w:t>
      </w:r>
      <w:r w:rsidR="00065108" w:rsidRPr="00526453">
        <w:t>i</w:t>
      </w:r>
      <w:r w:rsidRPr="00526453">
        <w:t>ndividualisation de</w:t>
      </w:r>
      <w:r w:rsidR="00065108" w:rsidRPr="00526453">
        <w:t xml:space="preserve"> cette peine. </w:t>
      </w:r>
      <w:r w:rsidR="00526453" w:rsidRPr="00526453">
        <w:t>Aucun</w:t>
      </w:r>
      <w:r w:rsidR="00065108" w:rsidRPr="00526453">
        <w:t xml:space="preserve"> objectif ne remporte la lutte sur un autre</w:t>
      </w:r>
      <w:r w:rsidR="00BA107E" w:rsidRPr="00526453">
        <w:t>.</w:t>
      </w:r>
      <w:r w:rsidR="00BA107E">
        <w:t xml:space="preserve"> Il appartient au t</w:t>
      </w:r>
      <w:r w:rsidR="00065108">
        <w:t>ribunal d’instance, non facilement, de soupeser les objectifs et les principes, et d’accorder plus de poids à l’un qu’à l’autre, s’il y a lieu.</w:t>
      </w:r>
      <w:r>
        <w:t xml:space="preserve"> Il faut tenir </w:t>
      </w:r>
      <w:r w:rsidR="00BA107E">
        <w:t xml:space="preserve">aussi </w:t>
      </w:r>
      <w:r>
        <w:t>compte, dans la mesure du possible, de l’harmonisation des peines, c’est</w:t>
      </w:r>
      <w:r w:rsidR="00BA107E">
        <w:t>-</w:t>
      </w:r>
      <w:r>
        <w:t>à</w:t>
      </w:r>
      <w:r w:rsidR="00BA107E">
        <w:t>-</w:t>
      </w:r>
      <w:r>
        <w:t>dire d’imposer une peine semblable pour un crime semblable dans des circonstances semblables.</w:t>
      </w:r>
    </w:p>
    <w:p w:rsidR="002A13E6" w:rsidRPr="007A722D" w:rsidRDefault="00024DEC" w:rsidP="007A722D">
      <w:pPr>
        <w:pStyle w:val="Paragraphe"/>
        <w:numPr>
          <w:ilvl w:val="0"/>
          <w:numId w:val="0"/>
        </w:numPr>
        <w:spacing w:line="240" w:lineRule="auto"/>
        <w:ind w:left="734"/>
        <w:rPr>
          <w:b/>
        </w:rPr>
      </w:pPr>
      <w:r w:rsidRPr="007A722D">
        <w:rPr>
          <w:b/>
        </w:rPr>
        <w:t>ANALYSE ET DÉCISION</w:t>
      </w:r>
    </w:p>
    <w:p w:rsidR="005A2F0A" w:rsidRDefault="00024DEC" w:rsidP="00062BF6">
      <w:pPr>
        <w:pStyle w:val="Paragraphe"/>
        <w:spacing w:line="240" w:lineRule="auto"/>
      </w:pPr>
      <w:r>
        <w:t>Le trafic de drogue dure mérite d’être traité avec sévérité. Il faut lancer un message clair de dissuasion, comme le soul</w:t>
      </w:r>
      <w:r w:rsidR="00972AD2">
        <w:t>igne madame la juge Otis de la C</w:t>
      </w:r>
      <w:r>
        <w:t>our d’</w:t>
      </w:r>
      <w:r w:rsidR="00972AD2">
        <w:t>a</w:t>
      </w:r>
      <w:r>
        <w:t>ppel dans l’affaire de Lafrance</w:t>
      </w:r>
      <w:r>
        <w:rPr>
          <w:rStyle w:val="Appelnotedebasdep"/>
        </w:rPr>
        <w:footnoteReference w:id="2"/>
      </w:r>
      <w:r>
        <w:t>, citée par notre collègue</w:t>
      </w:r>
      <w:r w:rsidR="0088075C">
        <w:t>,</w:t>
      </w:r>
      <w:r>
        <w:t xml:space="preserve"> madame la juge Durand</w:t>
      </w:r>
      <w:r w:rsidR="00171184">
        <w:t>.</w:t>
      </w:r>
    </w:p>
    <w:p w:rsidR="00171184" w:rsidRDefault="00024DEC" w:rsidP="00062BF6">
      <w:pPr>
        <w:pStyle w:val="Paragraphe"/>
        <w:spacing w:line="240" w:lineRule="auto"/>
      </w:pPr>
      <w:r>
        <w:t xml:space="preserve">Il est </w:t>
      </w:r>
      <w:r w:rsidR="00EC7DA9">
        <w:t xml:space="preserve">aussi </w:t>
      </w:r>
      <w:r>
        <w:t>important que ce message soit porté envers tous ceux qui participent au rouage du trafic de stupéfiants.</w:t>
      </w:r>
    </w:p>
    <w:p w:rsidR="00976E08" w:rsidRDefault="00024DEC" w:rsidP="00062BF6">
      <w:pPr>
        <w:pStyle w:val="Paragraphe"/>
        <w:spacing w:line="240" w:lineRule="auto"/>
      </w:pPr>
      <w:r>
        <w:t>Dans le cas de monsieur Martinet, une peine de détention est nécessaire. Quelle doit être la durée de cette incarcération</w:t>
      </w:r>
      <w:r w:rsidR="00EC7DA9">
        <w:t> </w:t>
      </w:r>
      <w:r>
        <w:t>?</w:t>
      </w:r>
    </w:p>
    <w:p w:rsidR="0053328F" w:rsidRDefault="00024DEC" w:rsidP="00062BF6">
      <w:pPr>
        <w:pStyle w:val="Paragraphe"/>
        <w:spacing w:line="240" w:lineRule="auto"/>
      </w:pPr>
      <w:r>
        <w:t>Monsieur Martinet est âgé de</w:t>
      </w:r>
      <w:r w:rsidR="00976E08">
        <w:t xml:space="preserve"> 67 ans. C’est sa première infraction en matière de stupéfiant</w:t>
      </w:r>
      <w:r w:rsidR="007C14AB">
        <w:t>s</w:t>
      </w:r>
      <w:r w:rsidR="00976E08">
        <w:t>. Son r</w:t>
      </w:r>
      <w:r w:rsidR="00DE002B">
        <w:t>ôle n’</w:t>
      </w:r>
      <w:r w:rsidR="007C14AB">
        <w:t>est pas celui d’É</w:t>
      </w:r>
      <w:r w:rsidR="006C0991">
        <w:t>ric Tremblay q</w:t>
      </w:r>
      <w:r w:rsidR="007C14AB">
        <w:t>ui est condamné à une peine de cinq</w:t>
      </w:r>
      <w:r w:rsidR="006C0991">
        <w:t xml:space="preserve"> ans moins un jour de pénitencier, ni d’André Bourgoin</w:t>
      </w:r>
      <w:r>
        <w:rPr>
          <w:rStyle w:val="Appelnotedebasdep"/>
        </w:rPr>
        <w:footnoteReference w:id="3"/>
      </w:r>
      <w:r w:rsidR="007C14AB">
        <w:t>,</w:t>
      </w:r>
      <w:r w:rsidR="006C0991">
        <w:t xml:space="preserve"> condamné à une mise sous garde de 54 mois, par notre collègue</w:t>
      </w:r>
      <w:r w:rsidR="00834E47">
        <w:t>,</w:t>
      </w:r>
      <w:r w:rsidR="006C0991">
        <w:t xml:space="preserve"> madame la juge Kennedy.</w:t>
      </w:r>
    </w:p>
    <w:p w:rsidR="006C0991" w:rsidRDefault="00024DEC" w:rsidP="00062BF6">
      <w:pPr>
        <w:pStyle w:val="Paragraphe"/>
        <w:spacing w:line="240" w:lineRule="auto"/>
      </w:pPr>
      <w:r>
        <w:t>C’est que Tremblay est un gestionnaire de territoire</w:t>
      </w:r>
      <w:r w:rsidR="00EF23A8">
        <w:t>s</w:t>
      </w:r>
      <w:r>
        <w:t xml:space="preserve"> et membre actif des </w:t>
      </w:r>
      <w:r w:rsidR="00EF23A8">
        <w:rPr>
          <w:rFonts w:cs="Arial"/>
        </w:rPr>
        <w:t>«</w:t>
      </w:r>
      <w:r w:rsidR="00EF23A8">
        <w:t> </w:t>
      </w:r>
      <w:r w:rsidRPr="0088075C">
        <w:rPr>
          <w:i/>
        </w:rPr>
        <w:t>Dark Souls</w:t>
      </w:r>
      <w:r w:rsidR="00EF23A8">
        <w:t> </w:t>
      </w:r>
      <w:r w:rsidR="001459A8">
        <w:rPr>
          <w:rFonts w:cs="Arial"/>
        </w:rPr>
        <w:t>»</w:t>
      </w:r>
      <w:r>
        <w:t>, avant d’obtenir le statut de «</w:t>
      </w:r>
      <w:r w:rsidR="001459A8">
        <w:t> hangaroud </w:t>
      </w:r>
      <w:r>
        <w:t>»</w:t>
      </w:r>
      <w:r w:rsidR="001459A8">
        <w:t>,</w:t>
      </w:r>
      <w:r>
        <w:t xml:space="preserve"> pour l’organisation de Moncton. Il assiste à d</w:t>
      </w:r>
      <w:r w:rsidRPr="00526453">
        <w:t xml:space="preserve">es discussions concernant de la fraude, le contrôle des territoires, les redevances et les </w:t>
      </w:r>
      <w:r w:rsidR="00526453" w:rsidRPr="00526453">
        <w:rPr>
          <w:rFonts w:cs="Arial"/>
        </w:rPr>
        <w:t>«</w:t>
      </w:r>
      <w:r w:rsidR="00526453" w:rsidRPr="00526453">
        <w:t> q</w:t>
      </w:r>
      <w:r w:rsidRPr="00526453">
        <w:t>uotes</w:t>
      </w:r>
      <w:r w:rsidR="00526453" w:rsidRPr="00526453">
        <w:t> </w:t>
      </w:r>
      <w:r w:rsidR="00526453" w:rsidRPr="00526453">
        <w:rPr>
          <w:rFonts w:cs="Arial"/>
        </w:rPr>
        <w:t>»</w:t>
      </w:r>
      <w:r w:rsidRPr="00526453">
        <w:t xml:space="preserve"> à être versées</w:t>
      </w:r>
      <w:r>
        <w:t>. Nous sommes loin de l’</w:t>
      </w:r>
      <w:r w:rsidR="00D34FDE">
        <w:t>implication d’</w:t>
      </w:r>
      <w:r>
        <w:t>Henri Martinet.</w:t>
      </w:r>
    </w:p>
    <w:p w:rsidR="006C0991" w:rsidRDefault="00024DEC" w:rsidP="00062BF6">
      <w:pPr>
        <w:pStyle w:val="Paragraphe"/>
        <w:spacing w:line="240" w:lineRule="auto"/>
      </w:pPr>
      <w:r>
        <w:t xml:space="preserve">Quant à André Bourgoin, il est </w:t>
      </w:r>
      <w:r w:rsidR="00717BBE">
        <w:t>considéré par la juge Kennedy comme une</w:t>
      </w:r>
      <w:r>
        <w:t xml:space="preserve"> « tête dirigeante du groupe »</w:t>
      </w:r>
      <w:r w:rsidR="00D34FDE">
        <w:t>. Il a un rôle essentiel dans l’organisation criminelle</w:t>
      </w:r>
      <w:r>
        <w:t>,</w:t>
      </w:r>
      <w:r w:rsidR="00D34FDE">
        <w:t xml:space="preserve"> écrit-elle.</w:t>
      </w:r>
    </w:p>
    <w:p w:rsidR="00D34FDE" w:rsidRDefault="00024DEC" w:rsidP="00062BF6">
      <w:pPr>
        <w:pStyle w:val="Paragraphe"/>
        <w:spacing w:line="240" w:lineRule="auto"/>
      </w:pPr>
      <w:r>
        <w:t>En ce qui concerne le rôle d’Henri Martinet, force est de constater que la preuve sur son implication est forte de par les méthodes</w:t>
      </w:r>
      <w:r w:rsidR="00B736E6">
        <w:t xml:space="preserve"> d’enquête</w:t>
      </w:r>
      <w:r>
        <w:t xml:space="preserve"> utilisées, mais en même temps</w:t>
      </w:r>
      <w:r w:rsidR="00166282">
        <w:t>,</w:t>
      </w:r>
      <w:r>
        <w:t xml:space="preserve"> cette </w:t>
      </w:r>
      <w:r w:rsidR="008F212B">
        <w:t>preuve ne révèle pas plus</w:t>
      </w:r>
      <w:r>
        <w:t xml:space="preserve"> qu’il est un courrier</w:t>
      </w:r>
      <w:r w:rsidR="00BA4AD5">
        <w:t>,</w:t>
      </w:r>
      <w:r>
        <w:t xml:space="preserve"> au courant que son ami Roger Aucoin en mène large aux </w:t>
      </w:r>
      <w:r w:rsidR="00F25050">
        <w:t>Î</w:t>
      </w:r>
      <w:r>
        <w:t>les de la Madeleine</w:t>
      </w:r>
      <w:r w:rsidR="00216919">
        <w:t xml:space="preserve"> au niveau du traf</w:t>
      </w:r>
      <w:r>
        <w:t>ic de stupéfiants.</w:t>
      </w:r>
    </w:p>
    <w:p w:rsidR="00255177" w:rsidRDefault="00024DEC" w:rsidP="00062BF6">
      <w:pPr>
        <w:pStyle w:val="Paragraphe"/>
        <w:spacing w:line="240" w:lineRule="auto"/>
      </w:pPr>
      <w:r>
        <w:t xml:space="preserve">Il n’y a pas de preuve qu’il participe à des rencontres sur la stratégie à adopter ou qu’il soit au </w:t>
      </w:r>
      <w:r w:rsidR="00BA4AD5">
        <w:t>courant des redevances à verser</w:t>
      </w:r>
      <w:r w:rsidR="003E0F4A">
        <w:t>,</w:t>
      </w:r>
      <w:r>
        <w:t xml:space="preserve"> etc. Le Tribunal ne minimise</w:t>
      </w:r>
      <w:r w:rsidR="00D01705">
        <w:t xml:space="preserve"> pas son implication et sa motivation à faire de l’argent illégalement en participant à un commerce hautement condamnable</w:t>
      </w:r>
      <w:r w:rsidR="00BA4AD5">
        <w:t>,</w:t>
      </w:r>
      <w:r w:rsidR="00D01705">
        <w:t xml:space="preserve"> et domm</w:t>
      </w:r>
      <w:r w:rsidR="003E0F4A">
        <w:t>ageable pour la communauté des Î</w:t>
      </w:r>
      <w:r w:rsidR="00D01705">
        <w:t>les en particulier</w:t>
      </w:r>
      <w:r w:rsidR="003E0F4A">
        <w:t>. Les Î</w:t>
      </w:r>
      <w:r w:rsidR="003F67B7">
        <w:t>les, comme les autres régions, doivent se débarrasser de ces criminels.</w:t>
      </w:r>
    </w:p>
    <w:p w:rsidR="00C9755A" w:rsidRDefault="00024DEC" w:rsidP="00062BF6">
      <w:pPr>
        <w:pStyle w:val="Paragraphe"/>
        <w:spacing w:line="240" w:lineRule="auto"/>
      </w:pPr>
      <w:r>
        <w:t xml:space="preserve">Ceci dit, </w:t>
      </w:r>
      <w:r w:rsidR="003F0F6F">
        <w:t xml:space="preserve">est-ce que </w:t>
      </w:r>
      <w:r>
        <w:t>la sévérité de la peine doit occuper le haut du pavé dans l</w:t>
      </w:r>
      <w:r w:rsidR="0088075C">
        <w:t>e cas de monsieur Martinet ?</w:t>
      </w:r>
      <w:r>
        <w:t xml:space="preserve"> Dans l’arrêt de Philippe Brais</w:t>
      </w:r>
      <w:r>
        <w:rPr>
          <w:rStyle w:val="Appelnotedebasdep"/>
        </w:rPr>
        <w:footnoteReference w:id="4"/>
      </w:r>
      <w:r>
        <w:t>, rédigé par monsieur le juge Vauclair de la Cour d’appel</w:t>
      </w:r>
      <w:r w:rsidR="003D7E9F">
        <w:t>, il rappelle ce qui suit au sujet des objectifs d</w:t>
      </w:r>
      <w:r>
        <w:t>e dissuasion et de dénonciation :</w:t>
      </w:r>
    </w:p>
    <w:p w:rsidR="003F67B7" w:rsidRDefault="00024DEC" w:rsidP="00C9755A">
      <w:pPr>
        <w:pStyle w:val="Paragraphe"/>
        <w:numPr>
          <w:ilvl w:val="0"/>
          <w:numId w:val="0"/>
        </w:numPr>
        <w:spacing w:line="240" w:lineRule="auto"/>
        <w:ind w:left="734"/>
      </w:pPr>
      <w:r w:rsidRPr="00BC3DBF">
        <w:t>«</w:t>
      </w:r>
      <w:r w:rsidRPr="00BC3DBF">
        <w:rPr>
          <w:rFonts w:cs="Arial"/>
        </w:rPr>
        <w:t xml:space="preserve"> </w:t>
      </w:r>
      <w:r w:rsidR="00C9755A" w:rsidRPr="00BC3DBF">
        <w:rPr>
          <w:rFonts w:cs="Arial"/>
        </w:rPr>
        <w:t>[19] </w:t>
      </w:r>
      <w:r w:rsidR="00C9755A" w:rsidRPr="00BC3DBF">
        <w:t> </w:t>
      </w:r>
      <w:r w:rsidR="00C9755A" w:rsidRPr="00BC3DBF">
        <w:rPr>
          <w:rFonts w:cs="Arial"/>
        </w:rPr>
        <w:t>[…] </w:t>
      </w:r>
      <w:r w:rsidR="003D7E9F" w:rsidRPr="00BC3DBF">
        <w:rPr>
          <w:i/>
        </w:rPr>
        <w:t>Il est bon de rappeler la nécessaire prudence dans la mise en œuvre de ces objectifs. Au-delà des impressions et des convictions que l’exercice de la force pénale lance un message clair, voire fort, on ne peut mettre de côté les connaissances acquises par la science criminologique. Aux termes de plusieurs études</w:t>
      </w:r>
      <w:r w:rsidR="002428D2" w:rsidRPr="00BC3DBF">
        <w:rPr>
          <w:i/>
        </w:rPr>
        <w:t>, tant canadiennes qu’étrangères, le constat est frappant.</w:t>
      </w:r>
      <w:r w:rsidR="00690828" w:rsidRPr="00BC3DBF">
        <w:rPr>
          <w:i/>
        </w:rPr>
        <w:t xml:space="preserve"> Si règle générale l’ensemble des sanctions pénales joue un rôle dissuasif, il est loin d’être acquis que la sévérité des sanctions contribue à l’atteinte de cet objectif. Sur ce point, les recherches</w:t>
      </w:r>
      <w:r w:rsidR="008C1A01" w:rsidRPr="00BC3DBF">
        <w:rPr>
          <w:i/>
        </w:rPr>
        <w:t xml:space="preserve"> font v</w:t>
      </w:r>
      <w:r w:rsidR="00690828" w:rsidRPr="00BC3DBF">
        <w:rPr>
          <w:i/>
        </w:rPr>
        <w:t>oir des résultats plutôt mitigé</w:t>
      </w:r>
      <w:r w:rsidR="008C1A01" w:rsidRPr="00BC3DBF">
        <w:rPr>
          <w:i/>
        </w:rPr>
        <w:t>s. Elles démontrent en sus</w:t>
      </w:r>
      <w:r w:rsidR="00690828" w:rsidRPr="00BC3DBF">
        <w:rPr>
          <w:i/>
        </w:rPr>
        <w:t xml:space="preserve"> l’échec des peines sévères destinées à dissua</w:t>
      </w:r>
      <w:r w:rsidR="00C9755A" w:rsidRPr="00BC3DBF">
        <w:rPr>
          <w:i/>
        </w:rPr>
        <w:t>der un comportement particulier</w:t>
      </w:r>
      <w:r w:rsidR="00C9755A" w:rsidRPr="00BC3DBF">
        <w:t>. </w:t>
      </w:r>
      <w:r w:rsidR="00690828" w:rsidRPr="00BC3DBF">
        <w:t>»</w:t>
      </w:r>
    </w:p>
    <w:p w:rsidR="008C1A01" w:rsidRDefault="00024DEC" w:rsidP="00062BF6">
      <w:pPr>
        <w:pStyle w:val="Paragraphe"/>
        <w:spacing w:line="240" w:lineRule="auto"/>
      </w:pPr>
      <w:r>
        <w:t>Monsieur Martinet a 67 ans</w:t>
      </w:r>
      <w:r w:rsidR="00A0242F">
        <w:t xml:space="preserve"> et est affaibli par une santé fragile</w:t>
      </w:r>
      <w:r>
        <w:rPr>
          <w:rStyle w:val="Appelnotedebasdep"/>
        </w:rPr>
        <w:footnoteReference w:id="5"/>
      </w:r>
      <w:r>
        <w:t>comme mentionné ci-</w:t>
      </w:r>
      <w:r w:rsidR="009374B3">
        <w:t>de</w:t>
      </w:r>
      <w:r>
        <w:t>vant. Cela contribue s</w:t>
      </w:r>
      <w:r w:rsidR="00C94E2E">
        <w:t>ûrement pour</w:t>
      </w:r>
      <w:r>
        <w:t xml:space="preserve"> partie au fait</w:t>
      </w:r>
      <w:r w:rsidR="003F0F6F">
        <w:t xml:space="preserve"> que le risque de récidive chez </w:t>
      </w:r>
      <w:r>
        <w:t xml:space="preserve">lui est évalué à faible. Combiné à la donnée voulant que le processus </w:t>
      </w:r>
      <w:r w:rsidRPr="00166AEA">
        <w:t xml:space="preserve">pénal </w:t>
      </w:r>
      <w:r w:rsidR="009374B3" w:rsidRPr="00166AEA">
        <w:t xml:space="preserve">ait </w:t>
      </w:r>
      <w:r w:rsidRPr="00166AEA">
        <w:t>un effet dissuasif</w:t>
      </w:r>
      <w:r>
        <w:t xml:space="preserve"> sur lui, le Tribunal ne voit pas la nécessité de lui imposer une peine comme le réclame le ministère public.</w:t>
      </w:r>
      <w:r w:rsidR="00C94E2E">
        <w:t xml:space="preserve"> </w:t>
      </w:r>
      <w:r w:rsidR="0021793E">
        <w:t>Aussi, s</w:t>
      </w:r>
      <w:r w:rsidR="00C94E2E">
        <w:t>ans le considérer comme un facteur atténuant, le Tribunal place dans le portrait global que l’accusé est</w:t>
      </w:r>
      <w:r w:rsidR="00704541">
        <w:t xml:space="preserve"> libre</w:t>
      </w:r>
      <w:r w:rsidR="00C94E2E">
        <w:t xml:space="preserve"> sous conditions depuis février 2019, et qu’il</w:t>
      </w:r>
      <w:r w:rsidR="00704541">
        <w:t xml:space="preserve"> respecte ses conditions.</w:t>
      </w:r>
    </w:p>
    <w:p w:rsidR="00C94E2E" w:rsidRDefault="00024DEC" w:rsidP="00062BF6">
      <w:pPr>
        <w:pStyle w:val="Paragraphe"/>
        <w:spacing w:line="240" w:lineRule="auto"/>
      </w:pPr>
      <w:r>
        <w:t>Même s’il ne présente pas de « plan de réhabilitation » comme dans certains dossiers,</w:t>
      </w:r>
      <w:r w:rsidR="00146B21">
        <w:t xml:space="preserve"> s</w:t>
      </w:r>
      <w:r>
        <w:t>a façon de vivre, en faisant du bénévolat pour s’occuper</w:t>
      </w:r>
      <w:r w:rsidR="00146B21">
        <w:t>, et étant près de sa famille qui peut le confronter</w:t>
      </w:r>
      <w:r>
        <w:t>,</w:t>
      </w:r>
      <w:r w:rsidR="00146B21">
        <w:t xml:space="preserve"> comme le révèle le rapport présentenciel, le Tribunal n’écarte pas la probabilité sérieuse d’une réhabilitation</w:t>
      </w:r>
      <w:r w:rsidR="00A0242F">
        <w:t>.</w:t>
      </w:r>
    </w:p>
    <w:p w:rsidR="00685BA5" w:rsidRDefault="00024DEC" w:rsidP="00062BF6">
      <w:pPr>
        <w:pStyle w:val="Paragraphe"/>
        <w:spacing w:line="240" w:lineRule="auto"/>
      </w:pPr>
      <w:r>
        <w:t>Soupesant les objectifs et les principes de détermination de la peine, le Tribunal tranc</w:t>
      </w:r>
      <w:r w:rsidR="006C34DF">
        <w:t>he qu’une peine de détention de deux</w:t>
      </w:r>
      <w:r>
        <w:t xml:space="preserve"> ans moins un jour est la sanction juste que mérite monsieur Martinet. </w:t>
      </w:r>
    </w:p>
    <w:p w:rsidR="00CD6F6F" w:rsidRPr="002A1D9C" w:rsidRDefault="00024DEC" w:rsidP="00062BF6">
      <w:pPr>
        <w:pStyle w:val="Paragraphe"/>
        <w:numPr>
          <w:ilvl w:val="0"/>
          <w:numId w:val="0"/>
        </w:numPr>
        <w:spacing w:line="240" w:lineRule="auto"/>
        <w:ind w:left="734"/>
        <w:rPr>
          <w:b/>
        </w:rPr>
      </w:pPr>
      <w:r w:rsidRPr="002A1D9C">
        <w:rPr>
          <w:b/>
        </w:rPr>
        <w:t>POUR CES MOTIFS, LE TRIBUNAL :</w:t>
      </w:r>
    </w:p>
    <w:p w:rsidR="00CD6F6F" w:rsidRDefault="00024DEC" w:rsidP="00062BF6">
      <w:pPr>
        <w:pStyle w:val="Paragraphe"/>
        <w:spacing w:line="240" w:lineRule="auto"/>
      </w:pPr>
      <w:r w:rsidRPr="007A722D">
        <w:rPr>
          <w:b/>
        </w:rPr>
        <w:t>CONDAMNE</w:t>
      </w:r>
      <w:r>
        <w:t xml:space="preserve"> l’accusé à une peine </w:t>
      </w:r>
      <w:r w:rsidR="006C34DF">
        <w:t>de deux</w:t>
      </w:r>
      <w:r>
        <w:t xml:space="preserve"> ans moins un jour d’emprisonnement</w:t>
      </w:r>
      <w:r w:rsidR="00A0242F">
        <w:t xml:space="preserve"> sur </w:t>
      </w:r>
      <w:r w:rsidR="00A0242F" w:rsidRPr="00BC3DBF">
        <w:t>chaque chef d’accusation</w:t>
      </w:r>
      <w:r w:rsidR="00BC3DBF" w:rsidRPr="00BC3DBF">
        <w:t>,</w:t>
      </w:r>
      <w:r w:rsidR="00A0242F" w:rsidRPr="00BC3DBF">
        <w:t xml:space="preserve"> concurrents entre eux</w:t>
      </w:r>
      <w:r w:rsidRPr="00BC3DBF">
        <w:t>;</w:t>
      </w:r>
    </w:p>
    <w:p w:rsidR="007A722D" w:rsidRDefault="00024DEC" w:rsidP="00062BF6">
      <w:pPr>
        <w:pStyle w:val="Paragraphe"/>
        <w:spacing w:line="240" w:lineRule="auto"/>
        <w:rPr>
          <w:lang w:eastAsia="fr-CA"/>
        </w:rPr>
      </w:pPr>
      <w:r w:rsidRPr="007A722D">
        <w:rPr>
          <w:b/>
          <w:lang w:eastAsia="fr-CA"/>
        </w:rPr>
        <w:t>PLACE</w:t>
      </w:r>
      <w:r w:rsidRPr="00062BF6">
        <w:rPr>
          <w:lang w:eastAsia="fr-CA"/>
        </w:rPr>
        <w:t xml:space="preserve"> l'accusé en probation pour une période de deux ans, avec un suivi de 18 mois, aux conditions suivantes</w:t>
      </w:r>
      <w:r w:rsidR="006C34DF">
        <w:rPr>
          <w:lang w:eastAsia="fr-CA"/>
        </w:rPr>
        <w:t> :</w:t>
      </w:r>
    </w:p>
    <w:p w:rsidR="00062BF6" w:rsidRDefault="00024DEC" w:rsidP="007A722D">
      <w:pPr>
        <w:pStyle w:val="Paragraphe"/>
        <w:numPr>
          <w:ilvl w:val="0"/>
          <w:numId w:val="14"/>
        </w:numPr>
        <w:spacing w:line="240" w:lineRule="auto"/>
        <w:rPr>
          <w:lang w:eastAsia="fr-CA"/>
        </w:rPr>
      </w:pPr>
      <w:r>
        <w:rPr>
          <w:lang w:eastAsia="fr-CA"/>
        </w:rPr>
        <w:t>n</w:t>
      </w:r>
      <w:r w:rsidRPr="00062BF6">
        <w:rPr>
          <w:lang w:eastAsia="fr-CA"/>
        </w:rPr>
        <w:t>e pas troubler l'ordre public et avoir une bonne conduite;</w:t>
      </w:r>
    </w:p>
    <w:p w:rsidR="00062BF6" w:rsidRDefault="00024DEC" w:rsidP="007A722D">
      <w:pPr>
        <w:pStyle w:val="Paragraphe"/>
        <w:numPr>
          <w:ilvl w:val="0"/>
          <w:numId w:val="14"/>
        </w:numPr>
        <w:spacing w:line="240" w:lineRule="auto"/>
        <w:rPr>
          <w:lang w:eastAsia="fr-CA"/>
        </w:rPr>
      </w:pPr>
      <w:r w:rsidRPr="00062BF6">
        <w:rPr>
          <w:lang w:eastAsia="fr-CA"/>
        </w:rPr>
        <w:t xml:space="preserve">répondre aux convocations du </w:t>
      </w:r>
      <w:r w:rsidR="007A722D">
        <w:rPr>
          <w:lang w:eastAsia="fr-CA"/>
        </w:rPr>
        <w:t>t</w:t>
      </w:r>
      <w:r w:rsidRPr="00062BF6">
        <w:rPr>
          <w:lang w:eastAsia="fr-CA"/>
        </w:rPr>
        <w:t>ribunal;</w:t>
      </w:r>
    </w:p>
    <w:p w:rsidR="00062BF6" w:rsidRDefault="00024DEC" w:rsidP="007A722D">
      <w:pPr>
        <w:pStyle w:val="Paragraphe"/>
        <w:numPr>
          <w:ilvl w:val="0"/>
          <w:numId w:val="14"/>
        </w:numPr>
        <w:spacing w:line="240" w:lineRule="auto"/>
        <w:rPr>
          <w:lang w:eastAsia="fr-CA"/>
        </w:rPr>
      </w:pPr>
      <w:r w:rsidRPr="00062BF6">
        <w:rPr>
          <w:lang w:eastAsia="fr-CA"/>
        </w:rPr>
        <w:t>interdiction de communiquer de quelque façon que ce soit avec Roger A</w:t>
      </w:r>
      <w:r w:rsidR="00BB69D3">
        <w:rPr>
          <w:lang w:eastAsia="fr-CA"/>
        </w:rPr>
        <w:t>ucoin ou d'être en sa présence;</w:t>
      </w:r>
    </w:p>
    <w:p w:rsidR="00062BF6" w:rsidRDefault="00024DEC" w:rsidP="007A722D">
      <w:pPr>
        <w:pStyle w:val="Paragraphe"/>
        <w:numPr>
          <w:ilvl w:val="0"/>
          <w:numId w:val="14"/>
        </w:numPr>
        <w:spacing w:line="240" w:lineRule="auto"/>
        <w:rPr>
          <w:lang w:eastAsia="fr-CA"/>
        </w:rPr>
      </w:pPr>
      <w:r w:rsidRPr="00062BF6">
        <w:rPr>
          <w:lang w:eastAsia="fr-CA"/>
        </w:rPr>
        <w:t>interdiction d'être en présence de personnes faisant la vente, l</w:t>
      </w:r>
      <w:r w:rsidR="007A722D">
        <w:rPr>
          <w:lang w:eastAsia="fr-CA"/>
        </w:rPr>
        <w:t>e trafic, et l'usage de drogue;</w:t>
      </w:r>
    </w:p>
    <w:p w:rsidR="00062BF6" w:rsidRDefault="00024DEC" w:rsidP="007A722D">
      <w:pPr>
        <w:pStyle w:val="Paragraphe"/>
        <w:numPr>
          <w:ilvl w:val="0"/>
          <w:numId w:val="14"/>
        </w:numPr>
        <w:spacing w:line="240" w:lineRule="auto"/>
        <w:rPr>
          <w:lang w:eastAsia="fr-CA"/>
        </w:rPr>
      </w:pPr>
      <w:r w:rsidRPr="00062BF6">
        <w:rPr>
          <w:lang w:eastAsia="fr-CA"/>
        </w:rPr>
        <w:t>se présenter à un agent de probation dans les deux jours ouvrables de sa libération et ensuite</w:t>
      </w:r>
      <w:r w:rsidR="00553942">
        <w:rPr>
          <w:lang w:eastAsia="fr-CA"/>
        </w:rPr>
        <w:t>,</w:t>
      </w:r>
      <w:r w:rsidRPr="00062BF6">
        <w:rPr>
          <w:lang w:eastAsia="fr-CA"/>
        </w:rPr>
        <w:t xml:space="preserve"> suivant les modalités de temps</w:t>
      </w:r>
      <w:r w:rsidR="00553942">
        <w:rPr>
          <w:lang w:eastAsia="fr-CA"/>
        </w:rPr>
        <w:t>,</w:t>
      </w:r>
      <w:r w:rsidRPr="00062BF6">
        <w:rPr>
          <w:lang w:eastAsia="fr-CA"/>
        </w:rPr>
        <w:t xml:space="preserve"> d'endroit et de lieu fixé</w:t>
      </w:r>
      <w:r w:rsidR="00553942">
        <w:rPr>
          <w:lang w:eastAsia="fr-CA"/>
        </w:rPr>
        <w:t>es</w:t>
      </w:r>
      <w:r w:rsidRPr="00062BF6">
        <w:rPr>
          <w:lang w:eastAsia="fr-CA"/>
        </w:rPr>
        <w:t xml:space="preserve"> par l'agent;</w:t>
      </w:r>
    </w:p>
    <w:p w:rsidR="00062BF6" w:rsidRDefault="00024DEC" w:rsidP="007A722D">
      <w:pPr>
        <w:pStyle w:val="Paragraphe"/>
        <w:numPr>
          <w:ilvl w:val="0"/>
          <w:numId w:val="14"/>
        </w:numPr>
        <w:spacing w:line="240" w:lineRule="auto"/>
        <w:rPr>
          <w:lang w:eastAsia="fr-CA"/>
        </w:rPr>
      </w:pPr>
      <w:r w:rsidRPr="00062BF6">
        <w:rPr>
          <w:lang w:eastAsia="fr-CA"/>
        </w:rPr>
        <w:t>verser une somme de 2</w:t>
      </w:r>
      <w:r w:rsidR="0088075C">
        <w:rPr>
          <w:lang w:eastAsia="fr-CA"/>
        </w:rPr>
        <w:t> </w:t>
      </w:r>
      <w:r w:rsidRPr="00062BF6">
        <w:rPr>
          <w:lang w:eastAsia="fr-CA"/>
        </w:rPr>
        <w:t>000</w:t>
      </w:r>
      <w:r w:rsidR="007A722D">
        <w:rPr>
          <w:lang w:eastAsia="fr-CA"/>
        </w:rPr>
        <w:t>,</w:t>
      </w:r>
      <w:r w:rsidRPr="00062BF6">
        <w:rPr>
          <w:lang w:eastAsia="fr-CA"/>
        </w:rPr>
        <w:t>00</w:t>
      </w:r>
      <w:r w:rsidR="007A722D">
        <w:rPr>
          <w:lang w:eastAsia="fr-CA"/>
        </w:rPr>
        <w:t> </w:t>
      </w:r>
      <w:r w:rsidRPr="00062BF6">
        <w:rPr>
          <w:lang w:eastAsia="fr-CA"/>
        </w:rPr>
        <w:t xml:space="preserve">$ </w:t>
      </w:r>
      <w:r w:rsidR="00553942" w:rsidRPr="00062BF6">
        <w:rPr>
          <w:lang w:eastAsia="fr-CA"/>
        </w:rPr>
        <w:t>au pro</w:t>
      </w:r>
      <w:r w:rsidR="00553942">
        <w:rPr>
          <w:lang w:eastAsia="fr-CA"/>
        </w:rPr>
        <w:t>fit de la Maison des Jeunes des Î</w:t>
      </w:r>
      <w:r w:rsidR="0097746B">
        <w:rPr>
          <w:lang w:eastAsia="fr-CA"/>
        </w:rPr>
        <w:t>l</w:t>
      </w:r>
      <w:r w:rsidR="00553942" w:rsidRPr="00062BF6">
        <w:rPr>
          <w:lang w:eastAsia="fr-CA"/>
        </w:rPr>
        <w:t>es</w:t>
      </w:r>
      <w:r w:rsidR="00553942">
        <w:rPr>
          <w:lang w:eastAsia="fr-CA"/>
        </w:rPr>
        <w:t xml:space="preserve">, </w:t>
      </w:r>
      <w:r w:rsidRPr="00062BF6">
        <w:rPr>
          <w:lang w:eastAsia="fr-CA"/>
        </w:rPr>
        <w:t>via le greffe</w:t>
      </w:r>
      <w:r w:rsidR="00553942">
        <w:rPr>
          <w:lang w:eastAsia="fr-CA"/>
        </w:rPr>
        <w:t xml:space="preserve"> de Havre-Aubert, dans un délai d'un an.</w:t>
      </w:r>
    </w:p>
    <w:p w:rsidR="00685BA5" w:rsidRDefault="00024DEC" w:rsidP="00062BF6">
      <w:pPr>
        <w:pStyle w:val="Paragraphe"/>
        <w:spacing w:line="240" w:lineRule="auto"/>
      </w:pPr>
      <w:r w:rsidRPr="007A722D">
        <w:rPr>
          <w:b/>
        </w:rPr>
        <w:t>INTERDIT</w:t>
      </w:r>
      <w:r>
        <w:t xml:space="preserve"> à l’accusé, en vertu de l’article</w:t>
      </w:r>
      <w:r w:rsidR="0088075C">
        <w:t> </w:t>
      </w:r>
      <w:r>
        <w:t xml:space="preserve">109 du </w:t>
      </w:r>
      <w:r w:rsidRPr="00553942">
        <w:rPr>
          <w:i/>
        </w:rPr>
        <w:t>Code criminel</w:t>
      </w:r>
      <w:r>
        <w:t>, d’être propriétaire ou possesseur d’une arme à feu, munitions, substances explosives ou tout autre item décrit au même article,</w:t>
      </w:r>
      <w:r w:rsidR="00553942">
        <w:t xml:space="preserve"> et ce, </w:t>
      </w:r>
      <w:r>
        <w:t>à perpétuité;</w:t>
      </w:r>
    </w:p>
    <w:p w:rsidR="00685BA5" w:rsidRDefault="00024DEC" w:rsidP="00062BF6">
      <w:pPr>
        <w:pStyle w:val="Paragraphe"/>
        <w:spacing w:line="240" w:lineRule="auto"/>
      </w:pPr>
      <w:r w:rsidRPr="007A722D">
        <w:rPr>
          <w:b/>
        </w:rPr>
        <w:t>ODONNE</w:t>
      </w:r>
      <w:r>
        <w:t xml:space="preserve"> à l’accusé, en vertu de l’article</w:t>
      </w:r>
      <w:r w:rsidR="0088075C">
        <w:t> </w:t>
      </w:r>
      <w:r>
        <w:t>487</w:t>
      </w:r>
      <w:r w:rsidR="00B736E6">
        <w:t>.</w:t>
      </w:r>
      <w:r>
        <w:t xml:space="preserve">051 du </w:t>
      </w:r>
      <w:r w:rsidRPr="00553942">
        <w:rPr>
          <w:i/>
        </w:rPr>
        <w:t>Code criminel</w:t>
      </w:r>
      <w:r>
        <w:t xml:space="preserve"> de fournir les échantillons corporels nécessaire</w:t>
      </w:r>
      <w:r w:rsidR="0021793E">
        <w:t>s</w:t>
      </w:r>
      <w:r>
        <w:t xml:space="preserve"> à l’analyse de son ADN</w:t>
      </w:r>
      <w:r w:rsidR="00553942">
        <w:t>,</w:t>
      </w:r>
      <w:r>
        <w:t xml:space="preserve"> dans un délai de 150 jours.  </w:t>
      </w:r>
    </w:p>
    <w:tbl>
      <w:tblPr>
        <w:tblW w:w="9505" w:type="dxa"/>
        <w:tblLayout w:type="fixed"/>
        <w:tblCellMar>
          <w:left w:w="70" w:type="dxa"/>
          <w:right w:w="70" w:type="dxa"/>
        </w:tblCellMar>
        <w:tblLook w:val="0000" w:firstRow="0" w:lastRow="0" w:firstColumn="0" w:lastColumn="0" w:noHBand="0" w:noVBand="0"/>
      </w:tblPr>
      <w:tblGrid>
        <w:gridCol w:w="2068"/>
        <w:gridCol w:w="2799"/>
        <w:gridCol w:w="4638"/>
      </w:tblGrid>
      <w:tr w:rsidR="008F3D8F">
        <w:trPr>
          <w:trHeight w:val="576"/>
        </w:trPr>
        <w:tc>
          <w:tcPr>
            <w:tcW w:w="9505" w:type="dxa"/>
            <w:gridSpan w:val="3"/>
          </w:tcPr>
          <w:p w:rsidR="00CD6F6F" w:rsidRDefault="00CD6F6F">
            <w:pPr>
              <w:keepNext/>
              <w:keepLines/>
            </w:pPr>
          </w:p>
          <w:p w:rsidR="00553942" w:rsidRDefault="00553942">
            <w:pPr>
              <w:keepNext/>
              <w:keepLines/>
            </w:pPr>
          </w:p>
          <w:p w:rsidR="00553942" w:rsidRDefault="00553942">
            <w:pPr>
              <w:keepNext/>
              <w:keepLines/>
            </w:pPr>
          </w:p>
          <w:p w:rsidR="00553942" w:rsidRDefault="00553942">
            <w:pPr>
              <w:keepNext/>
              <w:keepLines/>
            </w:pPr>
          </w:p>
          <w:p w:rsidR="00553942" w:rsidRDefault="00553942">
            <w:pPr>
              <w:keepNext/>
              <w:keepLines/>
            </w:pPr>
          </w:p>
        </w:tc>
      </w:tr>
      <w:tr w:rsidR="008F3D8F">
        <w:tblPrEx>
          <w:tblCellMar>
            <w:left w:w="0" w:type="dxa"/>
            <w:right w:w="0" w:type="dxa"/>
          </w:tblCellMar>
        </w:tblPrEx>
        <w:trPr>
          <w:cantSplit/>
        </w:trPr>
        <w:tc>
          <w:tcPr>
            <w:tcW w:w="4867" w:type="dxa"/>
            <w:gridSpan w:val="2"/>
          </w:tcPr>
          <w:p w:rsidR="00CD6F6F" w:rsidRDefault="00CD6F6F"/>
        </w:tc>
        <w:tc>
          <w:tcPr>
            <w:tcW w:w="4638" w:type="dxa"/>
          </w:tcPr>
          <w:p w:rsidR="00CD6F6F" w:rsidRDefault="00024DEC">
            <w:pPr>
              <w:pStyle w:val="zSoquijdatSignature3Juge"/>
            </w:pPr>
            <w:r>
              <w:t>__________________________________</w:t>
            </w:r>
          </w:p>
          <w:p w:rsidR="00CD6F6F" w:rsidRDefault="00024DEC">
            <w:pPr>
              <w:pStyle w:val="zSoquijdatSignature3Juge"/>
            </w:pPr>
            <w:r>
              <w:t xml:space="preserve">Denis Paradis, </w:t>
            </w:r>
            <w:r w:rsidR="00D70333">
              <w:t>J.</w:t>
            </w:r>
            <w:r>
              <w:t>C.Q.</w:t>
            </w:r>
          </w:p>
        </w:tc>
      </w:tr>
      <w:tr w:rsidR="008F3D8F">
        <w:tc>
          <w:tcPr>
            <w:tcW w:w="9505" w:type="dxa"/>
            <w:gridSpan w:val="3"/>
          </w:tcPr>
          <w:p w:rsidR="00CD6F6F" w:rsidRDefault="00CD6F6F"/>
        </w:tc>
      </w:tr>
      <w:tr w:rsidR="008F3D8F">
        <w:trPr>
          <w:cantSplit/>
        </w:trPr>
        <w:tc>
          <w:tcPr>
            <w:tcW w:w="9505" w:type="dxa"/>
            <w:gridSpan w:val="3"/>
          </w:tcPr>
          <w:p w:rsidR="00CD6F6F" w:rsidRDefault="00024DEC" w:rsidP="00A0242F">
            <w:pPr>
              <w:pStyle w:val="zSoquijdatNomProcureurDem"/>
            </w:pPr>
            <w:r>
              <w:t xml:space="preserve">Me </w:t>
            </w:r>
            <w:r w:rsidR="00685BA5">
              <w:t>Ma</w:t>
            </w:r>
            <w:r w:rsidR="00A0242F">
              <w:t>rtine</w:t>
            </w:r>
            <w:r w:rsidR="00685BA5">
              <w:t xml:space="preserve"> Savard</w:t>
            </w:r>
          </w:p>
        </w:tc>
      </w:tr>
      <w:tr w:rsidR="008F3D8F">
        <w:trPr>
          <w:cantSplit/>
        </w:trPr>
        <w:tc>
          <w:tcPr>
            <w:tcW w:w="9505" w:type="dxa"/>
            <w:gridSpan w:val="3"/>
          </w:tcPr>
          <w:p w:rsidR="00CD6F6F" w:rsidRDefault="00024DEC" w:rsidP="00605375">
            <w:pPr>
              <w:pStyle w:val="zSoquijlblProcureurDem"/>
            </w:pPr>
            <w:r>
              <w:t>Avocat</w:t>
            </w:r>
            <w:r w:rsidR="00685BA5">
              <w:t>e</w:t>
            </w:r>
            <w:r>
              <w:t xml:space="preserve"> de la </w:t>
            </w:r>
            <w:r w:rsidR="00605375">
              <w:t>poursuivante</w:t>
            </w:r>
          </w:p>
        </w:tc>
      </w:tr>
      <w:tr w:rsidR="008F3D8F">
        <w:trPr>
          <w:cantSplit/>
        </w:trPr>
        <w:tc>
          <w:tcPr>
            <w:tcW w:w="9505" w:type="dxa"/>
            <w:gridSpan w:val="3"/>
          </w:tcPr>
          <w:p w:rsidR="00CD6F6F" w:rsidRDefault="00CD6F6F"/>
        </w:tc>
      </w:tr>
      <w:tr w:rsidR="008F3D8F">
        <w:trPr>
          <w:cantSplit/>
        </w:trPr>
        <w:tc>
          <w:tcPr>
            <w:tcW w:w="9505" w:type="dxa"/>
            <w:gridSpan w:val="3"/>
          </w:tcPr>
          <w:p w:rsidR="00CD6F6F" w:rsidRDefault="00024DEC" w:rsidP="00605375">
            <w:pPr>
              <w:pStyle w:val="zSoquijdatNomProcureurDef"/>
            </w:pPr>
            <w:r>
              <w:t xml:space="preserve">Me </w:t>
            </w:r>
            <w:r w:rsidR="00605375">
              <w:t>Alain Dubois</w:t>
            </w:r>
          </w:p>
        </w:tc>
      </w:tr>
      <w:tr w:rsidR="008F3D8F">
        <w:trPr>
          <w:cantSplit/>
        </w:trPr>
        <w:tc>
          <w:tcPr>
            <w:tcW w:w="9505" w:type="dxa"/>
            <w:gridSpan w:val="3"/>
          </w:tcPr>
          <w:p w:rsidR="00CD6F6F" w:rsidRDefault="00024DEC" w:rsidP="00605375">
            <w:pPr>
              <w:pStyle w:val="zSoquijlblProcureurDef"/>
            </w:pPr>
            <w:r>
              <w:t xml:space="preserve">Avocat de </w:t>
            </w:r>
            <w:r w:rsidR="00605375">
              <w:t>l’accusé</w:t>
            </w:r>
          </w:p>
        </w:tc>
      </w:tr>
      <w:tr w:rsidR="008F3D8F">
        <w:tc>
          <w:tcPr>
            <w:tcW w:w="9505" w:type="dxa"/>
            <w:gridSpan w:val="3"/>
          </w:tcPr>
          <w:p w:rsidR="00CD6F6F" w:rsidRDefault="00CD6F6F"/>
        </w:tc>
      </w:tr>
      <w:tr w:rsidR="008F3D8F">
        <w:tc>
          <w:tcPr>
            <w:tcW w:w="2068" w:type="dxa"/>
          </w:tcPr>
          <w:p w:rsidR="00CD6F6F" w:rsidRDefault="00024DEC">
            <w:pPr>
              <w:pStyle w:val="zSoquijlblDateAudience"/>
            </w:pPr>
            <w:r>
              <w:t>Date d’audience :</w:t>
            </w:r>
          </w:p>
        </w:tc>
        <w:tc>
          <w:tcPr>
            <w:tcW w:w="7437" w:type="dxa"/>
            <w:gridSpan w:val="2"/>
          </w:tcPr>
          <w:p w:rsidR="00CD6F6F" w:rsidRDefault="00024DEC">
            <w:pPr>
              <w:pStyle w:val="zSoquijdatDateAudience"/>
            </w:pPr>
            <w:r>
              <w:t>16 août 2021</w:t>
            </w:r>
          </w:p>
        </w:tc>
      </w:tr>
    </w:tbl>
    <w:p w:rsidR="00CD6F6F" w:rsidRDefault="00CD6F6F"/>
    <w:sectPr w:rsidR="00CD6F6F">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5ED" w:rsidRDefault="00024DEC">
      <w:r>
        <w:separator/>
      </w:r>
    </w:p>
  </w:endnote>
  <w:endnote w:type="continuationSeparator" w:id="0">
    <w:p w:rsidR="006805ED" w:rsidRDefault="0002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F6F" w:rsidRDefault="00024DEC">
    <w:pPr>
      <w:framePr w:wrap="around" w:vAnchor="text" w:hAnchor="margin" w:xAlign="right" w:y="1"/>
    </w:pPr>
    <w:r>
      <w:fldChar w:fldCharType="begin"/>
    </w:r>
    <w:r>
      <w:instrText xml:space="preserve">PAGE  </w:instrText>
    </w:r>
    <w:r>
      <w:fldChar w:fldCharType="end"/>
    </w:r>
  </w:p>
  <w:p w:rsidR="00CD6F6F" w:rsidRDefault="00CD6F6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AD5" w:rsidRDefault="00BA4A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AD5" w:rsidRDefault="00BA4A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0E7" w:rsidRDefault="00024DEC" w:rsidP="00CD6F6F">
      <w:pPr>
        <w:pStyle w:val="zSoquijdatNomProcureurDem"/>
      </w:pPr>
      <w:r>
        <w:separator/>
      </w:r>
    </w:p>
  </w:footnote>
  <w:footnote w:type="continuationSeparator" w:id="0">
    <w:p w:rsidR="00AF60E7" w:rsidRDefault="00024DEC" w:rsidP="00CD6F6F">
      <w:pPr>
        <w:pStyle w:val="zSoquijdatNomProcureurDem"/>
      </w:pPr>
      <w:r>
        <w:continuationSeparator/>
      </w:r>
    </w:p>
  </w:footnote>
  <w:footnote w:id="1">
    <w:p w:rsidR="00A74E2D" w:rsidRDefault="00024DEC" w:rsidP="00A74E2D">
      <w:pPr>
        <w:pStyle w:val="Paragraphe"/>
        <w:numPr>
          <w:ilvl w:val="0"/>
          <w:numId w:val="0"/>
        </w:numPr>
        <w:spacing w:line="240" w:lineRule="auto"/>
      </w:pPr>
      <w:r>
        <w:rPr>
          <w:rStyle w:val="Appelnotedebasdep"/>
        </w:rPr>
        <w:footnoteRef/>
      </w:r>
      <w:r>
        <w:t xml:space="preserve"> </w:t>
      </w:r>
      <w:r>
        <w:tab/>
        <w:t>Les policiers obtiennent 8 autorisations d’écoute électronique, 5 mandats généraux, 19 mandats de localisation, 83 mandats de perquisition, 29 mandats d’arrestation et 21 mandats d’entré</w:t>
      </w:r>
      <w:r w:rsidR="00F64D35">
        <w:t>e</w:t>
      </w:r>
      <w:r w:rsidR="00753F2B">
        <w:t>. Ils font</w:t>
      </w:r>
      <w:r>
        <w:t xml:space="preserve"> 630 surveillance</w:t>
      </w:r>
      <w:r w:rsidR="00F64D35">
        <w:t>s</w:t>
      </w:r>
      <w:r>
        <w:t xml:space="preserve"> physique</w:t>
      </w:r>
      <w:r w:rsidR="00F64D35">
        <w:t>s</w:t>
      </w:r>
      <w:r w:rsidR="00753F2B">
        <w:t xml:space="preserve"> et</w:t>
      </w:r>
      <w:r>
        <w:t xml:space="preserve"> 294 transactions </w:t>
      </w:r>
      <w:r w:rsidR="00753F2B">
        <w:t xml:space="preserve">sont </w:t>
      </w:r>
      <w:r>
        <w:t>effectuées par des agents d’infiltration. L’agent civil d’infiltration utilisera 943</w:t>
      </w:r>
      <w:r w:rsidR="0088075C">
        <w:t> </w:t>
      </w:r>
      <w:r>
        <w:t>800</w:t>
      </w:r>
      <w:r w:rsidR="00F64D35">
        <w:t>,</w:t>
      </w:r>
      <w:r>
        <w:t>00</w:t>
      </w:r>
      <w:r w:rsidR="00F64D35">
        <w:t> </w:t>
      </w:r>
      <w:r>
        <w:t>$ en billets marqués dans différentes transactions.</w:t>
      </w:r>
    </w:p>
    <w:p w:rsidR="00A74E2D" w:rsidRDefault="00A74E2D">
      <w:pPr>
        <w:pStyle w:val="Notedebasdepage"/>
      </w:pPr>
    </w:p>
  </w:footnote>
  <w:footnote w:id="2">
    <w:p w:rsidR="00642CAD" w:rsidRDefault="00024DEC">
      <w:pPr>
        <w:pStyle w:val="Notedebasdepage"/>
      </w:pPr>
      <w:r>
        <w:rPr>
          <w:rStyle w:val="Appelnotedebasdep"/>
        </w:rPr>
        <w:footnoteRef/>
      </w:r>
      <w:r>
        <w:t xml:space="preserve"> </w:t>
      </w:r>
      <w:r>
        <w:tab/>
        <w:t>La Reine c. Baptista, district de Montréal, 17 mars 2021, numéros</w:t>
      </w:r>
      <w:r w:rsidR="0088075C">
        <w:t> </w:t>
      </w:r>
      <w:r>
        <w:t xml:space="preserve">500-01-185403-190, 500-01-185404-198 et 500-01-188121-195. </w:t>
      </w:r>
    </w:p>
  </w:footnote>
  <w:footnote w:id="3">
    <w:p w:rsidR="00BC103D" w:rsidRDefault="00024DEC">
      <w:pPr>
        <w:pStyle w:val="Notedebasdepage"/>
      </w:pPr>
      <w:r>
        <w:rPr>
          <w:rStyle w:val="Appelnotedebasdep"/>
        </w:rPr>
        <w:footnoteRef/>
      </w:r>
      <w:r>
        <w:t xml:space="preserve"> </w:t>
      </w:r>
      <w:r>
        <w:tab/>
        <w:t>La Reine c. Éric</w:t>
      </w:r>
      <w:r w:rsidR="0097746B">
        <w:t xml:space="preserve"> </w:t>
      </w:r>
      <w:r>
        <w:t>Tremblay, district de Rimouski, 12 février 2021 et La Reine c. André Bourgoin, 100-01-022786-194.</w:t>
      </w:r>
    </w:p>
  </w:footnote>
  <w:footnote w:id="4">
    <w:p w:rsidR="00C9755A" w:rsidRDefault="00024DEC">
      <w:pPr>
        <w:pStyle w:val="Notedebasdepage"/>
      </w:pPr>
      <w:r>
        <w:rPr>
          <w:rStyle w:val="Appelnotedebasdep"/>
        </w:rPr>
        <w:footnoteRef/>
      </w:r>
      <w:r>
        <w:t xml:space="preserve"> </w:t>
      </w:r>
      <w:r>
        <w:tab/>
        <w:t xml:space="preserve">Philippe Brais c. la Reine </w:t>
      </w:r>
      <w:r>
        <w:rPr>
          <w:rFonts w:cs="Arial"/>
        </w:rPr>
        <w:t>[2016] Q.C.C.A.</w:t>
      </w:r>
      <w:r w:rsidR="0088075C">
        <w:rPr>
          <w:rFonts w:cs="Arial"/>
        </w:rPr>
        <w:t> </w:t>
      </w:r>
      <w:r>
        <w:rPr>
          <w:rFonts w:cs="Arial"/>
        </w:rPr>
        <w:t>356, par</w:t>
      </w:r>
      <w:r w:rsidR="00A0242F">
        <w:rPr>
          <w:rFonts w:cs="Arial"/>
        </w:rPr>
        <w:t>agraphe</w:t>
      </w:r>
      <w:r>
        <w:rPr>
          <w:rFonts w:cs="Arial"/>
        </w:rPr>
        <w:t xml:space="preserve"> 19.</w:t>
      </w:r>
    </w:p>
  </w:footnote>
  <w:footnote w:id="5">
    <w:p w:rsidR="00A0242F" w:rsidRDefault="00024DEC">
      <w:pPr>
        <w:pStyle w:val="Notedebasdepage"/>
      </w:pPr>
      <w:r>
        <w:rPr>
          <w:rStyle w:val="Appelnotedebasdep"/>
        </w:rPr>
        <w:footnoteRef/>
      </w:r>
      <w:r>
        <w:t xml:space="preserve"> </w:t>
      </w:r>
      <w:r>
        <w:tab/>
        <w:t>Voir la lettre du docteur Benoît Lord au sujet de ces nombreux problèmes de santé</w:t>
      </w:r>
      <w:r w:rsidR="00BC3DBF">
        <w:t>,</w:t>
      </w:r>
      <w:r w:rsidR="00704541">
        <w:t xml:space="preserve"> produite comme pièce S</w:t>
      </w:r>
      <w:r>
        <w:t>-1.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AD5" w:rsidRDefault="00BA4A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F6F" w:rsidRDefault="00024DEC">
    <w:pPr>
      <w:tabs>
        <w:tab w:val="center" w:pos="4709"/>
        <w:tab w:val="right" w:pos="9360"/>
      </w:tabs>
      <w:ind w:right="524"/>
    </w:pPr>
    <w:r>
      <w:t>115-01-000252-191</w:t>
    </w:r>
    <w:r>
      <w:tab/>
    </w:r>
    <w:r>
      <w:tab/>
      <w:t xml:space="preserve">PAGE : </w:t>
    </w:r>
    <w:r>
      <w:fldChar w:fldCharType="begin"/>
    </w:r>
    <w:r>
      <w:instrText xml:space="preserve"> PAGE </w:instrText>
    </w:r>
    <w:r>
      <w:fldChar w:fldCharType="separate"/>
    </w:r>
    <w:r w:rsidR="003053E6">
      <w:rPr>
        <w:noProof/>
      </w:rPr>
      <w:t>7</w:t>
    </w:r>
    <w:r>
      <w:fldChar w:fldCharType="end"/>
    </w:r>
  </w:p>
  <w:p w:rsidR="00CD6F6F" w:rsidRDefault="00CD6F6F">
    <w:pPr>
      <w:tabs>
        <w:tab w:val="center" w:pos="4709"/>
        <w:tab w:val="right" w:pos="9090"/>
      </w:tabs>
      <w:ind w:right="52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AD5" w:rsidRDefault="00BA4AD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5C8E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6EA15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524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00ED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84BF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7A90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652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F01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346F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0CF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94502"/>
    <w:multiLevelType w:val="hybridMultilevel"/>
    <w:tmpl w:val="4A0AF646"/>
    <w:lvl w:ilvl="0" w:tplc="F9888F98">
      <w:start w:val="1"/>
      <w:numFmt w:val="bullet"/>
      <w:lvlText w:val=""/>
      <w:lvlJc w:val="left"/>
      <w:pPr>
        <w:ind w:left="1454" w:hanging="360"/>
      </w:pPr>
      <w:rPr>
        <w:rFonts w:ascii="Symbol" w:hAnsi="Symbol" w:hint="default"/>
      </w:rPr>
    </w:lvl>
    <w:lvl w:ilvl="1" w:tplc="383CAA2C" w:tentative="1">
      <w:start w:val="1"/>
      <w:numFmt w:val="bullet"/>
      <w:lvlText w:val="o"/>
      <w:lvlJc w:val="left"/>
      <w:pPr>
        <w:ind w:left="2174" w:hanging="360"/>
      </w:pPr>
      <w:rPr>
        <w:rFonts w:ascii="Courier New" w:hAnsi="Courier New" w:cs="Courier New" w:hint="default"/>
      </w:rPr>
    </w:lvl>
    <w:lvl w:ilvl="2" w:tplc="E7EA8124" w:tentative="1">
      <w:start w:val="1"/>
      <w:numFmt w:val="bullet"/>
      <w:lvlText w:val=""/>
      <w:lvlJc w:val="left"/>
      <w:pPr>
        <w:ind w:left="2894" w:hanging="360"/>
      </w:pPr>
      <w:rPr>
        <w:rFonts w:ascii="Wingdings" w:hAnsi="Wingdings" w:hint="default"/>
      </w:rPr>
    </w:lvl>
    <w:lvl w:ilvl="3" w:tplc="C0B8E408" w:tentative="1">
      <w:start w:val="1"/>
      <w:numFmt w:val="bullet"/>
      <w:lvlText w:val=""/>
      <w:lvlJc w:val="left"/>
      <w:pPr>
        <w:ind w:left="3614" w:hanging="360"/>
      </w:pPr>
      <w:rPr>
        <w:rFonts w:ascii="Symbol" w:hAnsi="Symbol" w:hint="default"/>
      </w:rPr>
    </w:lvl>
    <w:lvl w:ilvl="4" w:tplc="98DA7C70" w:tentative="1">
      <w:start w:val="1"/>
      <w:numFmt w:val="bullet"/>
      <w:lvlText w:val="o"/>
      <w:lvlJc w:val="left"/>
      <w:pPr>
        <w:ind w:left="4334" w:hanging="360"/>
      </w:pPr>
      <w:rPr>
        <w:rFonts w:ascii="Courier New" w:hAnsi="Courier New" w:cs="Courier New" w:hint="default"/>
      </w:rPr>
    </w:lvl>
    <w:lvl w:ilvl="5" w:tplc="4A9CC90E" w:tentative="1">
      <w:start w:val="1"/>
      <w:numFmt w:val="bullet"/>
      <w:lvlText w:val=""/>
      <w:lvlJc w:val="left"/>
      <w:pPr>
        <w:ind w:left="5054" w:hanging="360"/>
      </w:pPr>
      <w:rPr>
        <w:rFonts w:ascii="Wingdings" w:hAnsi="Wingdings" w:hint="default"/>
      </w:rPr>
    </w:lvl>
    <w:lvl w:ilvl="6" w:tplc="C9427768" w:tentative="1">
      <w:start w:val="1"/>
      <w:numFmt w:val="bullet"/>
      <w:lvlText w:val=""/>
      <w:lvlJc w:val="left"/>
      <w:pPr>
        <w:ind w:left="5774" w:hanging="360"/>
      </w:pPr>
      <w:rPr>
        <w:rFonts w:ascii="Symbol" w:hAnsi="Symbol" w:hint="default"/>
      </w:rPr>
    </w:lvl>
    <w:lvl w:ilvl="7" w:tplc="3D6E03EE" w:tentative="1">
      <w:start w:val="1"/>
      <w:numFmt w:val="bullet"/>
      <w:lvlText w:val="o"/>
      <w:lvlJc w:val="left"/>
      <w:pPr>
        <w:ind w:left="6494" w:hanging="360"/>
      </w:pPr>
      <w:rPr>
        <w:rFonts w:ascii="Courier New" w:hAnsi="Courier New" w:cs="Courier New" w:hint="default"/>
      </w:rPr>
    </w:lvl>
    <w:lvl w:ilvl="8" w:tplc="2AE62B3A" w:tentative="1">
      <w:start w:val="1"/>
      <w:numFmt w:val="bullet"/>
      <w:lvlText w:val=""/>
      <w:lvlJc w:val="left"/>
      <w:pPr>
        <w:ind w:left="7214" w:hanging="360"/>
      </w:pPr>
      <w:rPr>
        <w:rFonts w:ascii="Wingdings" w:hAnsi="Wingdings" w:hint="default"/>
      </w:rPr>
    </w:lvl>
  </w:abstractNum>
  <w:abstractNum w:abstractNumId="11" w15:restartNumberingAfterBreak="0">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1"/>
  </w:num>
  <w:num w:numId="2">
    <w:abstractNumId w:val="11"/>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94"/>
    <w:rsid w:val="0000454F"/>
    <w:rsid w:val="00024DEC"/>
    <w:rsid w:val="00054992"/>
    <w:rsid w:val="00062BF6"/>
    <w:rsid w:val="000643A3"/>
    <w:rsid w:val="00065108"/>
    <w:rsid w:val="00134DE0"/>
    <w:rsid w:val="001422E1"/>
    <w:rsid w:val="001459A8"/>
    <w:rsid w:val="00146B21"/>
    <w:rsid w:val="00156013"/>
    <w:rsid w:val="00163C5F"/>
    <w:rsid w:val="00166282"/>
    <w:rsid w:val="00166AEA"/>
    <w:rsid w:val="00171184"/>
    <w:rsid w:val="001B5329"/>
    <w:rsid w:val="001E3EFB"/>
    <w:rsid w:val="00213AF4"/>
    <w:rsid w:val="00216919"/>
    <w:rsid w:val="0021793E"/>
    <w:rsid w:val="00220751"/>
    <w:rsid w:val="002428D2"/>
    <w:rsid w:val="00255177"/>
    <w:rsid w:val="00276D00"/>
    <w:rsid w:val="00296FD2"/>
    <w:rsid w:val="002A13E6"/>
    <w:rsid w:val="002A1D9C"/>
    <w:rsid w:val="002E7B1F"/>
    <w:rsid w:val="002F3286"/>
    <w:rsid w:val="003053E6"/>
    <w:rsid w:val="0039083A"/>
    <w:rsid w:val="003B4E0E"/>
    <w:rsid w:val="003D7E9F"/>
    <w:rsid w:val="003E0F4A"/>
    <w:rsid w:val="003E3C6B"/>
    <w:rsid w:val="003E69D7"/>
    <w:rsid w:val="003F0F6F"/>
    <w:rsid w:val="003F500E"/>
    <w:rsid w:val="003F67B7"/>
    <w:rsid w:val="0040332D"/>
    <w:rsid w:val="00483AF7"/>
    <w:rsid w:val="004A041E"/>
    <w:rsid w:val="004C2084"/>
    <w:rsid w:val="00506465"/>
    <w:rsid w:val="00526453"/>
    <w:rsid w:val="0053328F"/>
    <w:rsid w:val="00553942"/>
    <w:rsid w:val="00554190"/>
    <w:rsid w:val="005A2F0A"/>
    <w:rsid w:val="005E28CE"/>
    <w:rsid w:val="00605375"/>
    <w:rsid w:val="00642CAD"/>
    <w:rsid w:val="00667A22"/>
    <w:rsid w:val="00667F6F"/>
    <w:rsid w:val="006805ED"/>
    <w:rsid w:val="00685BA5"/>
    <w:rsid w:val="00687F1E"/>
    <w:rsid w:val="00690828"/>
    <w:rsid w:val="006C0991"/>
    <w:rsid w:val="006C34DF"/>
    <w:rsid w:val="006D5B12"/>
    <w:rsid w:val="006E2896"/>
    <w:rsid w:val="00704541"/>
    <w:rsid w:val="00717BBE"/>
    <w:rsid w:val="00753F2B"/>
    <w:rsid w:val="007A39D4"/>
    <w:rsid w:val="007A722D"/>
    <w:rsid w:val="007C14AB"/>
    <w:rsid w:val="007E1B61"/>
    <w:rsid w:val="007F10D7"/>
    <w:rsid w:val="008150D6"/>
    <w:rsid w:val="00824DF6"/>
    <w:rsid w:val="00834E47"/>
    <w:rsid w:val="0088075C"/>
    <w:rsid w:val="00884A84"/>
    <w:rsid w:val="008C1A01"/>
    <w:rsid w:val="008D4A7B"/>
    <w:rsid w:val="008F212B"/>
    <w:rsid w:val="008F3D8F"/>
    <w:rsid w:val="009374B3"/>
    <w:rsid w:val="00960AC9"/>
    <w:rsid w:val="00960B67"/>
    <w:rsid w:val="00972AD2"/>
    <w:rsid w:val="00973D72"/>
    <w:rsid w:val="00976E08"/>
    <w:rsid w:val="0097746B"/>
    <w:rsid w:val="00980485"/>
    <w:rsid w:val="00A0242F"/>
    <w:rsid w:val="00A2313D"/>
    <w:rsid w:val="00A574D9"/>
    <w:rsid w:val="00A65D13"/>
    <w:rsid w:val="00A74E2D"/>
    <w:rsid w:val="00A95F46"/>
    <w:rsid w:val="00AF5772"/>
    <w:rsid w:val="00AF60E7"/>
    <w:rsid w:val="00B07793"/>
    <w:rsid w:val="00B2118F"/>
    <w:rsid w:val="00B22E76"/>
    <w:rsid w:val="00B736E6"/>
    <w:rsid w:val="00B81FAE"/>
    <w:rsid w:val="00BA107E"/>
    <w:rsid w:val="00BA4AD5"/>
    <w:rsid w:val="00BB2F8B"/>
    <w:rsid w:val="00BB69D3"/>
    <w:rsid w:val="00BC103D"/>
    <w:rsid w:val="00BC3DBF"/>
    <w:rsid w:val="00BF3E0D"/>
    <w:rsid w:val="00C80D75"/>
    <w:rsid w:val="00C82B1D"/>
    <w:rsid w:val="00C94E2E"/>
    <w:rsid w:val="00C9755A"/>
    <w:rsid w:val="00CD6F6F"/>
    <w:rsid w:val="00D01705"/>
    <w:rsid w:val="00D25F94"/>
    <w:rsid w:val="00D34FDE"/>
    <w:rsid w:val="00D4189D"/>
    <w:rsid w:val="00D70333"/>
    <w:rsid w:val="00D92D40"/>
    <w:rsid w:val="00DE002B"/>
    <w:rsid w:val="00E10489"/>
    <w:rsid w:val="00E27471"/>
    <w:rsid w:val="00E710FC"/>
    <w:rsid w:val="00E9459D"/>
    <w:rsid w:val="00EC7ABD"/>
    <w:rsid w:val="00EC7DA9"/>
    <w:rsid w:val="00EF23A8"/>
    <w:rsid w:val="00F25050"/>
    <w:rsid w:val="00F64D35"/>
    <w:rsid w:val="00F94FD5"/>
    <w:rsid w:val="00FC0487"/>
    <w:rsid w:val="00FE19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fr-FR"/>
    </w:rPr>
  </w:style>
  <w:style w:type="paragraph" w:styleId="Titre1">
    <w:name w:val="heading 1"/>
    <w:basedOn w:val="Normal"/>
    <w:next w:val="Normal"/>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pPr>
      <w:numPr>
        <w:numId w:val="2"/>
      </w:numPr>
      <w:tabs>
        <w:tab w:val="clear" w:pos="360"/>
      </w:tabs>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basedOn w:val="Policepardfaut"/>
    <w:rPr>
      <w:rFonts w:ascii="Arial" w:hAnsi="Arial"/>
      <w:i/>
      <w:noProof w:val="0"/>
      <w:sz w:val="22"/>
      <w:lang w:val="fr-CA"/>
    </w:rPr>
  </w:style>
  <w:style w:type="paragraph" w:styleId="Corpsdetexte">
    <w:name w:val="Body Text"/>
    <w:basedOn w:val="Normal"/>
    <w:pPr>
      <w:spacing w:after="120"/>
    </w:pPr>
  </w:style>
  <w:style w:type="paragraph" w:styleId="Notedebasdepage">
    <w:name w:val="footnote text"/>
    <w:basedOn w:val="Normal"/>
    <w:semiHidden/>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basedOn w:val="Policepardfaut"/>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3"/>
      </w:numPr>
      <w:tabs>
        <w:tab w:val="clear" w:pos="792"/>
      </w:tabs>
      <w:spacing w:after="120"/>
      <w:ind w:left="1468" w:hanging="734"/>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rsid w:val="00062BF6"/>
    <w:pPr>
      <w:tabs>
        <w:tab w:val="center" w:pos="4320"/>
        <w:tab w:val="right" w:pos="8640"/>
      </w:tabs>
    </w:pPr>
  </w:style>
  <w:style w:type="character" w:customStyle="1" w:styleId="En-tteCar">
    <w:name w:val="En-tête Car"/>
    <w:basedOn w:val="Policepardfaut"/>
    <w:link w:val="En-tte"/>
    <w:rsid w:val="00062BF6"/>
    <w:rPr>
      <w:rFonts w:ascii="Arial" w:hAnsi="Arial"/>
      <w:sz w:val="24"/>
      <w:lang w:eastAsia="fr-FR"/>
    </w:rPr>
  </w:style>
  <w:style w:type="paragraph" w:styleId="Pieddepage">
    <w:name w:val="footer"/>
    <w:basedOn w:val="Normal"/>
    <w:link w:val="PieddepageCar"/>
    <w:rsid w:val="00062BF6"/>
    <w:pPr>
      <w:tabs>
        <w:tab w:val="center" w:pos="4320"/>
        <w:tab w:val="right" w:pos="8640"/>
      </w:tabs>
    </w:pPr>
  </w:style>
  <w:style w:type="character" w:customStyle="1" w:styleId="PieddepageCar">
    <w:name w:val="Pied de page Car"/>
    <w:basedOn w:val="Policepardfaut"/>
    <w:link w:val="Pieddepage"/>
    <w:rsid w:val="00062BF6"/>
    <w:rPr>
      <w:rFonts w:ascii="Arial" w:hAnsi="Arial"/>
      <w:sz w:val="24"/>
      <w:lang w:eastAsia="fr-FR"/>
    </w:rPr>
  </w:style>
  <w:style w:type="character" w:styleId="Appelnotedebasdep">
    <w:name w:val="footnote reference"/>
    <w:basedOn w:val="Policepardfaut"/>
    <w:rsid w:val="00A74E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D58C4-E6D8-4ED3-95FC-2525634C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1922</Words>
  <Characters>10572</Characters>
  <Application>Microsoft Office Word</Application>
  <DocSecurity>0</DocSecurity>
  <Lines>88</Lines>
  <Paragraphs>24</Paragraphs>
  <ScaleCrop>false</ScaleCrop>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2022-01-10T12:29:00Z</dcterms:created>
  <dcterms:modified xsi:type="dcterms:W3CDTF">2022-01-10T12:29:00Z</dcterms:modified>
</cp:coreProperties>
</file>