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05" w:type="dxa"/>
        <w:tblLayout w:type="fixed"/>
        <w:tblCellMar>
          <w:left w:w="70" w:type="dxa"/>
          <w:right w:w="70" w:type="dxa"/>
        </w:tblCellMar>
        <w:tblLook w:val="0000" w:firstRow="0" w:lastRow="0" w:firstColumn="0" w:lastColumn="0" w:noHBand="0" w:noVBand="0"/>
      </w:tblPr>
      <w:tblGrid>
        <w:gridCol w:w="1036"/>
        <w:gridCol w:w="69"/>
        <w:gridCol w:w="520"/>
        <w:gridCol w:w="42"/>
        <w:gridCol w:w="1533"/>
        <w:gridCol w:w="1826"/>
        <w:gridCol w:w="2059"/>
        <w:gridCol w:w="2420"/>
      </w:tblGrid>
      <w:tr w:rsidR="008F2A33" w14:paraId="5C824142" w14:textId="77777777">
        <w:trPr>
          <w:trHeight w:val="360"/>
        </w:trPr>
        <w:tc>
          <w:tcPr>
            <w:tcW w:w="7085" w:type="dxa"/>
            <w:gridSpan w:val="7"/>
          </w:tcPr>
          <w:p w14:paraId="6B1EDA42" w14:textId="2FD997D4" w:rsidR="00153769" w:rsidRPr="007B51E9" w:rsidRDefault="007B51E9" w:rsidP="007B51E9">
            <w:pPr>
              <w:pStyle w:val="zSoquijdatRepertorie"/>
              <w:rPr>
                <w:rFonts w:cs="Arial"/>
              </w:rPr>
            </w:pPr>
            <w:bookmarkStart w:id="0" w:name="_GoBack"/>
            <w:bookmarkEnd w:id="0"/>
            <w:r>
              <w:rPr>
                <w:rFonts w:cs="Arial"/>
              </w:rPr>
              <w:t>R. c. Nolet</w:t>
            </w:r>
          </w:p>
        </w:tc>
        <w:tc>
          <w:tcPr>
            <w:tcW w:w="2420" w:type="dxa"/>
          </w:tcPr>
          <w:p w14:paraId="19A7FC2E" w14:textId="200332A5" w:rsidR="00153769" w:rsidRPr="00B3328F" w:rsidRDefault="00B3328F" w:rsidP="00B3328F">
            <w:pPr>
              <w:pStyle w:val="zSoquijdatRefNeutre"/>
              <w:jc w:val="right"/>
              <w:rPr>
                <w:rFonts w:cs="Arial"/>
              </w:rPr>
            </w:pPr>
            <w:r w:rsidRPr="00B3328F">
              <w:rPr>
                <w:rFonts w:cs="Arial"/>
              </w:rPr>
              <w:t>2023 QCCQ 1702</w:t>
            </w:r>
          </w:p>
        </w:tc>
      </w:tr>
      <w:tr w:rsidR="008F2A33" w14:paraId="1F42E424" w14:textId="77777777">
        <w:trPr>
          <w:trHeight w:val="900"/>
        </w:trPr>
        <w:tc>
          <w:tcPr>
            <w:tcW w:w="9505" w:type="dxa"/>
            <w:gridSpan w:val="8"/>
            <w:vAlign w:val="bottom"/>
          </w:tcPr>
          <w:p w14:paraId="0C0E64EF" w14:textId="77777777" w:rsidR="00153769" w:rsidRDefault="00A56883">
            <w:pPr>
              <w:pStyle w:val="zSoquijlblCour"/>
            </w:pPr>
            <w:r>
              <w:t>COUR DU QUÉBEC</w:t>
            </w:r>
          </w:p>
        </w:tc>
      </w:tr>
      <w:tr w:rsidR="008F2A33" w14:paraId="2CE9950F" w14:textId="77777777">
        <w:trPr>
          <w:trHeight w:val="540"/>
        </w:trPr>
        <w:tc>
          <w:tcPr>
            <w:tcW w:w="9505" w:type="dxa"/>
            <w:gridSpan w:val="8"/>
          </w:tcPr>
          <w:p w14:paraId="6436FF36" w14:textId="77777777" w:rsidR="00153769" w:rsidRDefault="00153769">
            <w:pPr>
              <w:pStyle w:val="zSoquijdatDivision"/>
            </w:pPr>
          </w:p>
        </w:tc>
      </w:tr>
      <w:tr w:rsidR="008F2A33" w14:paraId="0A52CCDE" w14:textId="77777777">
        <w:tc>
          <w:tcPr>
            <w:tcW w:w="9505" w:type="dxa"/>
            <w:gridSpan w:val="8"/>
          </w:tcPr>
          <w:p w14:paraId="18081D25" w14:textId="77777777" w:rsidR="00153769" w:rsidRDefault="00A56883">
            <w:pPr>
              <w:pStyle w:val="zSoquijlblPays"/>
            </w:pPr>
            <w:r>
              <w:t>CANADA</w:t>
            </w:r>
          </w:p>
        </w:tc>
      </w:tr>
      <w:tr w:rsidR="008F2A33" w14:paraId="3BE8502B" w14:textId="77777777">
        <w:tc>
          <w:tcPr>
            <w:tcW w:w="9505" w:type="dxa"/>
            <w:gridSpan w:val="8"/>
          </w:tcPr>
          <w:p w14:paraId="258A0B82" w14:textId="77777777" w:rsidR="00153769" w:rsidRDefault="00A56883">
            <w:pPr>
              <w:pStyle w:val="zSoquijlblProvince"/>
            </w:pPr>
            <w:r>
              <w:t>PROVINCE DE QUÉBEC</w:t>
            </w:r>
          </w:p>
        </w:tc>
      </w:tr>
      <w:tr w:rsidR="008F2A33" w14:paraId="6DE6DD63" w14:textId="77777777">
        <w:tblPrEx>
          <w:tblCellMar>
            <w:left w:w="0" w:type="dxa"/>
            <w:right w:w="0" w:type="dxa"/>
          </w:tblCellMar>
        </w:tblPrEx>
        <w:trPr>
          <w:cantSplit/>
        </w:trPr>
        <w:tc>
          <w:tcPr>
            <w:tcW w:w="1625" w:type="dxa"/>
            <w:gridSpan w:val="3"/>
          </w:tcPr>
          <w:p w14:paraId="5A586892" w14:textId="77777777" w:rsidR="00153769" w:rsidRDefault="00A56883">
            <w:pPr>
              <w:pStyle w:val="zSoquijlblGreffe"/>
            </w:pPr>
            <w:r>
              <w:t>DISTRICT DE</w:t>
            </w:r>
          </w:p>
        </w:tc>
        <w:tc>
          <w:tcPr>
            <w:tcW w:w="7880" w:type="dxa"/>
            <w:gridSpan w:val="5"/>
          </w:tcPr>
          <w:p w14:paraId="0CB098E9" w14:textId="77777777" w:rsidR="00153769" w:rsidRDefault="00A56883">
            <w:pPr>
              <w:pStyle w:val="zSoquijdatGreffe"/>
            </w:pPr>
            <w:r>
              <w:t>TROIS-RIVIÈRES</w:t>
            </w:r>
          </w:p>
        </w:tc>
      </w:tr>
      <w:tr w:rsidR="008F2A33" w14:paraId="0271E5C0" w14:textId="77777777">
        <w:tblPrEx>
          <w:tblCellMar>
            <w:left w:w="0" w:type="dxa"/>
            <w:right w:w="0" w:type="dxa"/>
          </w:tblCellMar>
        </w:tblPrEx>
        <w:trPr>
          <w:cantSplit/>
        </w:trPr>
        <w:tc>
          <w:tcPr>
            <w:tcW w:w="1667" w:type="dxa"/>
            <w:gridSpan w:val="4"/>
          </w:tcPr>
          <w:p w14:paraId="4CC80863" w14:textId="77777777" w:rsidR="00153769" w:rsidRDefault="00A56883">
            <w:pPr>
              <w:pStyle w:val="zSoquijlblLocalite"/>
            </w:pPr>
            <w:r>
              <w:t>LOCALITÉ DE</w:t>
            </w:r>
          </w:p>
        </w:tc>
        <w:tc>
          <w:tcPr>
            <w:tcW w:w="7838" w:type="dxa"/>
            <w:gridSpan w:val="4"/>
          </w:tcPr>
          <w:p w14:paraId="30F6ADAF" w14:textId="77777777" w:rsidR="00153769" w:rsidRDefault="00A56883">
            <w:pPr>
              <w:pStyle w:val="zSoquijdatLocalite"/>
            </w:pPr>
            <w:r>
              <w:t>TROIS-RIVIÈRES</w:t>
            </w:r>
          </w:p>
        </w:tc>
      </w:tr>
      <w:tr w:rsidR="008F2A33" w14:paraId="7B6C9DD5" w14:textId="77777777">
        <w:trPr>
          <w:trHeight w:val="540"/>
        </w:trPr>
        <w:tc>
          <w:tcPr>
            <w:tcW w:w="9505" w:type="dxa"/>
            <w:gridSpan w:val="8"/>
          </w:tcPr>
          <w:p w14:paraId="66879BB0" w14:textId="77777777" w:rsidR="00153769" w:rsidRDefault="00A56883">
            <w:pPr>
              <w:pStyle w:val="zSoquijlblNomChambre"/>
            </w:pPr>
            <w:r>
              <w:rPr>
                <w:lang w:val="fr-FR"/>
              </w:rPr>
              <w:t>« Chambre</w:t>
            </w:r>
            <w:r w:rsidR="00E465BA">
              <w:t xml:space="preserve"> criminelle et pénale</w:t>
            </w:r>
            <w:r>
              <w:rPr>
                <w:lang w:val="fr-FR"/>
              </w:rPr>
              <w:t> »</w:t>
            </w:r>
          </w:p>
        </w:tc>
      </w:tr>
      <w:tr w:rsidR="008F2A33" w14:paraId="059EC9F9" w14:textId="77777777">
        <w:tc>
          <w:tcPr>
            <w:tcW w:w="1105" w:type="dxa"/>
            <w:gridSpan w:val="2"/>
          </w:tcPr>
          <w:p w14:paraId="10EFDEA1" w14:textId="77777777" w:rsidR="00153769" w:rsidRDefault="00A56883">
            <w:pPr>
              <w:pStyle w:val="zSoquijlblNoDossier"/>
            </w:pPr>
            <w:r>
              <w:t>N°:</w:t>
            </w:r>
          </w:p>
        </w:tc>
        <w:tc>
          <w:tcPr>
            <w:tcW w:w="8400" w:type="dxa"/>
            <w:gridSpan w:val="6"/>
          </w:tcPr>
          <w:p w14:paraId="5D3C8FD7" w14:textId="77777777" w:rsidR="00153769" w:rsidRDefault="00A56883">
            <w:pPr>
              <w:pStyle w:val="zSoquijdatNoDossier"/>
            </w:pPr>
            <w:r>
              <w:t>400-01-102532-223</w:t>
            </w:r>
          </w:p>
          <w:p w14:paraId="776724A3" w14:textId="77777777" w:rsidR="00E465BA" w:rsidRDefault="00A56883">
            <w:pPr>
              <w:pStyle w:val="zSoquijdatNoDossier"/>
            </w:pPr>
            <w:r>
              <w:t>400-01-102533-221</w:t>
            </w:r>
          </w:p>
          <w:p w14:paraId="4AF572E1" w14:textId="77777777" w:rsidR="00E465BA" w:rsidRDefault="00A56883">
            <w:pPr>
              <w:pStyle w:val="zSoquijdatNoDossier"/>
            </w:pPr>
            <w:r>
              <w:t>400-01-102534-229</w:t>
            </w:r>
          </w:p>
          <w:p w14:paraId="454510B5" w14:textId="77777777" w:rsidR="00846434" w:rsidRDefault="00A56883">
            <w:pPr>
              <w:pStyle w:val="zSoquijdatNoDossier"/>
            </w:pPr>
            <w:r>
              <w:t>400-01-102440-229</w:t>
            </w:r>
          </w:p>
        </w:tc>
      </w:tr>
      <w:tr w:rsidR="008F2A33" w14:paraId="588B7C95" w14:textId="77777777">
        <w:tblPrEx>
          <w:tblCellMar>
            <w:left w:w="0" w:type="dxa"/>
            <w:right w:w="0" w:type="dxa"/>
          </w:tblCellMar>
        </w:tblPrEx>
        <w:trPr>
          <w:cantSplit/>
        </w:trPr>
        <w:tc>
          <w:tcPr>
            <w:tcW w:w="1105" w:type="dxa"/>
            <w:gridSpan w:val="2"/>
          </w:tcPr>
          <w:p w14:paraId="37B6FD3F" w14:textId="77777777" w:rsidR="00153769" w:rsidRDefault="00153769">
            <w:pPr>
              <w:pStyle w:val="zSoquijlblGreffe"/>
            </w:pPr>
          </w:p>
        </w:tc>
        <w:tc>
          <w:tcPr>
            <w:tcW w:w="8400" w:type="dxa"/>
            <w:gridSpan w:val="6"/>
          </w:tcPr>
          <w:p w14:paraId="021E1EAD" w14:textId="77777777" w:rsidR="00153769" w:rsidRDefault="00153769">
            <w:pPr>
              <w:pStyle w:val="zSoquijdatNoDossierAnt"/>
            </w:pPr>
          </w:p>
        </w:tc>
      </w:tr>
      <w:tr w:rsidR="008F2A33" w14:paraId="34B79C42" w14:textId="77777777">
        <w:trPr>
          <w:cantSplit/>
          <w:trHeight w:val="235"/>
        </w:trPr>
        <w:tc>
          <w:tcPr>
            <w:tcW w:w="9505" w:type="dxa"/>
            <w:gridSpan w:val="8"/>
          </w:tcPr>
          <w:p w14:paraId="7A3740A3" w14:textId="77777777" w:rsidR="00153769" w:rsidRDefault="00153769"/>
        </w:tc>
      </w:tr>
      <w:tr w:rsidR="008F2A33" w14:paraId="39B94C0A" w14:textId="77777777">
        <w:tc>
          <w:tcPr>
            <w:tcW w:w="1036" w:type="dxa"/>
          </w:tcPr>
          <w:p w14:paraId="02F27150" w14:textId="77777777" w:rsidR="00153769" w:rsidRDefault="00A56883">
            <w:pPr>
              <w:pStyle w:val="zSoquijlblDateJugement"/>
            </w:pPr>
            <w:r>
              <w:t>DATE :</w:t>
            </w:r>
          </w:p>
        </w:tc>
        <w:tc>
          <w:tcPr>
            <w:tcW w:w="8469" w:type="dxa"/>
            <w:gridSpan w:val="7"/>
          </w:tcPr>
          <w:p w14:paraId="29F1BBAB" w14:textId="77777777" w:rsidR="00153769" w:rsidRDefault="00A56883">
            <w:pPr>
              <w:pStyle w:val="zSoquijdatDateJugement"/>
            </w:pPr>
            <w:r>
              <w:t>12 avril 2023</w:t>
            </w:r>
          </w:p>
        </w:tc>
      </w:tr>
      <w:tr w:rsidR="008F2A33" w14:paraId="65B66285" w14:textId="77777777">
        <w:tc>
          <w:tcPr>
            <w:tcW w:w="9505" w:type="dxa"/>
            <w:gridSpan w:val="8"/>
          </w:tcPr>
          <w:p w14:paraId="14A6FFF7" w14:textId="77777777" w:rsidR="00153769" w:rsidRDefault="00A56883">
            <w:pPr>
              <w:ind w:left="14" w:right="-67"/>
            </w:pPr>
            <w:r>
              <w:t>______________________________________________________________________</w:t>
            </w:r>
          </w:p>
        </w:tc>
      </w:tr>
      <w:tr w:rsidR="008F2A33" w14:paraId="79AD6B59" w14:textId="77777777">
        <w:tc>
          <w:tcPr>
            <w:tcW w:w="9505" w:type="dxa"/>
            <w:gridSpan w:val="8"/>
          </w:tcPr>
          <w:p w14:paraId="20EE8693" w14:textId="77777777" w:rsidR="00153769" w:rsidRDefault="00153769"/>
        </w:tc>
      </w:tr>
      <w:tr w:rsidR="008F2A33" w14:paraId="29BBA275" w14:textId="77777777">
        <w:tblPrEx>
          <w:tblCellMar>
            <w:left w:w="0" w:type="dxa"/>
            <w:right w:w="0" w:type="dxa"/>
          </w:tblCellMar>
        </w:tblPrEx>
        <w:tc>
          <w:tcPr>
            <w:tcW w:w="3200" w:type="dxa"/>
            <w:gridSpan w:val="5"/>
          </w:tcPr>
          <w:p w14:paraId="0CFC2D25" w14:textId="77777777" w:rsidR="00153769" w:rsidRDefault="00A56883">
            <w:pPr>
              <w:pStyle w:val="zSoquijlblJuge"/>
            </w:pPr>
            <w:r>
              <w:t>SOUS LA PRÉSIDENCE DE</w:t>
            </w:r>
          </w:p>
        </w:tc>
        <w:tc>
          <w:tcPr>
            <w:tcW w:w="1826" w:type="dxa"/>
          </w:tcPr>
          <w:p w14:paraId="415CA900" w14:textId="77777777" w:rsidR="00153769" w:rsidRDefault="00A56883">
            <w:pPr>
              <w:pStyle w:val="zSoquijdatQteJuge"/>
            </w:pPr>
            <w:r>
              <w:t>L’HONORABLE</w:t>
            </w:r>
          </w:p>
        </w:tc>
        <w:tc>
          <w:tcPr>
            <w:tcW w:w="4479" w:type="dxa"/>
            <w:gridSpan w:val="2"/>
          </w:tcPr>
          <w:p w14:paraId="1ACC468F" w14:textId="77777777" w:rsidR="00153769" w:rsidRDefault="00A56883">
            <w:pPr>
              <w:pStyle w:val="zSoquijdatJuge"/>
            </w:pPr>
            <w:r>
              <w:t>ANNIE VANASSE</w:t>
            </w:r>
            <w:r w:rsidR="00E465BA">
              <w:t>, J.C.Q.</w:t>
            </w:r>
          </w:p>
        </w:tc>
      </w:tr>
      <w:tr w:rsidR="008F2A33" w14:paraId="202BB2B0" w14:textId="77777777">
        <w:tc>
          <w:tcPr>
            <w:tcW w:w="9505" w:type="dxa"/>
            <w:gridSpan w:val="8"/>
          </w:tcPr>
          <w:p w14:paraId="1E54396C" w14:textId="77777777" w:rsidR="00153769" w:rsidRDefault="00A56883">
            <w:pPr>
              <w:ind w:left="14" w:right="-67"/>
            </w:pPr>
            <w:r>
              <w:t>______________________________________________________________________</w:t>
            </w:r>
          </w:p>
        </w:tc>
      </w:tr>
      <w:tr w:rsidR="008F2A33" w14:paraId="18DEF16A" w14:textId="77777777">
        <w:tc>
          <w:tcPr>
            <w:tcW w:w="9505" w:type="dxa"/>
            <w:gridSpan w:val="8"/>
          </w:tcPr>
          <w:p w14:paraId="4772C43B" w14:textId="77777777" w:rsidR="00153769" w:rsidRDefault="00153769">
            <w:pPr>
              <w:pStyle w:val="zSoquijlblTitrePartie"/>
            </w:pPr>
          </w:p>
        </w:tc>
      </w:tr>
      <w:tr w:rsidR="008F2A33" w14:paraId="21E44120" w14:textId="77777777">
        <w:tc>
          <w:tcPr>
            <w:tcW w:w="9505" w:type="dxa"/>
            <w:gridSpan w:val="8"/>
          </w:tcPr>
          <w:p w14:paraId="3BE02B27" w14:textId="77777777" w:rsidR="00153769" w:rsidRDefault="00A56883">
            <w:pPr>
              <w:pStyle w:val="zSoquijdatNomPartieDem"/>
            </w:pPr>
            <w:r>
              <w:t>SA MAJESTÉ LE ROI</w:t>
            </w:r>
          </w:p>
        </w:tc>
      </w:tr>
      <w:tr w:rsidR="008F2A33" w14:paraId="2A14F0A0" w14:textId="77777777">
        <w:tc>
          <w:tcPr>
            <w:tcW w:w="9505" w:type="dxa"/>
            <w:gridSpan w:val="8"/>
          </w:tcPr>
          <w:p w14:paraId="4CA326D1" w14:textId="77777777" w:rsidR="00153769" w:rsidRDefault="00A56883">
            <w:pPr>
              <w:pStyle w:val="zSoquijdatQtePartieDem"/>
            </w:pPr>
            <w:r>
              <w:t>Poursuivant</w:t>
            </w:r>
          </w:p>
        </w:tc>
      </w:tr>
      <w:tr w:rsidR="008F2A33" w14:paraId="7C5FE51A" w14:textId="77777777">
        <w:tc>
          <w:tcPr>
            <w:tcW w:w="9505" w:type="dxa"/>
            <w:gridSpan w:val="8"/>
          </w:tcPr>
          <w:p w14:paraId="005FF5A8" w14:textId="77777777" w:rsidR="00153769" w:rsidRDefault="00A56883">
            <w:pPr>
              <w:pStyle w:val="zSoquijlblLienParties"/>
            </w:pPr>
            <w:r>
              <w:t>c.</w:t>
            </w:r>
          </w:p>
        </w:tc>
      </w:tr>
      <w:tr w:rsidR="008F2A33" w14:paraId="3DCB7F15" w14:textId="77777777">
        <w:tc>
          <w:tcPr>
            <w:tcW w:w="9505" w:type="dxa"/>
            <w:gridSpan w:val="8"/>
          </w:tcPr>
          <w:p w14:paraId="05E503B2" w14:textId="77777777" w:rsidR="00153769" w:rsidRDefault="00A56883">
            <w:pPr>
              <w:pStyle w:val="zSoquijdatNomPartieDef"/>
            </w:pPr>
            <w:r>
              <w:t>GHISLAIN NOLET</w:t>
            </w:r>
          </w:p>
        </w:tc>
      </w:tr>
      <w:tr w:rsidR="008F2A33" w14:paraId="528E848D" w14:textId="77777777">
        <w:tc>
          <w:tcPr>
            <w:tcW w:w="9505" w:type="dxa"/>
            <w:gridSpan w:val="8"/>
          </w:tcPr>
          <w:p w14:paraId="42D7240B" w14:textId="77777777" w:rsidR="00153769" w:rsidRDefault="00A56883">
            <w:pPr>
              <w:pStyle w:val="zSoquijdatQtePartieDef"/>
            </w:pPr>
            <w:r>
              <w:t>Accusé</w:t>
            </w:r>
          </w:p>
        </w:tc>
      </w:tr>
      <w:tr w:rsidR="008F2A33" w14:paraId="05793C35" w14:textId="77777777">
        <w:tc>
          <w:tcPr>
            <w:tcW w:w="9505" w:type="dxa"/>
            <w:gridSpan w:val="8"/>
          </w:tcPr>
          <w:p w14:paraId="407FE4CC" w14:textId="77777777" w:rsidR="00153769" w:rsidRDefault="00153769">
            <w:pPr>
              <w:ind w:left="14" w:right="-95"/>
            </w:pPr>
          </w:p>
        </w:tc>
      </w:tr>
      <w:tr w:rsidR="008F2A33" w14:paraId="11CA7B23" w14:textId="77777777">
        <w:tc>
          <w:tcPr>
            <w:tcW w:w="9505" w:type="dxa"/>
            <w:gridSpan w:val="8"/>
          </w:tcPr>
          <w:p w14:paraId="1707656B" w14:textId="77777777" w:rsidR="00153769" w:rsidRDefault="00A56883">
            <w:pPr>
              <w:ind w:left="14" w:right="-95"/>
            </w:pPr>
            <w:r>
              <w:t>______________________________________________________________________</w:t>
            </w:r>
          </w:p>
        </w:tc>
      </w:tr>
      <w:tr w:rsidR="008F2A33" w14:paraId="558238A2" w14:textId="77777777">
        <w:tc>
          <w:tcPr>
            <w:tcW w:w="9505" w:type="dxa"/>
            <w:gridSpan w:val="8"/>
          </w:tcPr>
          <w:p w14:paraId="1FE2A936" w14:textId="77777777" w:rsidR="00153769" w:rsidRDefault="00153769">
            <w:pPr>
              <w:jc w:val="center"/>
            </w:pPr>
          </w:p>
        </w:tc>
      </w:tr>
      <w:tr w:rsidR="008F2A33" w14:paraId="0BD12F42" w14:textId="77777777">
        <w:tc>
          <w:tcPr>
            <w:tcW w:w="9505" w:type="dxa"/>
            <w:gridSpan w:val="8"/>
          </w:tcPr>
          <w:p w14:paraId="7FC38BA5" w14:textId="77777777" w:rsidR="00153769" w:rsidRDefault="00A56883">
            <w:pPr>
              <w:pStyle w:val="zSoquijlblTypeDocument"/>
            </w:pPr>
            <w:r>
              <w:t>DÉCISION SUR LA PEINE</w:t>
            </w:r>
          </w:p>
        </w:tc>
      </w:tr>
      <w:tr w:rsidR="008F2A33" w14:paraId="139A023B" w14:textId="77777777">
        <w:tc>
          <w:tcPr>
            <w:tcW w:w="9505" w:type="dxa"/>
            <w:gridSpan w:val="8"/>
          </w:tcPr>
          <w:p w14:paraId="730EA342" w14:textId="77777777" w:rsidR="00153769" w:rsidRDefault="00A56883">
            <w:pPr>
              <w:ind w:left="14" w:right="-70"/>
            </w:pPr>
            <w:r>
              <w:t>______________________________________________________________________</w:t>
            </w:r>
          </w:p>
        </w:tc>
      </w:tr>
      <w:tr w:rsidR="008F2A33" w14:paraId="3BA4DC24" w14:textId="77777777">
        <w:tc>
          <w:tcPr>
            <w:tcW w:w="9505" w:type="dxa"/>
            <w:gridSpan w:val="8"/>
          </w:tcPr>
          <w:p w14:paraId="1654509A" w14:textId="77777777" w:rsidR="00153769" w:rsidRDefault="00153769"/>
        </w:tc>
      </w:tr>
    </w:tbl>
    <w:p w14:paraId="3E9E33C2" w14:textId="77777777" w:rsidR="00153769" w:rsidRDefault="00A56883" w:rsidP="00EB61D0">
      <w:pPr>
        <w:pStyle w:val="Paragraphe"/>
        <w:tabs>
          <w:tab w:val="clear" w:pos="360"/>
        </w:tabs>
        <w:spacing w:line="240" w:lineRule="auto"/>
      </w:pPr>
      <w:r>
        <w:t xml:space="preserve">L’accusé reconnait sa culpabilité </w:t>
      </w:r>
      <w:r w:rsidR="00F619ED">
        <w:t>à</w:t>
      </w:r>
      <w:r>
        <w:t xml:space="preserve"> diverses infractions en matière de stupéfiants</w:t>
      </w:r>
      <w:r>
        <w:rPr>
          <w:rStyle w:val="Appelnotedebasdep"/>
        </w:rPr>
        <w:footnoteReference w:id="1"/>
      </w:r>
      <w:r>
        <w:t xml:space="preserve">. Sur une période d’environ un mois, l’accusé vend </w:t>
      </w:r>
      <w:r w:rsidR="00EE6F04">
        <w:t xml:space="preserve">à quatre reprises </w:t>
      </w:r>
      <w:r>
        <w:t xml:space="preserve">de </w:t>
      </w:r>
      <w:r w:rsidR="00EE6F04">
        <w:t xml:space="preserve">la </w:t>
      </w:r>
      <w:r>
        <w:t xml:space="preserve">cocaïne et du cannabis à un agent d’infiltration. </w:t>
      </w:r>
      <w:r w:rsidR="00F619ED">
        <w:t>Des perquisitions à son domicile et dans son véhicule permet</w:t>
      </w:r>
      <w:r w:rsidR="005E43B2">
        <w:t>tent</w:t>
      </w:r>
      <w:r w:rsidR="00F619ED">
        <w:t xml:space="preserve"> la saisie d’une</w:t>
      </w:r>
      <w:r>
        <w:t xml:space="preserve"> multitude de</w:t>
      </w:r>
      <w:r w:rsidR="004721B2">
        <w:t xml:space="preserve"> divers</w:t>
      </w:r>
      <w:r>
        <w:t xml:space="preserve"> stupéfiants</w:t>
      </w:r>
      <w:r w:rsidR="00EE6F04">
        <w:t>,</w:t>
      </w:r>
      <w:r>
        <w:t xml:space="preserve"> d</w:t>
      </w:r>
      <w:r w:rsidR="00F619ED">
        <w:t>e</w:t>
      </w:r>
      <w:r>
        <w:t xml:space="preserve"> matériel servant à la vente</w:t>
      </w:r>
      <w:r w:rsidR="004721B2">
        <w:t xml:space="preserve"> </w:t>
      </w:r>
      <w:r w:rsidR="00F619ED">
        <w:t>ainsi qu’</w:t>
      </w:r>
      <w:r w:rsidR="004721B2">
        <w:t>un montant d’argent</w:t>
      </w:r>
      <w:r>
        <w:t>.</w:t>
      </w:r>
    </w:p>
    <w:p w14:paraId="56347BC8" w14:textId="77777777" w:rsidR="00107090" w:rsidRDefault="00A56883" w:rsidP="00EB61D0">
      <w:pPr>
        <w:pStyle w:val="Paragraphe"/>
        <w:tabs>
          <w:tab w:val="clear" w:pos="360"/>
        </w:tabs>
        <w:spacing w:line="240" w:lineRule="auto"/>
      </w:pPr>
      <w:r>
        <w:t>L’avocat de l’accusé soutient qu’une peine d’emprisonnement avec sursis d’une durée de 18 mois, d</w:t>
      </w:r>
      <w:r w:rsidR="005E1FEE">
        <w:t>e la</w:t>
      </w:r>
      <w:r>
        <w:t>que</w:t>
      </w:r>
      <w:r w:rsidR="005E1FEE">
        <w:t>l</w:t>
      </w:r>
      <w:r>
        <w:t>l</w:t>
      </w:r>
      <w:r w:rsidR="005E1FEE">
        <w:t>e</w:t>
      </w:r>
      <w:r>
        <w:t xml:space="preserve"> doit être retranchée une détention provisoire de 9 mois (6 mois majoré</w:t>
      </w:r>
      <w:r w:rsidR="00961483">
        <w:t>s</w:t>
      </w:r>
      <w:r>
        <w:t xml:space="preserve"> au taux de 1,5) est la peine appropriée. L’accusé </w:t>
      </w:r>
      <w:r w:rsidR="004721B2">
        <w:t>propose de</w:t>
      </w:r>
      <w:r>
        <w:t xml:space="preserve"> s’investir dans une thérapie fermée pour les six premiers mois, voulant régler</w:t>
      </w:r>
      <w:r w:rsidR="006D2000">
        <w:t xml:space="preserve"> </w:t>
      </w:r>
      <w:r w:rsidR="00312AE2">
        <w:t>s</w:t>
      </w:r>
      <w:r>
        <w:t>a problématique de consommation de stupéfiants</w:t>
      </w:r>
      <w:r w:rsidR="004721B2">
        <w:t>, à la base de</w:t>
      </w:r>
      <w:r>
        <w:t xml:space="preserve"> </w:t>
      </w:r>
      <w:r w:rsidR="00312AE2">
        <w:t>s</w:t>
      </w:r>
      <w:r w:rsidR="004721B2">
        <w:t>es</w:t>
      </w:r>
      <w:r w:rsidR="00312AE2">
        <w:t xml:space="preserve"> comportement</w:t>
      </w:r>
      <w:r w:rsidR="004721B2">
        <w:t>s</w:t>
      </w:r>
      <w:r w:rsidR="00312AE2">
        <w:t xml:space="preserve"> délictuel</w:t>
      </w:r>
      <w:r w:rsidR="004721B2">
        <w:t>s</w:t>
      </w:r>
      <w:r>
        <w:t>.</w:t>
      </w:r>
    </w:p>
    <w:p w14:paraId="367D8D7C" w14:textId="77777777" w:rsidR="00312AE2" w:rsidRDefault="00A56883" w:rsidP="00EB61D0">
      <w:pPr>
        <w:pStyle w:val="Paragraphe"/>
        <w:tabs>
          <w:tab w:val="clear" w:pos="360"/>
        </w:tabs>
        <w:spacing w:line="240" w:lineRule="auto"/>
      </w:pPr>
      <w:r>
        <w:t>L’avocat du poursuivant argue plutôt qu’une peine d’emprisonnement ferme s’impose, considérant les antécédents judiciaires de l’accusé en semblable matière, juxtaposé au fait qu’une peine dissuasive doive être imposée, la vente de drogues dures constituant un fléau à éradiquer au sein de notre société.</w:t>
      </w:r>
    </w:p>
    <w:p w14:paraId="09A9A21F" w14:textId="77777777" w:rsidR="00AA1FA4" w:rsidRDefault="00A56883" w:rsidP="00EB61D0">
      <w:pPr>
        <w:pStyle w:val="Paragraphe"/>
        <w:tabs>
          <w:tab w:val="clear" w:pos="360"/>
        </w:tabs>
        <w:spacing w:line="240" w:lineRule="auto"/>
      </w:pPr>
      <w:r>
        <w:t>Le Tribunal doit maintenant déterminer la peine jus</w:t>
      </w:r>
      <w:r w:rsidR="005E1FEE">
        <w:t>t</w:t>
      </w:r>
      <w:r>
        <w:t>e et appropriée.</w:t>
      </w:r>
    </w:p>
    <w:p w14:paraId="4BBD2B18" w14:textId="77777777" w:rsidR="00961483" w:rsidRPr="00961483" w:rsidRDefault="00A56883" w:rsidP="00270428">
      <w:pPr>
        <w:pStyle w:val="Titre1"/>
      </w:pPr>
      <w:r>
        <w:t>PREUVE PERTINENTE</w:t>
      </w:r>
    </w:p>
    <w:p w14:paraId="332B1B86" w14:textId="77777777" w:rsidR="00A0154E" w:rsidRDefault="00A56883" w:rsidP="00EB61D0">
      <w:pPr>
        <w:pStyle w:val="Paragraphe"/>
        <w:tabs>
          <w:tab w:val="clear" w:pos="360"/>
        </w:tabs>
        <w:spacing w:line="240" w:lineRule="auto"/>
      </w:pPr>
      <w:r>
        <w:t xml:space="preserve">Une enquête policière en matière de stupéfiants, nommée </w:t>
      </w:r>
      <w:r w:rsidR="00AA1FA4">
        <w:t>p</w:t>
      </w:r>
      <w:r>
        <w:t>rojet « Signaleur</w:t>
      </w:r>
      <w:r w:rsidR="005E43B2">
        <w:t> »,</w:t>
      </w:r>
      <w:r w:rsidR="00AA1FA4">
        <w:t xml:space="preserve"> débute en mars 2020</w:t>
      </w:r>
      <w:r>
        <w:t>, faisant suite à des informations reçues du public quant à un réseau de vente de stupéfiants. L</w:t>
      </w:r>
      <w:r w:rsidR="00AA1FA4">
        <w:t xml:space="preserve">’accusé, parmi d’autres, </w:t>
      </w:r>
      <w:r>
        <w:t>est ciblé par ce projet</w:t>
      </w:r>
      <w:r w:rsidR="00AA1FA4">
        <w:t>.</w:t>
      </w:r>
    </w:p>
    <w:p w14:paraId="17CBBB6C" w14:textId="77777777" w:rsidR="00AA1FA4" w:rsidRDefault="00A56883" w:rsidP="00EB61D0">
      <w:pPr>
        <w:pStyle w:val="Paragraphe"/>
        <w:tabs>
          <w:tab w:val="clear" w:pos="360"/>
        </w:tabs>
        <w:spacing w:line="240" w:lineRule="auto"/>
      </w:pPr>
      <w:r>
        <w:t>L</w:t>
      </w:r>
      <w:r w:rsidR="00A0154E">
        <w:t>’enquête</w:t>
      </w:r>
      <w:r>
        <w:t xml:space="preserve"> mène les policiers à entrer en contact avec l’accusé par le biais d’un agent d’infiltration, lequel obtient, entre le 26 août 2022 et le 28 septembre 2022, de petites quantités de cocaïne et de cannabis</w:t>
      </w:r>
      <w:r w:rsidR="00A0154E">
        <w:t>. Les transactions s’opèrent soit au domicile de l’accusé</w:t>
      </w:r>
      <w:r w:rsidR="00BC29BB">
        <w:t>, soit</w:t>
      </w:r>
      <w:r w:rsidR="00A0154E">
        <w:t xml:space="preserve"> à un point de rencontre</w:t>
      </w:r>
      <w:r w:rsidR="00BC29BB">
        <w:t xml:space="preserve"> donné </w:t>
      </w:r>
      <w:r w:rsidR="005E43B2">
        <w:t>lors d’</w:t>
      </w:r>
      <w:r w:rsidR="00BC29BB">
        <w:t>un échange téléphonique</w:t>
      </w:r>
      <w:r w:rsidR="00A0154E">
        <w:t>.</w:t>
      </w:r>
    </w:p>
    <w:p w14:paraId="7DE1EC9B" w14:textId="77777777" w:rsidR="00A0154E" w:rsidRDefault="00A56883" w:rsidP="00EB61D0">
      <w:pPr>
        <w:pStyle w:val="Paragraphe"/>
        <w:tabs>
          <w:tab w:val="clear" w:pos="360"/>
        </w:tabs>
        <w:spacing w:line="240" w:lineRule="auto"/>
      </w:pPr>
      <w:r>
        <w:t xml:space="preserve">Le 4 octobre 2022, une perquisition au domicile de l’accusé permet </w:t>
      </w:r>
      <w:r w:rsidR="00F619ED">
        <w:t>la saisie de</w:t>
      </w:r>
      <w:r>
        <w:t> :</w:t>
      </w:r>
    </w:p>
    <w:p w14:paraId="5F3EF65C" w14:textId="77777777" w:rsidR="00A0154E" w:rsidRDefault="00A56883" w:rsidP="00F619ED">
      <w:pPr>
        <w:pStyle w:val="Paragraphe"/>
        <w:numPr>
          <w:ilvl w:val="0"/>
          <w:numId w:val="0"/>
        </w:numPr>
        <w:ind w:firstLine="734"/>
      </w:pPr>
      <w:r>
        <w:t>– 250 grammes de cannabis ensaché;</w:t>
      </w:r>
    </w:p>
    <w:p w14:paraId="0D7E1199" w14:textId="77777777" w:rsidR="00A0154E" w:rsidRDefault="00A56883" w:rsidP="00F619ED">
      <w:pPr>
        <w:pStyle w:val="Paragraphe"/>
        <w:numPr>
          <w:ilvl w:val="0"/>
          <w:numId w:val="0"/>
        </w:numPr>
        <w:spacing w:line="240" w:lineRule="auto"/>
        <w:ind w:firstLine="734"/>
      </w:pPr>
      <w:r>
        <w:t>– 136 comprimés de métamphétamine;</w:t>
      </w:r>
    </w:p>
    <w:p w14:paraId="3875DCD2" w14:textId="77777777" w:rsidR="00A0154E" w:rsidRDefault="00A56883" w:rsidP="00F619ED">
      <w:pPr>
        <w:pStyle w:val="Paragraphe"/>
        <w:numPr>
          <w:ilvl w:val="0"/>
          <w:numId w:val="0"/>
        </w:numPr>
        <w:spacing w:line="240" w:lineRule="auto"/>
        <w:ind w:firstLine="734"/>
      </w:pPr>
      <w:r>
        <w:t>– 3,45 grammes de cocaïne sous forme de crack;</w:t>
      </w:r>
    </w:p>
    <w:p w14:paraId="1CA52DA5" w14:textId="77777777" w:rsidR="00A0154E" w:rsidRDefault="00A56883" w:rsidP="00F619ED">
      <w:pPr>
        <w:pStyle w:val="Paragraphe"/>
        <w:numPr>
          <w:ilvl w:val="0"/>
          <w:numId w:val="0"/>
        </w:numPr>
        <w:spacing w:line="240" w:lineRule="auto"/>
        <w:ind w:firstLine="734"/>
      </w:pPr>
      <w:r>
        <w:t>– 1,80 grammes de hashish</w:t>
      </w:r>
      <w:r w:rsidR="00F619ED">
        <w:t>.</w:t>
      </w:r>
    </w:p>
    <w:p w14:paraId="07D4E61E" w14:textId="77777777" w:rsidR="00A0154E" w:rsidRDefault="00A56883" w:rsidP="00EB61D0">
      <w:pPr>
        <w:pStyle w:val="Paragraphe"/>
        <w:tabs>
          <w:tab w:val="clear" w:pos="360"/>
        </w:tabs>
        <w:spacing w:line="240" w:lineRule="auto"/>
      </w:pPr>
      <w:r>
        <w:t xml:space="preserve">Divers </w:t>
      </w:r>
      <w:r w:rsidR="00D3351D">
        <w:t>items</w:t>
      </w:r>
      <w:r>
        <w:t xml:space="preserve"> servant à la vente tels balances électroniques, téléphones cellulaires</w:t>
      </w:r>
      <w:r w:rsidR="00D3351D">
        <w:t xml:space="preserve"> et argent comptant sont aussi saisis. </w:t>
      </w:r>
      <w:r w:rsidR="00F619ED">
        <w:t>Sont également saisi</w:t>
      </w:r>
      <w:r w:rsidR="00D3351D">
        <w:t xml:space="preserve">s </w:t>
      </w:r>
      <w:r w:rsidR="00F619ED">
        <w:t xml:space="preserve">dans </w:t>
      </w:r>
      <w:r w:rsidR="00D3351D">
        <w:t>le véhicule de l’accusé:</w:t>
      </w:r>
    </w:p>
    <w:p w14:paraId="0D8CB1D7" w14:textId="77777777" w:rsidR="00D3351D" w:rsidRDefault="00A56883" w:rsidP="00F619ED">
      <w:pPr>
        <w:pStyle w:val="Paragraphe"/>
        <w:numPr>
          <w:ilvl w:val="0"/>
          <w:numId w:val="0"/>
        </w:numPr>
        <w:spacing w:line="240" w:lineRule="auto"/>
        <w:ind w:firstLine="734"/>
      </w:pPr>
      <w:r>
        <w:t xml:space="preserve">– 34,5 grammes de cocaïne, une balance ainsi que 1025$. </w:t>
      </w:r>
    </w:p>
    <w:p w14:paraId="698F4DA2" w14:textId="77777777" w:rsidR="00A0154E" w:rsidRDefault="00A56883" w:rsidP="00EB61D0">
      <w:pPr>
        <w:pStyle w:val="Paragraphe"/>
        <w:tabs>
          <w:tab w:val="clear" w:pos="360"/>
        </w:tabs>
        <w:spacing w:line="240" w:lineRule="auto"/>
      </w:pPr>
      <w:r>
        <w:t>L’accusé</w:t>
      </w:r>
      <w:r w:rsidR="00BC29BB">
        <w:t xml:space="preserve">, suivant son arrestation, </w:t>
      </w:r>
      <w:r>
        <w:t>fournit une déclaration incriminante aux policiers.</w:t>
      </w:r>
    </w:p>
    <w:p w14:paraId="39A23976" w14:textId="77777777" w:rsidR="00BC29BB" w:rsidRPr="00BC29BB" w:rsidRDefault="00A56883" w:rsidP="00270428">
      <w:pPr>
        <w:pStyle w:val="Titre1"/>
      </w:pPr>
      <w:r w:rsidRPr="00BC29BB">
        <w:t>PROFIL DE L’ACCUSÉ</w:t>
      </w:r>
    </w:p>
    <w:p w14:paraId="1F833624" w14:textId="77777777" w:rsidR="0071786D" w:rsidRDefault="00A56883" w:rsidP="00EB61D0">
      <w:pPr>
        <w:pStyle w:val="Paragraphe"/>
        <w:tabs>
          <w:tab w:val="clear" w:pos="360"/>
        </w:tabs>
        <w:spacing w:line="240" w:lineRule="auto"/>
      </w:pPr>
      <w:r>
        <w:t xml:space="preserve">L’accusé est un homme de 54 ans ayant un niveau de scolarité peu élevé. Ayant occupé divers emplois dans des domaines impliquant des travaux manuels, </w:t>
      </w:r>
      <w:r w:rsidR="005E1FEE">
        <w:t xml:space="preserve">il </w:t>
      </w:r>
      <w:r w:rsidR="005E43B2">
        <w:t xml:space="preserve">est </w:t>
      </w:r>
      <w:r w:rsidR="005E1FEE">
        <w:t>victime</w:t>
      </w:r>
      <w:r>
        <w:t xml:space="preserve"> </w:t>
      </w:r>
      <w:r w:rsidR="005E1FEE">
        <w:t>d’</w:t>
      </w:r>
      <w:r>
        <w:t>un accident de travail en 2017</w:t>
      </w:r>
      <w:r w:rsidR="005E43B2">
        <w:t xml:space="preserve">, </w:t>
      </w:r>
      <w:r w:rsidR="00823BE3">
        <w:t>subi</w:t>
      </w:r>
      <w:r w:rsidR="005E43B2">
        <w:t>ssant</w:t>
      </w:r>
      <w:r w:rsidR="00823BE3">
        <w:t xml:space="preserve"> des blessures qui </w:t>
      </w:r>
      <w:r w:rsidR="00006B1C">
        <w:t>l’entraine</w:t>
      </w:r>
      <w:r w:rsidR="00823BE3">
        <w:t>nt</w:t>
      </w:r>
      <w:r w:rsidR="00006B1C">
        <w:t xml:space="preserve"> dans</w:t>
      </w:r>
      <w:r>
        <w:t xml:space="preserve"> une dépendance aux opioïdes</w:t>
      </w:r>
      <w:r w:rsidR="00006B1C">
        <w:t>, consommant exagérément de la morphine par injection pour soulager</w:t>
      </w:r>
      <w:r w:rsidR="00823BE3">
        <w:t xml:space="preserve"> sa douleur</w:t>
      </w:r>
      <w:r>
        <w:t xml:space="preserve">. Il bénéficie par ailleurs d’un traitement </w:t>
      </w:r>
      <w:r w:rsidR="00006B1C">
        <w:t xml:space="preserve">supervisé </w:t>
      </w:r>
      <w:r>
        <w:t>de substitution à la Suboxone</w:t>
      </w:r>
      <w:r w:rsidR="00006B1C">
        <w:t>, auquel il s’adonne de façon lacunaire.</w:t>
      </w:r>
    </w:p>
    <w:p w14:paraId="07C0C77E" w14:textId="77777777" w:rsidR="00823BE3" w:rsidRDefault="00A56883" w:rsidP="00EB61D0">
      <w:pPr>
        <w:pStyle w:val="Paragraphe"/>
        <w:tabs>
          <w:tab w:val="clear" w:pos="360"/>
        </w:tabs>
        <w:spacing w:line="240" w:lineRule="auto"/>
      </w:pPr>
      <w:r>
        <w:t xml:space="preserve">La non-observance de ce traitement, </w:t>
      </w:r>
      <w:r w:rsidR="005E43B2">
        <w:t xml:space="preserve">en plus de </w:t>
      </w:r>
      <w:r>
        <w:t>son congédiement comme signaleur routier à l’été 2022, serai</w:t>
      </w:r>
      <w:r w:rsidR="005E43B2">
        <w:t>ent les causes</w:t>
      </w:r>
      <w:r>
        <w:t xml:space="preserve"> à l’origine de </w:t>
      </w:r>
      <w:r w:rsidR="005E43B2">
        <w:t>s</w:t>
      </w:r>
      <w:r>
        <w:t>a rechute dans la consommation. Sans emploi, il s’adonne alors au trafic pour f</w:t>
      </w:r>
      <w:r w:rsidR="008B194A">
        <w:t>inancer ses habitudes toxicologiques</w:t>
      </w:r>
      <w:r>
        <w:t>.</w:t>
      </w:r>
    </w:p>
    <w:p w14:paraId="09B1DA09" w14:textId="77777777" w:rsidR="00961483" w:rsidRPr="0071786D" w:rsidRDefault="00A56883" w:rsidP="00823BE3">
      <w:pPr>
        <w:pStyle w:val="Paragraphe"/>
        <w:tabs>
          <w:tab w:val="clear" w:pos="360"/>
        </w:tabs>
        <w:spacing w:line="240" w:lineRule="auto"/>
      </w:pPr>
      <w:r>
        <w:t xml:space="preserve">Si </w:t>
      </w:r>
      <w:r w:rsidR="00823BE3">
        <w:t>s</w:t>
      </w:r>
      <w:r>
        <w:t>a relation</w:t>
      </w:r>
      <w:r w:rsidR="00823BE3">
        <w:t xml:space="preserve"> </w:t>
      </w:r>
      <w:r>
        <w:t>avec sa conjointe s</w:t>
      </w:r>
      <w:r w:rsidR="00823BE3">
        <w:t>e</w:t>
      </w:r>
      <w:r>
        <w:t xml:space="preserve"> termine lors de son arrestation, il </w:t>
      </w:r>
      <w:r w:rsidR="00823BE3">
        <w:t>affirme</w:t>
      </w:r>
      <w:r>
        <w:t xml:space="preserve"> recommenc</w:t>
      </w:r>
      <w:r w:rsidR="00823BE3">
        <w:t>er</w:t>
      </w:r>
      <w:r>
        <w:t xml:space="preserve"> à créer des liens avec celle-ci </w:t>
      </w:r>
      <w:r w:rsidR="00823BE3">
        <w:t>durant les</w:t>
      </w:r>
      <w:r>
        <w:t xml:space="preserve"> dernières semaines. Bien qu’il soutienne qu’elle soit une faible consommatrice de stupéfiants,</w:t>
      </w:r>
      <w:r w:rsidR="00CD6F03">
        <w:t xml:space="preserve"> </w:t>
      </w:r>
      <w:r>
        <w:t xml:space="preserve">elle fait </w:t>
      </w:r>
      <w:r w:rsidR="00CD6F03">
        <w:t xml:space="preserve">aussi </w:t>
      </w:r>
      <w:r>
        <w:t xml:space="preserve">l’objet d’accusations en matière de stupéfiants en lien avec </w:t>
      </w:r>
      <w:r w:rsidR="00CD6F03">
        <w:t>la présente</w:t>
      </w:r>
      <w:r>
        <w:t xml:space="preserve"> enquête.</w:t>
      </w:r>
    </w:p>
    <w:p w14:paraId="070633A9" w14:textId="77777777" w:rsidR="00006B1C" w:rsidRDefault="00A56883" w:rsidP="00EB61D0">
      <w:pPr>
        <w:pStyle w:val="Paragraphe"/>
        <w:tabs>
          <w:tab w:val="clear" w:pos="360"/>
        </w:tabs>
        <w:spacing w:line="240" w:lineRule="auto"/>
      </w:pPr>
      <w:r>
        <w:t>L’accusé fréquente de façon régulière</w:t>
      </w:r>
      <w:r w:rsidR="00823BE3">
        <w:t>, et ce</w:t>
      </w:r>
      <w:r>
        <w:t xml:space="preserve"> depuis 2015</w:t>
      </w:r>
      <w:r w:rsidR="00823BE3">
        <w:t>,</w:t>
      </w:r>
      <w:r>
        <w:t xml:space="preserve"> l’organisme Tandem-Mauricie, </w:t>
      </w:r>
      <w:r w:rsidR="00823BE3">
        <w:t>lequel</w:t>
      </w:r>
      <w:r>
        <w:t xml:space="preserve"> œuvre dans la communauté pour la lutte contre le VIH et les autres infections transmises sexuellement et par le sang, s’impliquant dans la consommation sécuritaire. L’accusé peut </w:t>
      </w:r>
      <w:r w:rsidR="008B194A">
        <w:t xml:space="preserve">y </w:t>
      </w:r>
      <w:r>
        <w:t xml:space="preserve">bénéficier d’un accompagnement ponctuel, mais </w:t>
      </w:r>
      <w:r w:rsidR="005E43B2">
        <w:t xml:space="preserve">y </w:t>
      </w:r>
      <w:r w:rsidR="008B194A">
        <w:t>agi</w:t>
      </w:r>
      <w:r w:rsidR="005E43B2">
        <w:t>t</w:t>
      </w:r>
      <w:r w:rsidR="008B194A">
        <w:t xml:space="preserve"> </w:t>
      </w:r>
      <w:r w:rsidR="005E43B2">
        <w:t xml:space="preserve">aussi </w:t>
      </w:r>
      <w:r>
        <w:t>à titre de pair-aidant.</w:t>
      </w:r>
    </w:p>
    <w:p w14:paraId="13F88A34" w14:textId="77777777" w:rsidR="00CD6F03" w:rsidRDefault="00A56883" w:rsidP="00EB61D0">
      <w:pPr>
        <w:pStyle w:val="Paragraphe"/>
        <w:tabs>
          <w:tab w:val="clear" w:pos="360"/>
        </w:tabs>
        <w:spacing w:line="240" w:lineRule="auto"/>
      </w:pPr>
      <w:r>
        <w:t>Selon Cynthia Villemure, travailleuse de proximité</w:t>
      </w:r>
      <w:r w:rsidR="008B194A">
        <w:t xml:space="preserve"> au sein de l’organisme</w:t>
      </w:r>
      <w:r>
        <w:t xml:space="preserve">, l’accusé offre régulièrement ses services comme homme de main. Il est un bon participant, proche des gens de la rue. Celle-ci confirme que l’accusé, à la sortie de la thérapie fermée qu’il s’engage à suivre, pourra bénéficier d’un logement supervisé, </w:t>
      </w:r>
      <w:r w:rsidR="005E43B2">
        <w:t xml:space="preserve">et ce </w:t>
      </w:r>
      <w:r>
        <w:t>sans frais pour les premiers mois.</w:t>
      </w:r>
    </w:p>
    <w:p w14:paraId="40DA9C05" w14:textId="77777777" w:rsidR="008B194A" w:rsidRPr="008B194A" w:rsidRDefault="00A56883" w:rsidP="00270428">
      <w:pPr>
        <w:pStyle w:val="Titre2"/>
      </w:pPr>
      <w:r w:rsidRPr="008B194A">
        <w:t>RAPPORT PRÉSENTENCIEL</w:t>
      </w:r>
    </w:p>
    <w:p w14:paraId="1DA04F53" w14:textId="77777777" w:rsidR="00D3351D" w:rsidRDefault="00A56883" w:rsidP="00EB61D0">
      <w:pPr>
        <w:pStyle w:val="Paragraphe"/>
        <w:tabs>
          <w:tab w:val="clear" w:pos="360"/>
        </w:tabs>
        <w:spacing w:line="240" w:lineRule="auto"/>
      </w:pPr>
      <w:r>
        <w:t xml:space="preserve">Le rapport présentenciel indique que l’accusé débute l’usage d’intoxicants à la fin de l’adolescence et que </w:t>
      </w:r>
      <w:r w:rsidR="008B194A">
        <w:t xml:space="preserve">sa </w:t>
      </w:r>
      <w:r w:rsidR="00961483">
        <w:t>consommation sera aggravée par le décès de ses deux frères par suicide durant sa vingtaine</w:t>
      </w:r>
      <w:r>
        <w:rPr>
          <w:rStyle w:val="Appelnotedebasdep"/>
        </w:rPr>
        <w:footnoteReference w:id="2"/>
      </w:r>
      <w:r w:rsidR="00961483">
        <w:t xml:space="preserve">. L’accusé maintient </w:t>
      </w:r>
      <w:r w:rsidR="008B194A">
        <w:t xml:space="preserve">ensuite </w:t>
      </w:r>
      <w:r w:rsidR="00961483">
        <w:t>un</w:t>
      </w:r>
      <w:r>
        <w:t xml:space="preserve">e consommation </w:t>
      </w:r>
      <w:r w:rsidR="00961483">
        <w:t>variable au fil des ans</w:t>
      </w:r>
      <w:r w:rsidR="008B194A">
        <w:t>, que ce soit</w:t>
      </w:r>
      <w:r w:rsidR="00961483">
        <w:t xml:space="preserve"> de cannabis, stimulants </w:t>
      </w:r>
      <w:r w:rsidR="008B194A">
        <w:t>ou</w:t>
      </w:r>
      <w:r w:rsidR="00961483">
        <w:t xml:space="preserve"> opiacés, </w:t>
      </w:r>
      <w:r w:rsidR="008B194A">
        <w:t>dépendant de</w:t>
      </w:r>
      <w:r w:rsidR="00961483">
        <w:t xml:space="preserve"> son réseau social</w:t>
      </w:r>
      <w:r>
        <w:t>,</w:t>
      </w:r>
      <w:r w:rsidR="004721B2">
        <w:t xml:space="preserve"> </w:t>
      </w:r>
      <w:r>
        <w:t xml:space="preserve">lequel </w:t>
      </w:r>
      <w:r w:rsidR="00961483">
        <w:t>se compose essentiellement d’individus consommateurs peu recommandables</w:t>
      </w:r>
      <w:r>
        <w:rPr>
          <w:rStyle w:val="Appelnotedebasdep"/>
        </w:rPr>
        <w:footnoteReference w:id="3"/>
      </w:r>
      <w:r w:rsidR="00961483">
        <w:t xml:space="preserve">.  </w:t>
      </w:r>
    </w:p>
    <w:p w14:paraId="2A0FDF06" w14:textId="77777777" w:rsidR="008B194A" w:rsidRDefault="00A56883" w:rsidP="00EB61D0">
      <w:pPr>
        <w:pStyle w:val="Paragraphe"/>
        <w:tabs>
          <w:tab w:val="clear" w:pos="360"/>
        </w:tabs>
        <w:spacing w:line="240" w:lineRule="auto"/>
      </w:pPr>
      <w:r>
        <w:t>Selon la fiche judiciaire de l’accusé, elle fait état d’une délinquance soutenue pour des délits de nature polymorphe, comprenant des condamnations pour des infractions à caractère sexuel perpétrées à l’égard de victimes juvéniles, ainsi que des événements de violence commis dans un contexte conjugal. Une tendance marquée pour les désengagements légaux ainsi que les drogues est à noter.</w:t>
      </w:r>
    </w:p>
    <w:p w14:paraId="3DEBA1AD" w14:textId="77777777" w:rsidR="00AE444F" w:rsidRDefault="00A56883" w:rsidP="00EB61D0">
      <w:pPr>
        <w:pStyle w:val="Paragraphe"/>
        <w:tabs>
          <w:tab w:val="clear" w:pos="360"/>
        </w:tabs>
        <w:spacing w:line="240" w:lineRule="auto"/>
      </w:pPr>
      <w:r>
        <w:t xml:space="preserve">L’agent de probation perçoit </w:t>
      </w:r>
      <w:r w:rsidR="005E43B2">
        <w:t xml:space="preserve">chez l’accusé </w:t>
      </w:r>
      <w:r>
        <w:t>certaines difficultés contemporaines à s’attribuer la responsabilité de ses actions, laissant entrevoir un niveau de conscientisation à parfaire</w:t>
      </w:r>
      <w:r>
        <w:rPr>
          <w:rStyle w:val="Appelnotedebasdep"/>
        </w:rPr>
        <w:footnoteReference w:id="4"/>
      </w:r>
      <w:r>
        <w:t>.</w:t>
      </w:r>
      <w:r w:rsidR="00433EF0">
        <w:t xml:space="preserve"> </w:t>
      </w:r>
      <w:r w:rsidR="008B194A">
        <w:t>L</w:t>
      </w:r>
      <w:r w:rsidR="00433EF0">
        <w:t xml:space="preserve">’agent estime </w:t>
      </w:r>
      <w:r w:rsidR="008B194A">
        <w:t xml:space="preserve">toutefois </w:t>
      </w:r>
      <w:r w:rsidR="00433EF0">
        <w:t>que le projet de réinsertion social de l’accusé, qui entend faire l’acquisition d’un emploi stable, entamer l’assainissement de son réseau social et participer à un processus thérapeutique, répond aux besoins criminogènes relevés</w:t>
      </w:r>
      <w:r>
        <w:rPr>
          <w:rStyle w:val="Appelnotedebasdep"/>
        </w:rPr>
        <w:footnoteReference w:id="5"/>
      </w:r>
      <w:r w:rsidR="00433EF0">
        <w:t>.</w:t>
      </w:r>
    </w:p>
    <w:p w14:paraId="13A6420B" w14:textId="77777777" w:rsidR="00822ACA" w:rsidRDefault="00A56883" w:rsidP="00EB61D0">
      <w:pPr>
        <w:pStyle w:val="Paragraphe"/>
        <w:tabs>
          <w:tab w:val="clear" w:pos="360"/>
        </w:tabs>
        <w:spacing w:line="240" w:lineRule="auto"/>
      </w:pPr>
      <w:r>
        <w:t xml:space="preserve">L’agent dénote </w:t>
      </w:r>
      <w:r w:rsidR="00D766DA">
        <w:t xml:space="preserve">par ailleurs </w:t>
      </w:r>
      <w:r>
        <w:t>la présence</w:t>
      </w:r>
      <w:r w:rsidR="00D766DA">
        <w:t xml:space="preserve"> </w:t>
      </w:r>
      <w:r>
        <w:t>de plusieurs facteurs susceptibles de contribuer à l’adoption de comportements répréhensibles</w:t>
      </w:r>
      <w:r w:rsidR="00D766DA">
        <w:t>,</w:t>
      </w:r>
      <w:r w:rsidR="006B44FA">
        <w:t xml:space="preserve"> ainsi que des</w:t>
      </w:r>
      <w:r>
        <w:t xml:space="preserve"> valeurs délinquantes ancrées</w:t>
      </w:r>
      <w:r w:rsidR="006B44FA">
        <w:t>.</w:t>
      </w:r>
      <w:r>
        <w:rPr>
          <w:rStyle w:val="Appelnotedebasdep"/>
        </w:rPr>
        <w:footnoteReference w:id="6"/>
      </w:r>
    </w:p>
    <w:p w14:paraId="6C404B74" w14:textId="77777777" w:rsidR="008B194A" w:rsidRDefault="00A56883" w:rsidP="00A0154E">
      <w:pPr>
        <w:pStyle w:val="Paragraphe"/>
        <w:tabs>
          <w:tab w:val="clear" w:pos="360"/>
        </w:tabs>
        <w:spacing w:line="240" w:lineRule="auto"/>
      </w:pPr>
      <w:r>
        <w:t xml:space="preserve">L’accusé adopte aussi une position d’impuissance envers ses difficultés, </w:t>
      </w:r>
      <w:r w:rsidR="00F619ED">
        <w:t>son</w:t>
      </w:r>
      <w:r>
        <w:t xml:space="preserve"> niveau de conscientisation étant à parfaire envers les facteurs qui sous-tendent ses comportements répréhensibles</w:t>
      </w:r>
      <w:r>
        <w:rPr>
          <w:rStyle w:val="Appelnotedebasdep"/>
        </w:rPr>
        <w:footnoteReference w:id="7"/>
      </w:r>
      <w:r>
        <w:t>.</w:t>
      </w:r>
    </w:p>
    <w:p w14:paraId="799B8877" w14:textId="77777777" w:rsidR="00AA1FA4" w:rsidRPr="00C2419F" w:rsidRDefault="00A56883" w:rsidP="00822ACA">
      <w:pPr>
        <w:pStyle w:val="Titre1"/>
      </w:pPr>
      <w:r w:rsidRPr="00DA34B8">
        <w:t>DROIT</w:t>
      </w:r>
      <w:r w:rsidR="00822ACA">
        <w:t xml:space="preserve"> ET ANALYSE</w:t>
      </w:r>
    </w:p>
    <w:p w14:paraId="5ECF29A6" w14:textId="77777777" w:rsidR="00AA1FA4" w:rsidRPr="00DA34B8" w:rsidRDefault="00A56883" w:rsidP="00EB61D0">
      <w:pPr>
        <w:numPr>
          <w:ilvl w:val="0"/>
          <w:numId w:val="1"/>
        </w:numPr>
        <w:tabs>
          <w:tab w:val="clear" w:pos="360"/>
        </w:tabs>
        <w:spacing w:before="120" w:after="120"/>
        <w:jc w:val="both"/>
        <w:rPr>
          <w:kern w:val="28"/>
        </w:rPr>
      </w:pPr>
      <w:r>
        <w:rPr>
          <w:kern w:val="28"/>
        </w:rPr>
        <w:t>L</w:t>
      </w:r>
      <w:r w:rsidRPr="00DA34B8">
        <w:rPr>
          <w:kern w:val="28"/>
        </w:rPr>
        <w:t xml:space="preserve">e principe fondamental est que la peine doit être proportionnelle </w:t>
      </w:r>
      <w:r w:rsidRPr="00DA34B8">
        <w:rPr>
          <w:rFonts w:cs="Arial"/>
          <w:color w:val="000000"/>
          <w:kern w:val="28"/>
        </w:rPr>
        <w:t>à la gravité de l'infraction et au degré de responsabilité du délinquant</w:t>
      </w:r>
      <w:r>
        <w:rPr>
          <w:rFonts w:cs="Arial"/>
          <w:color w:val="000000"/>
          <w:kern w:val="28"/>
          <w:vertAlign w:val="superscript"/>
        </w:rPr>
        <w:footnoteReference w:id="8"/>
      </w:r>
      <w:r w:rsidRPr="00DA34B8">
        <w:rPr>
          <w:rFonts w:cs="Arial"/>
          <w:color w:val="000000"/>
          <w:kern w:val="28"/>
        </w:rPr>
        <w:t>.</w:t>
      </w:r>
    </w:p>
    <w:p w14:paraId="4C7DBF36" w14:textId="77777777" w:rsidR="00AA1FA4" w:rsidRPr="00DA34B8" w:rsidRDefault="00A56883" w:rsidP="00EB61D0">
      <w:pPr>
        <w:numPr>
          <w:ilvl w:val="0"/>
          <w:numId w:val="1"/>
        </w:numPr>
        <w:tabs>
          <w:tab w:val="clear" w:pos="360"/>
        </w:tabs>
        <w:spacing w:before="120" w:after="120"/>
        <w:jc w:val="both"/>
        <w:rPr>
          <w:kern w:val="28"/>
        </w:rPr>
      </w:pPr>
      <w:r w:rsidRPr="00DA34B8">
        <w:rPr>
          <w:rFonts w:cs="Arial"/>
          <w:color w:val="000000"/>
          <w:kern w:val="28"/>
        </w:rPr>
        <w:t>L'objectif de toute peine est de contribuer à la prévention du crime, au respect de la loi et au maintien d'une société juste, paisible et sûre par l’imposition de sanctions justes</w:t>
      </w:r>
      <w:r>
        <w:rPr>
          <w:rFonts w:cs="Arial"/>
          <w:color w:val="000000"/>
          <w:kern w:val="28"/>
          <w:vertAlign w:val="superscript"/>
        </w:rPr>
        <w:footnoteReference w:id="9"/>
      </w:r>
      <w:r w:rsidRPr="00DA34B8">
        <w:rPr>
          <w:rFonts w:cs="Arial"/>
          <w:color w:val="000000"/>
          <w:kern w:val="28"/>
        </w:rPr>
        <w:t xml:space="preserve">. </w:t>
      </w:r>
    </w:p>
    <w:p w14:paraId="0F1D68C4" w14:textId="77777777" w:rsidR="00AA1FA4" w:rsidRPr="00DA34B8" w:rsidRDefault="00A56883" w:rsidP="00EB61D0">
      <w:pPr>
        <w:numPr>
          <w:ilvl w:val="0"/>
          <w:numId w:val="1"/>
        </w:numPr>
        <w:tabs>
          <w:tab w:val="clear" w:pos="360"/>
        </w:tabs>
        <w:spacing w:before="120" w:after="120"/>
        <w:jc w:val="both"/>
        <w:rPr>
          <w:kern w:val="28"/>
        </w:rPr>
      </w:pPr>
      <w:r>
        <w:rPr>
          <w:rFonts w:cs="Arial"/>
          <w:color w:val="000000"/>
          <w:kern w:val="28"/>
        </w:rPr>
        <w:t>L</w:t>
      </w:r>
      <w:r w:rsidRPr="00DA34B8">
        <w:rPr>
          <w:rFonts w:cs="Arial"/>
          <w:color w:val="000000"/>
          <w:kern w:val="28"/>
        </w:rPr>
        <w:t>a peine imposée doit répondre à la fois aux objectifs punitifs et curatifs suivants : dénoncer le comportement illégal et le tort causé par le délinquant à la collectivité, dissuader de façon générale et individuelle, isoler au besoin le délinquant et favoriser sa réinsertion sociale, assurer la réparation des torts causés à la collectivité et amener la prise de conscience par le délinquant de ses responsabilités</w:t>
      </w:r>
      <w:r>
        <w:rPr>
          <w:rFonts w:cs="Arial"/>
          <w:color w:val="000000"/>
          <w:kern w:val="28"/>
          <w:vertAlign w:val="superscript"/>
        </w:rPr>
        <w:footnoteReference w:id="10"/>
      </w:r>
      <w:r w:rsidRPr="00DA34B8">
        <w:rPr>
          <w:rFonts w:cs="Arial"/>
          <w:color w:val="000000"/>
          <w:kern w:val="28"/>
        </w:rPr>
        <w:t>.</w:t>
      </w:r>
    </w:p>
    <w:p w14:paraId="7648DB20" w14:textId="77777777" w:rsidR="00433EF0" w:rsidRPr="00433EF0" w:rsidRDefault="00A56883" w:rsidP="00AA1FA4">
      <w:pPr>
        <w:numPr>
          <w:ilvl w:val="0"/>
          <w:numId w:val="1"/>
        </w:numPr>
        <w:tabs>
          <w:tab w:val="clear" w:pos="360"/>
        </w:tabs>
        <w:spacing w:before="120" w:after="120"/>
        <w:jc w:val="both"/>
      </w:pPr>
      <w:r w:rsidRPr="00433EF0">
        <w:rPr>
          <w:rFonts w:cs="Arial"/>
          <w:color w:val="000000"/>
        </w:rPr>
        <w:t>Le Tribunal doit harmoniser la peine à rendre avec celles habituellement infligées pour des crimes semblables, dans des circonstances semblables, tout en s’assurant qu’elle soit individualisée à l’accusé</w:t>
      </w:r>
      <w:r>
        <w:rPr>
          <w:rFonts w:cs="Arial"/>
          <w:color w:val="000000"/>
          <w:vertAlign w:val="superscript"/>
        </w:rPr>
        <w:footnoteReference w:id="11"/>
      </w:r>
      <w:r w:rsidRPr="00433EF0">
        <w:rPr>
          <w:rFonts w:cs="Arial"/>
          <w:color w:val="000000"/>
        </w:rPr>
        <w:t>. Toutefois, le principe de la parité n’interdit pas la disparité si les circonstances le justifient, en raison de l’existence de la règle de la proportionnalité</w:t>
      </w:r>
      <w:r>
        <w:rPr>
          <w:rStyle w:val="Appelnotedebasdep"/>
          <w:rFonts w:cs="Arial"/>
          <w:color w:val="000000"/>
        </w:rPr>
        <w:footnoteReference w:id="12"/>
      </w:r>
      <w:r w:rsidRPr="00433EF0">
        <w:rPr>
          <w:rFonts w:cs="Arial"/>
          <w:color w:val="000000"/>
        </w:rPr>
        <w:t>.</w:t>
      </w:r>
    </w:p>
    <w:p w14:paraId="640B561B" w14:textId="77777777" w:rsidR="00AA1FA4" w:rsidRPr="00D7066E" w:rsidRDefault="00A56883" w:rsidP="00AA1FA4">
      <w:pPr>
        <w:numPr>
          <w:ilvl w:val="0"/>
          <w:numId w:val="1"/>
        </w:numPr>
        <w:tabs>
          <w:tab w:val="clear" w:pos="360"/>
        </w:tabs>
        <w:spacing w:before="120" w:after="120"/>
        <w:jc w:val="both"/>
      </w:pPr>
      <w:r w:rsidRPr="00433EF0">
        <w:rPr>
          <w:rFonts w:cs="Arial"/>
          <w:color w:val="000000"/>
        </w:rPr>
        <w:t>Le Tribunal doit tenir compte des circonstances aggravantes ou atténuantes, éviter l’excès, examiner les sanctions moins contraignantes lorsque les circonstances le justifient et les mesures substitutives raisonnables</w:t>
      </w:r>
      <w:r>
        <w:rPr>
          <w:rStyle w:val="Appelnotedebasdep"/>
          <w:rFonts w:cs="Arial"/>
          <w:color w:val="000000"/>
        </w:rPr>
        <w:footnoteReference w:id="13"/>
      </w:r>
      <w:r w:rsidRPr="00433EF0">
        <w:rPr>
          <w:rFonts w:cs="Arial"/>
          <w:color w:val="000000"/>
        </w:rPr>
        <w:t>.</w:t>
      </w:r>
    </w:p>
    <w:p w14:paraId="21F330D6" w14:textId="77777777" w:rsidR="006C3BC7" w:rsidRPr="006C3BC7" w:rsidRDefault="00A56883" w:rsidP="00EB61D0">
      <w:pPr>
        <w:pStyle w:val="Paragraphe"/>
        <w:tabs>
          <w:tab w:val="clear" w:pos="360"/>
        </w:tabs>
        <w:spacing w:line="240" w:lineRule="auto"/>
      </w:pPr>
      <w:r>
        <w:t>Au niveau de la gravité objective, la peine maximale pour les infractions de trafic et de possession en vue d’en faire le trafic de cocaïne et de métamphétamines est l’emprisonnement à perpétuité</w:t>
      </w:r>
      <w:r>
        <w:rPr>
          <w:rStyle w:val="Appelnotedebasdep"/>
        </w:rPr>
        <w:footnoteReference w:id="14"/>
      </w:r>
      <w:r>
        <w:t>. Quant aux infractions relatives au cannabis, la peine maximale est de 14 ans d’emprisonnement</w:t>
      </w:r>
      <w:r>
        <w:rPr>
          <w:rStyle w:val="Appelnotedebasdep"/>
        </w:rPr>
        <w:footnoteReference w:id="15"/>
      </w:r>
      <w:r>
        <w:t>.</w:t>
      </w:r>
    </w:p>
    <w:p w14:paraId="09A55238" w14:textId="77777777" w:rsidR="00D86CC3" w:rsidRPr="00D86CC3" w:rsidRDefault="00A56883" w:rsidP="00EB61D0">
      <w:pPr>
        <w:pStyle w:val="Paragraphe"/>
        <w:tabs>
          <w:tab w:val="clear" w:pos="360"/>
        </w:tabs>
        <w:spacing w:line="240" w:lineRule="auto"/>
      </w:pPr>
      <w:r>
        <w:rPr>
          <w:rFonts w:cs="Arial"/>
          <w:color w:val="000000"/>
        </w:rPr>
        <w:t>En matière de trafic de drogues dures</w:t>
      </w:r>
      <w:r w:rsidR="00F14425">
        <w:rPr>
          <w:rFonts w:cs="Arial"/>
          <w:color w:val="000000"/>
        </w:rPr>
        <w:t>,</w:t>
      </w:r>
      <w:r>
        <w:rPr>
          <w:rFonts w:cs="Arial"/>
          <w:color w:val="000000"/>
        </w:rPr>
        <w:t xml:space="preserve"> telle la cocaïne, les principes de dénonciation et de dissuasion doivent primer et des peines d’emprisonnement sévères sont habituellement prononcées</w:t>
      </w:r>
      <w:r>
        <w:rPr>
          <w:rStyle w:val="Appelnotedebasdep"/>
          <w:rFonts w:cs="Arial"/>
          <w:color w:val="000000"/>
        </w:rPr>
        <w:footnoteReference w:id="16"/>
      </w:r>
      <w:r>
        <w:rPr>
          <w:rFonts w:cs="Arial"/>
          <w:color w:val="000000"/>
        </w:rPr>
        <w:t>.</w:t>
      </w:r>
    </w:p>
    <w:p w14:paraId="264FE4F8" w14:textId="77777777" w:rsidR="006C3BC7" w:rsidRPr="006C3BC7" w:rsidRDefault="00A56883" w:rsidP="00EB61D0">
      <w:pPr>
        <w:pStyle w:val="Paragraphe"/>
        <w:tabs>
          <w:tab w:val="clear" w:pos="360"/>
        </w:tabs>
        <w:spacing w:line="240" w:lineRule="auto"/>
      </w:pPr>
      <w:r w:rsidRPr="00D86CC3">
        <w:rPr>
          <w:rFonts w:cs="Arial"/>
          <w:color w:val="000000"/>
        </w:rPr>
        <w:t xml:space="preserve">Les conséquences du trafic de </w:t>
      </w:r>
      <w:r>
        <w:rPr>
          <w:rFonts w:cs="Arial"/>
          <w:color w:val="000000"/>
        </w:rPr>
        <w:t xml:space="preserve">drogues dures sont significatives </w:t>
      </w:r>
      <w:r w:rsidR="00F619ED">
        <w:rPr>
          <w:rFonts w:cs="Arial"/>
          <w:color w:val="000000"/>
        </w:rPr>
        <w:t xml:space="preserve">et </w:t>
      </w:r>
      <w:r w:rsidRPr="00D86CC3">
        <w:rPr>
          <w:rFonts w:cs="Arial"/>
          <w:color w:val="000000"/>
        </w:rPr>
        <w:t>ne peuvent être ignorée</w:t>
      </w:r>
      <w:r>
        <w:rPr>
          <w:rFonts w:cs="Arial"/>
          <w:color w:val="000000"/>
        </w:rPr>
        <w:t>s, à un point tel qu’</w:t>
      </w:r>
      <w:r w:rsidRPr="00D86CC3">
        <w:rPr>
          <w:rFonts w:cs="Arial"/>
          <w:color w:val="000000"/>
        </w:rPr>
        <w:t>on en est venu à considérer le trafic de drogues comme une infraction commise avec violence</w:t>
      </w:r>
      <w:r>
        <w:rPr>
          <w:rStyle w:val="Appelnotedebasdep"/>
          <w:rFonts w:cs="Arial"/>
          <w:color w:val="000000"/>
        </w:rPr>
        <w:footnoteReference w:id="17"/>
      </w:r>
      <w:r>
        <w:rPr>
          <w:rFonts w:cs="Arial"/>
          <w:color w:val="000000"/>
        </w:rPr>
        <w:t>. Cette</w:t>
      </w:r>
      <w:r w:rsidRPr="00D86CC3">
        <w:rPr>
          <w:rFonts w:cs="Arial"/>
          <w:color w:val="000000"/>
        </w:rPr>
        <w:t xml:space="preserve"> gravité ne se limite pas aux conséquences désastreuses qu’il entra</w:t>
      </w:r>
      <w:r w:rsidR="00F14425">
        <w:rPr>
          <w:rFonts w:cs="Arial"/>
          <w:color w:val="000000"/>
        </w:rPr>
        <w:t>i</w:t>
      </w:r>
      <w:r w:rsidRPr="00D86CC3">
        <w:rPr>
          <w:rFonts w:cs="Arial"/>
          <w:color w:val="000000"/>
        </w:rPr>
        <w:t>ne pour ceux qui abusent de</w:t>
      </w:r>
      <w:r>
        <w:rPr>
          <w:rFonts w:cs="Arial"/>
          <w:color w:val="000000"/>
        </w:rPr>
        <w:t xml:space="preserve"> ces </w:t>
      </w:r>
      <w:r w:rsidRPr="00D86CC3">
        <w:rPr>
          <w:rFonts w:cs="Arial"/>
          <w:color w:val="000000"/>
        </w:rPr>
        <w:t>drogues</w:t>
      </w:r>
      <w:r>
        <w:rPr>
          <w:rFonts w:cs="Arial"/>
          <w:color w:val="000000"/>
        </w:rPr>
        <w:t xml:space="preserve"> </w:t>
      </w:r>
      <w:r w:rsidRPr="00D86CC3">
        <w:rPr>
          <w:rFonts w:cs="Arial"/>
          <w:color w:val="000000"/>
        </w:rPr>
        <w:t>qui, dans la foulée, se détruisent et détruisent d’autres personnes</w:t>
      </w:r>
      <w:r>
        <w:rPr>
          <w:rStyle w:val="Appelnotedebasdep"/>
          <w:rFonts w:cs="Arial"/>
          <w:color w:val="000000"/>
        </w:rPr>
        <w:footnoteReference w:id="18"/>
      </w:r>
      <w:r w:rsidRPr="00D86CC3">
        <w:rPr>
          <w:rFonts w:cs="Arial"/>
          <w:color w:val="000000"/>
        </w:rPr>
        <w:t>.</w:t>
      </w:r>
    </w:p>
    <w:p w14:paraId="620FC187" w14:textId="77777777" w:rsidR="00D7066E" w:rsidRPr="006C3BC7" w:rsidRDefault="00A56883" w:rsidP="00EB61D0">
      <w:pPr>
        <w:pStyle w:val="Paragraphe"/>
        <w:tabs>
          <w:tab w:val="clear" w:pos="360"/>
        </w:tabs>
        <w:spacing w:line="240" w:lineRule="auto"/>
      </w:pPr>
      <w:r>
        <w:rPr>
          <w:rFonts w:cs="Arial"/>
          <w:color w:val="000000"/>
        </w:rPr>
        <w:t>La Cour d’appel établit que l</w:t>
      </w:r>
      <w:r w:rsidRPr="006F7B00">
        <w:rPr>
          <w:rFonts w:cs="Arial"/>
          <w:color w:val="000000"/>
        </w:rPr>
        <w:t>a fourchette des peines applicables pour le trafic de cocaïne et la possession de cocaïne en vue de trafic varie de quelques mois à 4 ans d’emprisonnement</w:t>
      </w:r>
      <w:r>
        <w:rPr>
          <w:rStyle w:val="Appelnotedebasdep"/>
          <w:rFonts w:cs="Arial"/>
          <w:color w:val="000000"/>
        </w:rPr>
        <w:footnoteReference w:id="19"/>
      </w:r>
      <w:r>
        <w:rPr>
          <w:rFonts w:cs="Arial"/>
          <w:color w:val="000000"/>
        </w:rPr>
        <w:t>.</w:t>
      </w:r>
      <w:r w:rsidR="006B44FA">
        <w:rPr>
          <w:rFonts w:cs="Arial"/>
          <w:color w:val="000000"/>
        </w:rPr>
        <w:t xml:space="preserve"> </w:t>
      </w:r>
    </w:p>
    <w:p w14:paraId="1180442B" w14:textId="77777777" w:rsidR="00214380" w:rsidRPr="00822ACA" w:rsidRDefault="00A56883" w:rsidP="00822ACA">
      <w:pPr>
        <w:pStyle w:val="Paragraphe"/>
        <w:tabs>
          <w:tab w:val="clear" w:pos="360"/>
        </w:tabs>
        <w:spacing w:line="240" w:lineRule="auto"/>
      </w:pPr>
      <w:r>
        <w:rPr>
          <w:rFonts w:cs="Arial"/>
          <w:color w:val="000000"/>
        </w:rPr>
        <w:t xml:space="preserve">Par ailleurs, l’emprisonnement avec sursis est </w:t>
      </w:r>
      <w:r w:rsidR="00B70D06">
        <w:rPr>
          <w:rFonts w:cs="Arial"/>
          <w:color w:val="000000"/>
        </w:rPr>
        <w:t xml:space="preserve">dorénavant </w:t>
      </w:r>
      <w:r>
        <w:rPr>
          <w:rFonts w:cs="Arial"/>
          <w:color w:val="000000"/>
        </w:rPr>
        <w:t>possible</w:t>
      </w:r>
      <w:r w:rsidR="00822ACA">
        <w:rPr>
          <w:rFonts w:cs="Arial"/>
          <w:color w:val="000000"/>
        </w:rPr>
        <w:t>,</w:t>
      </w:r>
      <w:r>
        <w:rPr>
          <w:rFonts w:cs="Arial"/>
          <w:color w:val="000000"/>
        </w:rPr>
        <w:t xml:space="preserve"> selon les modifications législatives en vigueur depuis le 17 novembre 2022</w:t>
      </w:r>
      <w:r>
        <w:rPr>
          <w:rStyle w:val="Appelnotedebasdep"/>
          <w:rFonts w:cs="Arial"/>
          <w:color w:val="000000"/>
        </w:rPr>
        <w:footnoteReference w:id="20"/>
      </w:r>
      <w:r>
        <w:rPr>
          <w:rFonts w:cs="Arial"/>
          <w:color w:val="000000"/>
        </w:rPr>
        <w:t>.</w:t>
      </w:r>
    </w:p>
    <w:p w14:paraId="00C3DD39" w14:textId="77777777" w:rsidR="00A26364" w:rsidRPr="00A26364" w:rsidRDefault="00A56883" w:rsidP="00270428">
      <w:pPr>
        <w:pStyle w:val="Titre2"/>
      </w:pPr>
      <w:r>
        <w:t>FACTEURS ATTÉNUANTS</w:t>
      </w:r>
    </w:p>
    <w:p w14:paraId="750A7EA3" w14:textId="77777777" w:rsidR="00A26364" w:rsidRPr="00A26364" w:rsidRDefault="00A56883" w:rsidP="00EB61D0">
      <w:pPr>
        <w:pStyle w:val="Paragraphe"/>
        <w:tabs>
          <w:tab w:val="clear" w:pos="360"/>
        </w:tabs>
        <w:spacing w:line="240" w:lineRule="auto"/>
      </w:pPr>
      <w:r w:rsidRPr="0085294A">
        <w:rPr>
          <w:rFonts w:cs="Arial"/>
          <w:color w:val="000000"/>
          <w:kern w:val="0"/>
        </w:rPr>
        <w:t>À titre de circonstance atténuante, le Tribunal relève d’abord le plaidoyer de culpabilité</w:t>
      </w:r>
      <w:r>
        <w:rPr>
          <w:rStyle w:val="Appelnotedebasdep"/>
          <w:rFonts w:cs="Arial"/>
          <w:color w:val="000000"/>
          <w:kern w:val="0"/>
        </w:rPr>
        <w:footnoteReference w:id="21"/>
      </w:r>
      <w:r w:rsidRPr="0085294A">
        <w:rPr>
          <w:rFonts w:cs="Arial"/>
          <w:color w:val="000000"/>
          <w:kern w:val="0"/>
        </w:rPr>
        <w:t xml:space="preserve">. </w:t>
      </w:r>
      <w:r>
        <w:rPr>
          <w:rFonts w:cs="Arial"/>
          <w:color w:val="000000"/>
          <w:kern w:val="0"/>
        </w:rPr>
        <w:t xml:space="preserve">La reconnaissance par l’accusé de sa responsabilité est une </w:t>
      </w:r>
      <w:r w:rsidRPr="0085294A">
        <w:rPr>
          <w:rFonts w:cs="Arial"/>
          <w:color w:val="000000"/>
          <w:kern w:val="0"/>
        </w:rPr>
        <w:t>circonstance importante dans la détermination de la peine juste à imposer.</w:t>
      </w:r>
    </w:p>
    <w:p w14:paraId="2EA9367E" w14:textId="77777777" w:rsidR="005B5F7B" w:rsidRDefault="00A56883" w:rsidP="00EB61D0">
      <w:pPr>
        <w:pStyle w:val="Paragraphe"/>
        <w:tabs>
          <w:tab w:val="clear" w:pos="360"/>
        </w:tabs>
        <w:spacing w:line="240" w:lineRule="auto"/>
      </w:pPr>
      <w:r>
        <w:t xml:space="preserve">Le fait que l’accusé soit toxicomane et qu’il s’adonne </w:t>
      </w:r>
      <w:r w:rsidR="00B70D06">
        <w:t xml:space="preserve">au trafic </w:t>
      </w:r>
      <w:r>
        <w:t>pour payer sa consommation peut aussi constituer une circonstance atténuante</w:t>
      </w:r>
      <w:r w:rsidR="00962F7E">
        <w:t>,</w:t>
      </w:r>
      <w:r w:rsidR="00962F7E" w:rsidRPr="00962F7E">
        <w:rPr>
          <w:rFonts w:cs="Arial"/>
          <w:color w:val="000000"/>
        </w:rPr>
        <w:t xml:space="preserve"> </w:t>
      </w:r>
      <w:r w:rsidR="00962F7E">
        <w:rPr>
          <w:rFonts w:cs="Arial"/>
          <w:color w:val="000000"/>
        </w:rPr>
        <w:t>les tribunaux étant plus sévères dans les cas où le trafiquant est sans scrupules et qui, par goût du lucre, contribue à la déchéance du consommateur</w:t>
      </w:r>
      <w:r>
        <w:rPr>
          <w:rStyle w:val="Appelnotedebasdep"/>
        </w:rPr>
        <w:footnoteReference w:id="22"/>
      </w:r>
      <w:r w:rsidR="00B70D06">
        <w:t>.</w:t>
      </w:r>
    </w:p>
    <w:p w14:paraId="2C9C47C8" w14:textId="77777777" w:rsidR="006B44FA" w:rsidRPr="00822ACA" w:rsidRDefault="00A56883" w:rsidP="00EB61D0">
      <w:pPr>
        <w:pStyle w:val="Paragraphe"/>
        <w:tabs>
          <w:tab w:val="clear" w:pos="360"/>
        </w:tabs>
        <w:spacing w:line="240" w:lineRule="auto"/>
      </w:pPr>
      <w:r>
        <w:t>La court</w:t>
      </w:r>
      <w:r w:rsidR="00F619ED">
        <w:t xml:space="preserve">e </w:t>
      </w:r>
      <w:r>
        <w:t xml:space="preserve">période </w:t>
      </w:r>
      <w:r w:rsidR="00F619ED">
        <w:t xml:space="preserve">délictuelle, </w:t>
      </w:r>
      <w:r>
        <w:t>qui s’étale à l’intérieur d’un mois, est aussi à considérer.</w:t>
      </w:r>
      <w:r w:rsidR="00BB2239">
        <w:t xml:space="preserve"> La preuve ne révèle pas </w:t>
      </w:r>
      <w:r w:rsidR="00BB2239">
        <w:rPr>
          <w:rFonts w:cs="Arial"/>
          <w:color w:val="000000"/>
        </w:rPr>
        <w:t>qu’il s’agit d’un choix renouvelé sur une longue périod</w:t>
      </w:r>
      <w:r w:rsidR="00F619ED">
        <w:rPr>
          <w:rFonts w:cs="Arial"/>
          <w:color w:val="000000"/>
        </w:rPr>
        <w:t xml:space="preserve">e </w:t>
      </w:r>
      <w:r w:rsidR="00BB2239">
        <w:rPr>
          <w:rFonts w:cs="Arial"/>
          <w:color w:val="000000"/>
        </w:rPr>
        <w:t>que de tremper dans le milieu du trafic de stupéfiants</w:t>
      </w:r>
      <w:r>
        <w:rPr>
          <w:rStyle w:val="Appelnotedebasdep"/>
          <w:rFonts w:cs="Arial"/>
          <w:color w:val="000000"/>
        </w:rPr>
        <w:footnoteReference w:id="23"/>
      </w:r>
      <w:r w:rsidR="00BB2239">
        <w:rPr>
          <w:rFonts w:cs="Arial"/>
          <w:color w:val="000000"/>
        </w:rPr>
        <w:t>.</w:t>
      </w:r>
    </w:p>
    <w:p w14:paraId="027A8C7E" w14:textId="77777777" w:rsidR="00D7066E" w:rsidRPr="00D7066E" w:rsidRDefault="00A56883" w:rsidP="00270428">
      <w:pPr>
        <w:pStyle w:val="Titre2"/>
      </w:pPr>
      <w:r>
        <w:t>FACTEURS</w:t>
      </w:r>
      <w:r w:rsidRPr="00D7066E">
        <w:t xml:space="preserve"> AGGRAVANTS</w:t>
      </w:r>
      <w:r>
        <w:t xml:space="preserve"> et PERTINENTS </w:t>
      </w:r>
    </w:p>
    <w:p w14:paraId="326C602B" w14:textId="77777777" w:rsidR="00BB2239" w:rsidRPr="00BB2239" w:rsidRDefault="00A56883" w:rsidP="00EB61D0">
      <w:pPr>
        <w:pStyle w:val="Paragraphe"/>
        <w:tabs>
          <w:tab w:val="clear" w:pos="360"/>
        </w:tabs>
        <w:spacing w:line="240" w:lineRule="auto"/>
      </w:pPr>
      <w:r>
        <w:t xml:space="preserve">Les antécédents judiciaires de l’accusé sont nombreux, celui-ci entretenant une criminalité polymorphe depuis plus de quarante ans. </w:t>
      </w:r>
      <w:r w:rsidR="00A528E6">
        <w:t>Il a d</w:t>
      </w:r>
      <w:r>
        <w:t xml:space="preserve">eux antécédents en matière de stupéfiants, dont un </w:t>
      </w:r>
      <w:r w:rsidR="00BA5B8E">
        <w:t xml:space="preserve">en 2009 </w:t>
      </w:r>
      <w:r>
        <w:t xml:space="preserve">pour lequel </w:t>
      </w:r>
      <w:r w:rsidR="00A528E6">
        <w:t xml:space="preserve">il </w:t>
      </w:r>
      <w:r>
        <w:t>est condamné à une peine de détention</w:t>
      </w:r>
      <w:r w:rsidR="00A528E6">
        <w:t xml:space="preserve"> de 9 mois. Force est de constater que les peines imposées </w:t>
      </w:r>
      <w:r w:rsidR="00D766DA">
        <w:t xml:space="preserve">jusqu’à maintenant </w:t>
      </w:r>
      <w:r w:rsidR="00A528E6">
        <w:t>n’ont pas eu l’effet dissuasif escompté.</w:t>
      </w:r>
      <w:r>
        <w:t xml:space="preserve"> </w:t>
      </w:r>
    </w:p>
    <w:p w14:paraId="02B2136A" w14:textId="77777777" w:rsidR="00A26364" w:rsidRPr="00D7066E" w:rsidRDefault="00A56883" w:rsidP="00EB61D0">
      <w:pPr>
        <w:pStyle w:val="Paragraphe"/>
        <w:tabs>
          <w:tab w:val="clear" w:pos="360"/>
        </w:tabs>
        <w:spacing w:line="240" w:lineRule="auto"/>
      </w:pPr>
      <w:r>
        <w:rPr>
          <w:rFonts w:cs="Arial"/>
          <w:color w:val="000000"/>
        </w:rPr>
        <w:t>L</w:t>
      </w:r>
      <w:r w:rsidR="00D86CC3">
        <w:rPr>
          <w:rFonts w:cs="Arial"/>
          <w:color w:val="000000"/>
        </w:rPr>
        <w:t>a nature des drogues saisies et tra</w:t>
      </w:r>
      <w:r w:rsidR="006C3BC7">
        <w:rPr>
          <w:rFonts w:cs="Arial"/>
          <w:color w:val="000000"/>
        </w:rPr>
        <w:t>fiqu</w:t>
      </w:r>
      <w:r w:rsidR="00D86CC3">
        <w:rPr>
          <w:rFonts w:cs="Arial"/>
          <w:color w:val="000000"/>
        </w:rPr>
        <w:t>ées</w:t>
      </w:r>
      <w:r w:rsidR="006C3BC7">
        <w:rPr>
          <w:rFonts w:cs="Arial"/>
          <w:color w:val="000000"/>
        </w:rPr>
        <w:t xml:space="preserve"> doit être considérée : d</w:t>
      </w:r>
      <w:r>
        <w:rPr>
          <w:rFonts w:cs="Arial"/>
          <w:color w:val="000000"/>
        </w:rPr>
        <w:t>es drogues dures illicites comme la cocaïne constituent un problème grave dans notre société; elles alimentent le crime organisé et elles détruisent des vies</w:t>
      </w:r>
      <w:r>
        <w:rPr>
          <w:rStyle w:val="Appelnotedebasdep"/>
          <w:rFonts w:cs="Arial"/>
          <w:color w:val="000000"/>
        </w:rPr>
        <w:footnoteReference w:id="24"/>
      </w:r>
      <w:r w:rsidR="005B5F7B">
        <w:rPr>
          <w:rFonts w:cs="Arial"/>
          <w:color w:val="000000"/>
        </w:rPr>
        <w:t>.</w:t>
      </w:r>
    </w:p>
    <w:p w14:paraId="049F800F" w14:textId="77777777" w:rsidR="00D7066E" w:rsidRPr="00823BE3" w:rsidRDefault="00A56883" w:rsidP="00EB61D0">
      <w:pPr>
        <w:pStyle w:val="Paragraphe"/>
        <w:tabs>
          <w:tab w:val="clear" w:pos="360"/>
        </w:tabs>
        <w:spacing w:line="240" w:lineRule="auto"/>
      </w:pPr>
      <w:r>
        <w:rPr>
          <w:rFonts w:cs="Arial"/>
          <w:color w:val="000000"/>
        </w:rPr>
        <w:t>L’agent de probation estime que la persistance de la délinquance de l’accusé, malgré son avancement en âge, est un facteur du risque de récidive élevé qu’il présente à moyen terme et invite à la prudence en ce qui a trait au potentiel de réinsertion estimé</w:t>
      </w:r>
      <w:r>
        <w:rPr>
          <w:rStyle w:val="Appelnotedebasdep"/>
          <w:rFonts w:cs="Arial"/>
          <w:color w:val="000000"/>
        </w:rPr>
        <w:footnoteReference w:id="25"/>
      </w:r>
      <w:r>
        <w:rPr>
          <w:rFonts w:cs="Arial"/>
          <w:color w:val="000000"/>
        </w:rPr>
        <w:t>.</w:t>
      </w:r>
    </w:p>
    <w:p w14:paraId="76007BEA" w14:textId="77777777" w:rsidR="00816E1D" w:rsidRPr="00BA5B8E" w:rsidRDefault="00A56883" w:rsidP="00EB61D0">
      <w:pPr>
        <w:pStyle w:val="Paragraphe"/>
        <w:tabs>
          <w:tab w:val="clear" w:pos="360"/>
        </w:tabs>
        <w:spacing w:line="240" w:lineRule="auto"/>
      </w:pPr>
      <w:r>
        <w:rPr>
          <w:rFonts w:cs="Arial"/>
          <w:color w:val="000000"/>
        </w:rPr>
        <w:t>Le niveau de participation d’un accusé est un facteur pertinent dans la détermination de son degré de responsabilité et, par conséquent, de la peine</w:t>
      </w:r>
      <w:r>
        <w:rPr>
          <w:rStyle w:val="Appelnotedebasdep"/>
          <w:rFonts w:cs="Arial"/>
          <w:color w:val="000000"/>
        </w:rPr>
        <w:footnoteReference w:id="26"/>
      </w:r>
      <w:r>
        <w:rPr>
          <w:rFonts w:cs="Arial"/>
          <w:color w:val="000000"/>
        </w:rPr>
        <w:t>. Cette responsabilité ne doit pas être confondue avec le rôle joué par l’accusé</w:t>
      </w:r>
      <w:r>
        <w:rPr>
          <w:rStyle w:val="Appelnotedebasdep"/>
          <w:rFonts w:cs="Arial"/>
          <w:color w:val="000000"/>
        </w:rPr>
        <w:footnoteReference w:id="27"/>
      </w:r>
      <w:r>
        <w:rPr>
          <w:rFonts w:cs="Arial"/>
          <w:color w:val="000000"/>
        </w:rPr>
        <w:t xml:space="preserve">. En l’espèce, </w:t>
      </w:r>
      <w:r w:rsidR="006B7E95">
        <w:rPr>
          <w:rFonts w:cs="Arial"/>
          <w:color w:val="000000"/>
        </w:rPr>
        <w:t xml:space="preserve">si </w:t>
      </w:r>
      <w:r>
        <w:rPr>
          <w:rFonts w:cs="Arial"/>
          <w:color w:val="000000"/>
        </w:rPr>
        <w:t xml:space="preserve">la preuve ne permet pas d’établir que l’accusé </w:t>
      </w:r>
      <w:r w:rsidR="006B7E95">
        <w:rPr>
          <w:rFonts w:cs="Arial"/>
          <w:color w:val="000000"/>
        </w:rPr>
        <w:t>joue</w:t>
      </w:r>
      <w:r>
        <w:rPr>
          <w:rFonts w:cs="Arial"/>
          <w:color w:val="000000"/>
        </w:rPr>
        <w:t xml:space="preserve"> un rôle plus élevé que simple revendeur</w:t>
      </w:r>
      <w:r w:rsidR="006B7E95">
        <w:rPr>
          <w:rFonts w:cs="Arial"/>
          <w:color w:val="000000"/>
        </w:rPr>
        <w:t>, sa responsabilité à ce titre est entière.</w:t>
      </w:r>
    </w:p>
    <w:p w14:paraId="0B9EC73F" w14:textId="77777777" w:rsidR="006B7E95" w:rsidRDefault="00A56883" w:rsidP="00EB61D0">
      <w:pPr>
        <w:pStyle w:val="Paragraphe"/>
        <w:tabs>
          <w:tab w:val="clear" w:pos="360"/>
        </w:tabs>
        <w:spacing w:line="240" w:lineRule="auto"/>
      </w:pPr>
      <w:r>
        <w:t>Le rapport présentenciel établi</w:t>
      </w:r>
      <w:r w:rsidR="00D766DA">
        <w:t>t</w:t>
      </w:r>
      <w:r>
        <w:t xml:space="preserve"> un portrait plutôt sombre de l’accusé. Bien que ses projets de réinsertion soient louables et qu’ils cernent ses besoins, </w:t>
      </w:r>
      <w:r w:rsidR="00D766DA">
        <w:t>ceux-ci</w:t>
      </w:r>
      <w:r>
        <w:t xml:space="preserve"> demeurent dans l’abstrait à l’heure actuelle, en partie dû au fait que l’accusé est détenu depuis son arrestation</w:t>
      </w:r>
      <w:r w:rsidR="00870ECB">
        <w:t>, n’ayant pu bénéficier d’une liberté provisoire.</w:t>
      </w:r>
    </w:p>
    <w:p w14:paraId="654E8132" w14:textId="77777777" w:rsidR="006B7E95" w:rsidRDefault="00A56883" w:rsidP="00EB61D0">
      <w:pPr>
        <w:pStyle w:val="Paragraphe"/>
        <w:tabs>
          <w:tab w:val="clear" w:pos="360"/>
        </w:tabs>
        <w:spacing w:line="240" w:lineRule="auto"/>
      </w:pPr>
      <w:r>
        <w:t xml:space="preserve">Bien </w:t>
      </w:r>
      <w:r w:rsidRPr="00A26364">
        <w:t>que la réhabilitation n’ait pas à être acquise au moment de la détermination</w:t>
      </w:r>
      <w:r>
        <w:t xml:space="preserve"> </w:t>
      </w:r>
      <w:r w:rsidRPr="00A26364">
        <w:t>de la peine, elle doit être probante</w:t>
      </w:r>
      <w:r>
        <w:rPr>
          <w:rStyle w:val="Appelnotedebasdep"/>
        </w:rPr>
        <w:footnoteReference w:id="28"/>
      </w:r>
      <w:r>
        <w:t>.</w:t>
      </w:r>
      <w:r w:rsidRPr="00A26364">
        <w:t xml:space="preserve"> Ce fait revêt toutefois moins d’importance lorsqu’un accusé participe au trafic d’une drogue dure</w:t>
      </w:r>
      <w:r>
        <w:rPr>
          <w:rStyle w:val="Appelnotedebasdep"/>
        </w:rPr>
        <w:footnoteReference w:id="29"/>
      </w:r>
      <w:r>
        <w:t>, comme en l’espèce.</w:t>
      </w:r>
    </w:p>
    <w:p w14:paraId="0FBF35AE" w14:textId="77777777" w:rsidR="006B7E95" w:rsidRPr="006B7E95" w:rsidRDefault="00A56883" w:rsidP="00EB61D0">
      <w:pPr>
        <w:pStyle w:val="Paragraphe"/>
        <w:tabs>
          <w:tab w:val="clear" w:pos="360"/>
        </w:tabs>
        <w:spacing w:line="240" w:lineRule="auto"/>
      </w:pPr>
      <w:r>
        <w:rPr>
          <w:rFonts w:cs="Arial"/>
          <w:color w:val="000000"/>
        </w:rPr>
        <w:t>Si la présence de circonstances exceptionnelles n’est pas requise pour justifier de s’écarter des peines usuellement imposées en semblable matière</w:t>
      </w:r>
      <w:r>
        <w:rPr>
          <w:rStyle w:val="Appelnotedebasdep"/>
          <w:rFonts w:cs="Arial"/>
          <w:color w:val="000000"/>
        </w:rPr>
        <w:footnoteReference w:id="30"/>
      </w:r>
      <w:r>
        <w:rPr>
          <w:rFonts w:cs="Arial"/>
          <w:color w:val="000000"/>
        </w:rPr>
        <w:t>, encore faut-il que des éléments positifs significatifs le permettent.</w:t>
      </w:r>
    </w:p>
    <w:p w14:paraId="357B17DF" w14:textId="77777777" w:rsidR="006B7E95" w:rsidRPr="00071DB0" w:rsidRDefault="00A56883" w:rsidP="006B7E95">
      <w:pPr>
        <w:pStyle w:val="Paragraphe"/>
        <w:tabs>
          <w:tab w:val="clear" w:pos="360"/>
        </w:tabs>
        <w:spacing w:line="240" w:lineRule="auto"/>
      </w:pPr>
      <w:r>
        <w:rPr>
          <w:rFonts w:cs="Arial"/>
          <w:color w:val="000000"/>
        </w:rPr>
        <w:t>Le fait que l’accusé ne se soit jamais investi dans une thérapie pour régler sa problématique de conso</w:t>
      </w:r>
      <w:r w:rsidR="00870ECB">
        <w:rPr>
          <w:rFonts w:cs="Arial"/>
          <w:color w:val="000000"/>
        </w:rPr>
        <w:t xml:space="preserve">mmation démontre une attitude laxiste de sa part, </w:t>
      </w:r>
      <w:r w:rsidR="00816E1D">
        <w:rPr>
          <w:rFonts w:cs="Arial"/>
          <w:color w:val="000000"/>
        </w:rPr>
        <w:t>entretenant toute sa vie cette accoutumance et ses conséquences</w:t>
      </w:r>
      <w:r w:rsidR="00613792">
        <w:rPr>
          <w:rFonts w:cs="Arial"/>
          <w:color w:val="000000"/>
        </w:rPr>
        <w:t xml:space="preserve"> récurrentes</w:t>
      </w:r>
      <w:r w:rsidR="00816E1D">
        <w:rPr>
          <w:rFonts w:cs="Arial"/>
          <w:color w:val="000000"/>
        </w:rPr>
        <w:t>, sans jamais se mettre en action pour y mettre un terme.</w:t>
      </w:r>
    </w:p>
    <w:p w14:paraId="4E4FA0AD" w14:textId="77777777" w:rsidR="00613792" w:rsidRPr="0045748D" w:rsidRDefault="00A56883" w:rsidP="00DD31C1">
      <w:pPr>
        <w:pStyle w:val="Paragraphe"/>
        <w:spacing w:line="240" w:lineRule="auto"/>
      </w:pPr>
      <w:r>
        <w:rPr>
          <w:rFonts w:cs="Arial"/>
          <w:color w:val="000000"/>
        </w:rPr>
        <w:t>L</w:t>
      </w:r>
      <w:r w:rsidR="00816E1D">
        <w:rPr>
          <w:rFonts w:cs="Arial"/>
          <w:color w:val="000000"/>
        </w:rPr>
        <w:t xml:space="preserve">e caractère </w:t>
      </w:r>
      <w:r>
        <w:rPr>
          <w:rFonts w:cs="Arial"/>
          <w:color w:val="000000"/>
        </w:rPr>
        <w:t xml:space="preserve">théorique </w:t>
      </w:r>
      <w:r w:rsidR="00816E1D">
        <w:rPr>
          <w:rFonts w:cs="Arial"/>
          <w:color w:val="000000"/>
        </w:rPr>
        <w:t>du projet de réinsertion de l’accusé</w:t>
      </w:r>
      <w:r>
        <w:rPr>
          <w:rFonts w:cs="Arial"/>
          <w:color w:val="000000"/>
        </w:rPr>
        <w:t>, juxtaposé aux nombreux facteurs aggravants,</w:t>
      </w:r>
      <w:r w:rsidR="00816E1D">
        <w:rPr>
          <w:rFonts w:cs="Arial"/>
          <w:color w:val="000000"/>
        </w:rPr>
        <w:t xml:space="preserve"> ne permet</w:t>
      </w:r>
      <w:r>
        <w:rPr>
          <w:rFonts w:cs="Arial"/>
          <w:color w:val="000000"/>
        </w:rPr>
        <w:t>tent</w:t>
      </w:r>
      <w:r w:rsidR="00816E1D">
        <w:rPr>
          <w:rFonts w:cs="Arial"/>
          <w:color w:val="000000"/>
        </w:rPr>
        <w:t xml:space="preserve"> pas d’occulter l’objectif de dénonciation et de dissuasion dont le Tribunal doit tenir compte dans le processus d’imposition de la peine.</w:t>
      </w:r>
      <w:r>
        <w:rPr>
          <w:rFonts w:cs="Arial"/>
          <w:color w:val="000000"/>
        </w:rPr>
        <w:t xml:space="preserve"> Quiconque serait tenté d’adopter les comportements de l’accusé doit saisir l’ampleur des conséquences auxquelles il doit faire face.</w:t>
      </w:r>
    </w:p>
    <w:p w14:paraId="5FD3DE71" w14:textId="77777777" w:rsidR="0045748D" w:rsidRPr="0045748D" w:rsidRDefault="00A56883" w:rsidP="0045748D">
      <w:pPr>
        <w:pStyle w:val="Paragraphe"/>
        <w:numPr>
          <w:ilvl w:val="0"/>
          <w:numId w:val="0"/>
        </w:numPr>
        <w:spacing w:line="240" w:lineRule="auto"/>
        <w:rPr>
          <w:b/>
          <w:bCs/>
        </w:rPr>
      </w:pPr>
      <w:r w:rsidRPr="0045748D">
        <w:rPr>
          <w:rFonts w:cs="Arial"/>
          <w:b/>
          <w:bCs/>
          <w:color w:val="000000"/>
        </w:rPr>
        <w:t>POUR CES MOTIFS, LE TRIBUNAL :</w:t>
      </w:r>
    </w:p>
    <w:p w14:paraId="5E098DD5" w14:textId="77777777" w:rsidR="008B7E4B" w:rsidRDefault="00A56883" w:rsidP="00A26364">
      <w:pPr>
        <w:pStyle w:val="Paragraphe"/>
        <w:spacing w:line="240" w:lineRule="auto"/>
      </w:pPr>
      <w:r>
        <w:t xml:space="preserve">Dans le dossier </w:t>
      </w:r>
      <w:r w:rsidRPr="008B7E4B">
        <w:rPr>
          <w:b/>
          <w:bCs/>
        </w:rPr>
        <w:t>400-01-102440-229</w:t>
      </w:r>
      <w:r>
        <w:t> :</w:t>
      </w:r>
    </w:p>
    <w:p w14:paraId="2F931D17" w14:textId="77777777" w:rsidR="008B7E4B" w:rsidRDefault="00A56883" w:rsidP="00A26364">
      <w:pPr>
        <w:pStyle w:val="Paragraphe"/>
        <w:spacing w:line="240" w:lineRule="auto"/>
      </w:pPr>
      <w:r w:rsidRPr="008B7E4B">
        <w:rPr>
          <w:b/>
          <w:bCs/>
        </w:rPr>
        <w:t>IMPOSE</w:t>
      </w:r>
      <w:r>
        <w:t xml:space="preserve"> une peine de 18 mois d’emprisonnement sur le chef 1, de laquelle est retranchée la détention provisoire de 9 mois et 9 jours, la peine étant de 8 mois et 21 jours à compter d’aujourd’hui;</w:t>
      </w:r>
    </w:p>
    <w:p w14:paraId="39CFC6BC" w14:textId="77777777" w:rsidR="008B7E4B" w:rsidRPr="008B7E4B" w:rsidRDefault="00A56883" w:rsidP="00A26364">
      <w:pPr>
        <w:pStyle w:val="Paragraphe"/>
        <w:spacing w:line="240" w:lineRule="auto"/>
      </w:pPr>
      <w:r>
        <w:rPr>
          <w:b/>
          <w:bCs/>
        </w:rPr>
        <w:t>IMPOSE</w:t>
      </w:r>
      <w:r w:rsidR="00846434">
        <w:rPr>
          <w:b/>
          <w:bCs/>
        </w:rPr>
        <w:t xml:space="preserve"> </w:t>
      </w:r>
      <w:r w:rsidR="00846434" w:rsidRPr="00846434">
        <w:t>une peine de 8 mois sur le chef 2;</w:t>
      </w:r>
    </w:p>
    <w:p w14:paraId="7307E9CB" w14:textId="77777777" w:rsidR="0045748D" w:rsidRPr="0045748D" w:rsidRDefault="00A56883" w:rsidP="00A26364">
      <w:pPr>
        <w:pStyle w:val="Paragraphe"/>
        <w:spacing w:line="240" w:lineRule="auto"/>
      </w:pPr>
      <w:r>
        <w:rPr>
          <w:rFonts w:cs="Arial"/>
          <w:color w:val="000000"/>
        </w:rPr>
        <w:t xml:space="preserve">Dans le dossier </w:t>
      </w:r>
      <w:r w:rsidRPr="0045748D">
        <w:rPr>
          <w:rFonts w:cs="Arial"/>
          <w:b/>
          <w:bCs/>
          <w:color w:val="000000"/>
        </w:rPr>
        <w:t>400-01-102532-223</w:t>
      </w:r>
      <w:r>
        <w:rPr>
          <w:rFonts w:cs="Arial"/>
          <w:color w:val="000000"/>
        </w:rPr>
        <w:t> :</w:t>
      </w:r>
    </w:p>
    <w:p w14:paraId="11A1063D" w14:textId="77777777" w:rsidR="0045748D" w:rsidRPr="0045748D" w:rsidRDefault="00A56883" w:rsidP="00A26364">
      <w:pPr>
        <w:pStyle w:val="Paragraphe"/>
        <w:spacing w:line="240" w:lineRule="auto"/>
      </w:pPr>
      <w:r w:rsidRPr="0045748D">
        <w:rPr>
          <w:rFonts w:cs="Arial"/>
          <w:b/>
          <w:bCs/>
          <w:color w:val="000000"/>
        </w:rPr>
        <w:t>IMPOSE</w:t>
      </w:r>
      <w:r>
        <w:rPr>
          <w:rFonts w:cs="Arial"/>
          <w:color w:val="000000"/>
        </w:rPr>
        <w:t xml:space="preserve"> une peine de 18 mois d’emprisonnement sur le chef </w:t>
      </w:r>
      <w:r w:rsidR="00540340">
        <w:rPr>
          <w:rFonts w:cs="Arial"/>
          <w:color w:val="000000"/>
        </w:rPr>
        <w:t>1, d</w:t>
      </w:r>
      <w:r w:rsidR="00214380">
        <w:rPr>
          <w:rFonts w:cs="Arial"/>
          <w:color w:val="000000"/>
        </w:rPr>
        <w:t>e laquelle</w:t>
      </w:r>
      <w:r w:rsidR="00540340">
        <w:rPr>
          <w:rFonts w:cs="Arial"/>
          <w:color w:val="000000"/>
        </w:rPr>
        <w:t xml:space="preserve"> est retranchée la dé</w:t>
      </w:r>
      <w:r w:rsidR="00214380">
        <w:rPr>
          <w:rFonts w:cs="Arial"/>
          <w:color w:val="000000"/>
        </w:rPr>
        <w:t>tention provisoire de 9 mois et 9 jours, la peine étant de 8 mois et 21 jours à compter d’aujourd’hui</w:t>
      </w:r>
      <w:r>
        <w:rPr>
          <w:rFonts w:cs="Arial"/>
          <w:color w:val="000000"/>
        </w:rPr>
        <w:t>;</w:t>
      </w:r>
    </w:p>
    <w:p w14:paraId="6978FE71" w14:textId="77777777" w:rsidR="0045748D" w:rsidRDefault="00A56883" w:rsidP="00CE7046">
      <w:pPr>
        <w:pStyle w:val="Paragraphe"/>
        <w:spacing w:line="240" w:lineRule="auto"/>
      </w:pPr>
      <w:r w:rsidRPr="0045748D">
        <w:rPr>
          <w:rFonts w:cs="Arial"/>
          <w:b/>
          <w:bCs/>
          <w:color w:val="000000"/>
        </w:rPr>
        <w:t>IMPOSE</w:t>
      </w:r>
      <w:r>
        <w:rPr>
          <w:rFonts w:cs="Arial"/>
          <w:color w:val="000000"/>
        </w:rPr>
        <w:t xml:space="preserve"> une peine de </w:t>
      </w:r>
      <w:r w:rsidR="004721B2">
        <w:rPr>
          <w:rFonts w:cs="Arial"/>
          <w:color w:val="000000"/>
        </w:rPr>
        <w:t>8</w:t>
      </w:r>
      <w:r>
        <w:rPr>
          <w:rFonts w:cs="Arial"/>
          <w:color w:val="000000"/>
        </w:rPr>
        <w:t xml:space="preserve"> mois d’emprisonnement sur le chef 2;</w:t>
      </w:r>
    </w:p>
    <w:p w14:paraId="61C61C4D" w14:textId="77777777" w:rsidR="0045748D" w:rsidRDefault="00A56883" w:rsidP="00A26364">
      <w:pPr>
        <w:pStyle w:val="Paragraphe"/>
        <w:spacing w:line="240" w:lineRule="auto"/>
      </w:pPr>
      <w:r>
        <w:t xml:space="preserve">Dans le dossier </w:t>
      </w:r>
      <w:r w:rsidRPr="0045748D">
        <w:rPr>
          <w:b/>
          <w:bCs/>
        </w:rPr>
        <w:t>400-01-102534-229</w:t>
      </w:r>
      <w:r>
        <w:t> :</w:t>
      </w:r>
    </w:p>
    <w:p w14:paraId="08389B5B" w14:textId="77777777" w:rsidR="0045748D" w:rsidRDefault="00A56883" w:rsidP="00A26364">
      <w:pPr>
        <w:pStyle w:val="Paragraphe"/>
        <w:spacing w:line="240" w:lineRule="auto"/>
      </w:pPr>
      <w:r w:rsidRPr="0045748D">
        <w:rPr>
          <w:b/>
          <w:bCs/>
        </w:rPr>
        <w:t>IMPOSE</w:t>
      </w:r>
      <w:r>
        <w:t xml:space="preserve"> une peine de 6 mois sur le chef 1;</w:t>
      </w:r>
    </w:p>
    <w:p w14:paraId="7EAC9C51" w14:textId="77777777" w:rsidR="00846434" w:rsidRPr="00846434" w:rsidRDefault="00A56883" w:rsidP="00A26364">
      <w:pPr>
        <w:pStyle w:val="Paragraphe"/>
        <w:spacing w:line="240" w:lineRule="auto"/>
      </w:pPr>
      <w:r w:rsidRPr="00846434">
        <w:t>Dans le dossier</w:t>
      </w:r>
      <w:r>
        <w:rPr>
          <w:b/>
          <w:bCs/>
        </w:rPr>
        <w:t xml:space="preserve"> 400-01-102533-221 :</w:t>
      </w:r>
    </w:p>
    <w:p w14:paraId="3EF5BA59" w14:textId="77777777" w:rsidR="00846434" w:rsidRDefault="00A56883" w:rsidP="00A26364">
      <w:pPr>
        <w:pStyle w:val="Paragraphe"/>
        <w:spacing w:line="240" w:lineRule="auto"/>
      </w:pPr>
      <w:r>
        <w:rPr>
          <w:b/>
          <w:bCs/>
        </w:rPr>
        <w:t xml:space="preserve">IMPOSE </w:t>
      </w:r>
      <w:r w:rsidRPr="00846434">
        <w:t>une peine de 6 mois sur le chef 2</w:t>
      </w:r>
      <w:r>
        <w:rPr>
          <w:b/>
          <w:bCs/>
        </w:rPr>
        <w:t>;</w:t>
      </w:r>
    </w:p>
    <w:p w14:paraId="73FAC9F6" w14:textId="77777777" w:rsidR="00540340" w:rsidRDefault="00A56883" w:rsidP="00A26364">
      <w:pPr>
        <w:pStyle w:val="Paragraphe"/>
        <w:spacing w:line="240" w:lineRule="auto"/>
      </w:pPr>
      <w:r>
        <w:rPr>
          <w:b/>
          <w:bCs/>
        </w:rPr>
        <w:t>ORDONNE</w:t>
      </w:r>
      <w:r>
        <w:t xml:space="preserve"> que toutes les peines soient purgées de façon concurrentes entre elles.</w:t>
      </w:r>
    </w:p>
    <w:p w14:paraId="7722D634" w14:textId="77777777" w:rsidR="0045748D" w:rsidRDefault="00A56883" w:rsidP="0045748D">
      <w:pPr>
        <w:pStyle w:val="Paragraphe"/>
        <w:numPr>
          <w:ilvl w:val="0"/>
          <w:numId w:val="1"/>
        </w:numPr>
        <w:tabs>
          <w:tab w:val="clear" w:pos="360"/>
        </w:tabs>
        <w:spacing w:line="240" w:lineRule="auto"/>
      </w:pPr>
      <w:r w:rsidRPr="00410B99">
        <w:rPr>
          <w:b/>
        </w:rPr>
        <w:t>ORDONNE</w:t>
      </w:r>
      <w:r>
        <w:t xml:space="preserve">, </w:t>
      </w:r>
      <w:r w:rsidR="00846434">
        <w:t xml:space="preserve">dans les dossiers </w:t>
      </w:r>
      <w:r w:rsidR="00846434" w:rsidRPr="00F2540C">
        <w:rPr>
          <w:b/>
          <w:bCs/>
        </w:rPr>
        <w:t>400-01-102532-223</w:t>
      </w:r>
      <w:r w:rsidR="00846434">
        <w:t xml:space="preserve"> et </w:t>
      </w:r>
      <w:r w:rsidR="00846434" w:rsidRPr="00F2540C">
        <w:rPr>
          <w:b/>
          <w:bCs/>
        </w:rPr>
        <w:t>400-01-102440-229</w:t>
      </w:r>
      <w:r w:rsidR="00846434">
        <w:t xml:space="preserve">, sur tous les chefs </w:t>
      </w:r>
      <w:r>
        <w:t xml:space="preserve">conformément à l’article </w:t>
      </w:r>
      <w:r w:rsidRPr="00214380">
        <w:rPr>
          <w:b/>
          <w:bCs/>
        </w:rPr>
        <w:t xml:space="preserve">109 </w:t>
      </w:r>
      <w:r w:rsidRPr="00214380">
        <w:rPr>
          <w:b/>
          <w:bCs/>
          <w:i/>
        </w:rPr>
        <w:t>C.cr</w:t>
      </w:r>
      <w:r w:rsidRPr="00214380">
        <w:rPr>
          <w:b/>
          <w:bCs/>
        </w:rPr>
        <w:t>.</w:t>
      </w:r>
      <w:r>
        <w:t xml:space="preserve">, qu’il soit interdit à l’accusé d’avoir en sa possession des armes à feu, arbalètes, armes à autorisation restreinte, munitions et substances explosives pour une période de </w:t>
      </w:r>
      <w:r w:rsidRPr="00E633C0">
        <w:rPr>
          <w:b/>
          <w:bCs/>
        </w:rPr>
        <w:t>10 ans</w:t>
      </w:r>
      <w:r>
        <w:t xml:space="preserve"> et des armes à feu à autorisation restreinte, armes prohibées, dispositifs prohibés et munitions prohibées à perpétuité.</w:t>
      </w:r>
    </w:p>
    <w:p w14:paraId="0E808234" w14:textId="77777777" w:rsidR="00540340" w:rsidRPr="00540340" w:rsidRDefault="00A56883" w:rsidP="00540340">
      <w:pPr>
        <w:numPr>
          <w:ilvl w:val="0"/>
          <w:numId w:val="1"/>
        </w:numPr>
        <w:spacing w:before="120" w:after="120"/>
        <w:jc w:val="both"/>
        <w:rPr>
          <w:kern w:val="28"/>
          <w:szCs w:val="24"/>
        </w:rPr>
      </w:pPr>
      <w:r>
        <w:rPr>
          <w:rFonts w:cs="Arial"/>
          <w:b/>
          <w:color w:val="000000"/>
        </w:rPr>
        <w:t xml:space="preserve">ORDONNE </w:t>
      </w:r>
      <w:r>
        <w:rPr>
          <w:rFonts w:cs="Arial"/>
          <w:bCs/>
          <w:color w:val="000000"/>
        </w:rPr>
        <w:t xml:space="preserve">qu’au terme de sa détention, l’accusé soit soumis à </w:t>
      </w:r>
      <w:r w:rsidRPr="00540340">
        <w:rPr>
          <w:rFonts w:cs="Arial"/>
          <w:color w:val="000000"/>
        </w:rPr>
        <w:t xml:space="preserve">une ordonnance de probation d’une durée de </w:t>
      </w:r>
      <w:r>
        <w:rPr>
          <w:rFonts w:cs="Arial"/>
          <w:b/>
          <w:color w:val="000000"/>
        </w:rPr>
        <w:t>2 ans</w:t>
      </w:r>
      <w:r>
        <w:rPr>
          <w:rFonts w:cs="Arial"/>
          <w:color w:val="000000"/>
        </w:rPr>
        <w:t xml:space="preserve">, </w:t>
      </w:r>
      <w:r w:rsidRPr="00540340">
        <w:rPr>
          <w:rFonts w:cs="Arial"/>
          <w:color w:val="000000"/>
        </w:rPr>
        <w:t>aux co</w:t>
      </w:r>
      <w:r>
        <w:rPr>
          <w:rFonts w:cs="Arial"/>
          <w:color w:val="000000"/>
        </w:rPr>
        <w:t xml:space="preserve">nditions </w:t>
      </w:r>
      <w:r w:rsidRPr="00540340">
        <w:rPr>
          <w:rFonts w:cs="Arial"/>
          <w:color w:val="000000"/>
        </w:rPr>
        <w:t>suivantes :</w:t>
      </w:r>
    </w:p>
    <w:p w14:paraId="730FBB5C" w14:textId="77777777" w:rsidR="00846434" w:rsidRPr="00540340" w:rsidRDefault="00A56883" w:rsidP="00846434">
      <w:pPr>
        <w:numPr>
          <w:ilvl w:val="0"/>
          <w:numId w:val="15"/>
        </w:numPr>
        <w:spacing w:before="120" w:after="120"/>
        <w:jc w:val="both"/>
        <w:rPr>
          <w:kern w:val="28"/>
          <w:szCs w:val="24"/>
        </w:rPr>
      </w:pPr>
      <w:r w:rsidRPr="00540340">
        <w:rPr>
          <w:kern w:val="28"/>
          <w:szCs w:val="24"/>
        </w:rPr>
        <w:t>Ne pas troubler l’ordre public et observer une bonne conduite;</w:t>
      </w:r>
    </w:p>
    <w:p w14:paraId="3D93BAA6" w14:textId="77777777" w:rsidR="00846434" w:rsidRPr="00540340" w:rsidRDefault="00A56883" w:rsidP="00846434">
      <w:pPr>
        <w:numPr>
          <w:ilvl w:val="0"/>
          <w:numId w:val="15"/>
        </w:numPr>
        <w:spacing w:before="120" w:after="120"/>
        <w:jc w:val="both"/>
        <w:rPr>
          <w:kern w:val="28"/>
          <w:szCs w:val="24"/>
        </w:rPr>
      </w:pPr>
      <w:r>
        <w:rPr>
          <w:kern w:val="28"/>
          <w:szCs w:val="24"/>
        </w:rPr>
        <w:t>Prévenir le tribunal ou l’agent de probation de ses changements d’adresse</w:t>
      </w:r>
      <w:r w:rsidRPr="00540340">
        <w:rPr>
          <w:kern w:val="28"/>
          <w:szCs w:val="24"/>
        </w:rPr>
        <w:t>;</w:t>
      </w:r>
    </w:p>
    <w:p w14:paraId="676C4074" w14:textId="77777777" w:rsidR="00846434" w:rsidRDefault="00A56883" w:rsidP="00846434">
      <w:pPr>
        <w:numPr>
          <w:ilvl w:val="0"/>
          <w:numId w:val="15"/>
        </w:numPr>
        <w:spacing w:before="120" w:after="120"/>
        <w:jc w:val="both"/>
        <w:rPr>
          <w:kern w:val="28"/>
          <w:szCs w:val="24"/>
        </w:rPr>
      </w:pPr>
      <w:r w:rsidRPr="00540340">
        <w:rPr>
          <w:kern w:val="28"/>
          <w:szCs w:val="24"/>
        </w:rPr>
        <w:t>Répondre aux convocations du Tribunal;</w:t>
      </w:r>
    </w:p>
    <w:p w14:paraId="3EF18D4A" w14:textId="77777777" w:rsidR="00846434" w:rsidRDefault="00A56883" w:rsidP="00846434">
      <w:pPr>
        <w:numPr>
          <w:ilvl w:val="0"/>
          <w:numId w:val="15"/>
        </w:numPr>
        <w:spacing w:before="120" w:after="120"/>
        <w:jc w:val="both"/>
        <w:rPr>
          <w:kern w:val="28"/>
          <w:szCs w:val="24"/>
        </w:rPr>
      </w:pPr>
      <w:r>
        <w:rPr>
          <w:kern w:val="28"/>
          <w:szCs w:val="24"/>
        </w:rPr>
        <w:t>Se présenter à un agent de probation dans les deux jours ouvrables suivant l’entrée en vigueur de l’ordonnance de probation, et par la suite selon les modalités de temps et de forme fixées par l’agent de probation, et ce pour 18 mois;</w:t>
      </w:r>
    </w:p>
    <w:p w14:paraId="53C61FFB" w14:textId="77777777" w:rsidR="00846434" w:rsidRPr="00F2540C" w:rsidRDefault="00A56883" w:rsidP="00846434">
      <w:pPr>
        <w:numPr>
          <w:ilvl w:val="0"/>
          <w:numId w:val="15"/>
        </w:numPr>
        <w:spacing w:before="120" w:after="120"/>
        <w:jc w:val="both"/>
        <w:rPr>
          <w:kern w:val="28"/>
          <w:szCs w:val="24"/>
        </w:rPr>
      </w:pPr>
      <w:r>
        <w:rPr>
          <w:kern w:val="28"/>
          <w:szCs w:val="24"/>
        </w:rPr>
        <w:t>Suivre les directives d’un agent de probation ou tout autre intervenant désigné par celui-ci concernant toute thérapie relative à une problématique de toxicomanie;</w:t>
      </w:r>
    </w:p>
    <w:p w14:paraId="72C5C0B0" w14:textId="77777777" w:rsidR="0045748D" w:rsidRPr="00613792" w:rsidRDefault="00A56883" w:rsidP="00A26364">
      <w:pPr>
        <w:pStyle w:val="Paragraphe"/>
        <w:spacing w:line="240" w:lineRule="auto"/>
        <w:rPr>
          <w:b/>
          <w:bCs/>
        </w:rPr>
      </w:pPr>
      <w:r w:rsidRPr="00613792">
        <w:rPr>
          <w:b/>
          <w:bCs/>
        </w:rPr>
        <w:t>DISPENSE</w:t>
      </w:r>
      <w:r>
        <w:t xml:space="preserve"> l’accusé du paiement de la suramende compensatoire.</w:t>
      </w:r>
    </w:p>
    <w:p w14:paraId="277E1E58" w14:textId="77777777" w:rsidR="00D86CC3" w:rsidRDefault="00D86CC3" w:rsidP="00823BE3">
      <w:pPr>
        <w:pStyle w:val="Paragraphe"/>
        <w:numPr>
          <w:ilvl w:val="0"/>
          <w:numId w:val="0"/>
        </w:numPr>
        <w:spacing w:line="240" w:lineRule="auto"/>
      </w:pPr>
    </w:p>
    <w:tbl>
      <w:tblPr>
        <w:tblW w:w="9505" w:type="dxa"/>
        <w:tblLayout w:type="fixed"/>
        <w:tblCellMar>
          <w:left w:w="70" w:type="dxa"/>
          <w:right w:w="70" w:type="dxa"/>
        </w:tblCellMar>
        <w:tblLook w:val="0000" w:firstRow="0" w:lastRow="0" w:firstColumn="0" w:lastColumn="0" w:noHBand="0" w:noVBand="0"/>
      </w:tblPr>
      <w:tblGrid>
        <w:gridCol w:w="2068"/>
        <w:gridCol w:w="2799"/>
        <w:gridCol w:w="4638"/>
      </w:tblGrid>
      <w:tr w:rsidR="008F2A33" w14:paraId="4DDB4FA2" w14:textId="77777777" w:rsidTr="0055633B">
        <w:trPr>
          <w:trHeight w:val="576"/>
        </w:trPr>
        <w:tc>
          <w:tcPr>
            <w:tcW w:w="9505" w:type="dxa"/>
            <w:gridSpan w:val="3"/>
          </w:tcPr>
          <w:p w14:paraId="2C5ED9EE" w14:textId="77777777" w:rsidR="00153769" w:rsidRDefault="00153769">
            <w:pPr>
              <w:keepNext/>
              <w:keepLines/>
            </w:pPr>
          </w:p>
        </w:tc>
      </w:tr>
      <w:tr w:rsidR="008F2A33" w14:paraId="2269AB0A" w14:textId="77777777" w:rsidTr="0055633B">
        <w:tblPrEx>
          <w:tblCellMar>
            <w:left w:w="0" w:type="dxa"/>
            <w:right w:w="0" w:type="dxa"/>
          </w:tblCellMar>
        </w:tblPrEx>
        <w:trPr>
          <w:cantSplit/>
        </w:trPr>
        <w:tc>
          <w:tcPr>
            <w:tcW w:w="4867" w:type="dxa"/>
            <w:gridSpan w:val="2"/>
          </w:tcPr>
          <w:p w14:paraId="718AE153" w14:textId="77777777" w:rsidR="00153769" w:rsidRDefault="00153769"/>
        </w:tc>
        <w:tc>
          <w:tcPr>
            <w:tcW w:w="4638" w:type="dxa"/>
          </w:tcPr>
          <w:p w14:paraId="77F3276F" w14:textId="77777777" w:rsidR="00153769" w:rsidRDefault="00A56883">
            <w:pPr>
              <w:pStyle w:val="zSoquijdatSignature3Juge"/>
            </w:pPr>
            <w:r>
              <w:t>__________________________________</w:t>
            </w:r>
          </w:p>
          <w:p w14:paraId="463CB7F2" w14:textId="77777777" w:rsidR="00153769" w:rsidRDefault="00A56883">
            <w:pPr>
              <w:pStyle w:val="zSoquijdatSignature3Juge"/>
            </w:pPr>
            <w:r w:rsidRPr="0055633B">
              <w:rPr>
                <w:caps/>
              </w:rPr>
              <w:t>Annie Vanasse</w:t>
            </w:r>
            <w:r>
              <w:t>, J</w:t>
            </w:r>
            <w:r w:rsidR="00961483">
              <w:t>.</w:t>
            </w:r>
            <w:r>
              <w:t>C</w:t>
            </w:r>
            <w:r w:rsidR="00961483">
              <w:t>.</w:t>
            </w:r>
            <w:r>
              <w:t>Q</w:t>
            </w:r>
            <w:r w:rsidR="00A26364">
              <w:t>.</w:t>
            </w:r>
          </w:p>
        </w:tc>
      </w:tr>
      <w:tr w:rsidR="008F2A33" w14:paraId="289FE6BC" w14:textId="77777777" w:rsidTr="0055633B">
        <w:tc>
          <w:tcPr>
            <w:tcW w:w="9505" w:type="dxa"/>
            <w:gridSpan w:val="3"/>
          </w:tcPr>
          <w:p w14:paraId="4AD3563B" w14:textId="77777777" w:rsidR="00153769" w:rsidRDefault="00153769"/>
        </w:tc>
      </w:tr>
      <w:tr w:rsidR="008F2A33" w14:paraId="16ECF14D" w14:textId="77777777" w:rsidTr="0055633B">
        <w:trPr>
          <w:cantSplit/>
        </w:trPr>
        <w:tc>
          <w:tcPr>
            <w:tcW w:w="9505" w:type="dxa"/>
            <w:gridSpan w:val="3"/>
          </w:tcPr>
          <w:p w14:paraId="196370D9" w14:textId="77777777" w:rsidR="00153769" w:rsidRDefault="00A56883">
            <w:pPr>
              <w:pStyle w:val="zSoquijdatNomProcureurDem"/>
            </w:pPr>
            <w:r>
              <w:t>Me Éric Boudreau</w:t>
            </w:r>
          </w:p>
        </w:tc>
      </w:tr>
      <w:tr w:rsidR="008F2A33" w14:paraId="4C4BE8C8" w14:textId="77777777" w:rsidTr="0055633B">
        <w:trPr>
          <w:cantSplit/>
        </w:trPr>
        <w:tc>
          <w:tcPr>
            <w:tcW w:w="9505" w:type="dxa"/>
            <w:gridSpan w:val="3"/>
          </w:tcPr>
          <w:p w14:paraId="1AF1E0DB" w14:textId="77777777" w:rsidR="00153769" w:rsidRDefault="00A56883">
            <w:pPr>
              <w:pStyle w:val="zSoquijlblProcureurDem"/>
            </w:pPr>
            <w:r>
              <w:t>Procureur du poursuivant</w:t>
            </w:r>
          </w:p>
        </w:tc>
      </w:tr>
      <w:tr w:rsidR="008F2A33" w14:paraId="5DFAB479" w14:textId="77777777" w:rsidTr="0055633B">
        <w:trPr>
          <w:cantSplit/>
        </w:trPr>
        <w:tc>
          <w:tcPr>
            <w:tcW w:w="9505" w:type="dxa"/>
            <w:gridSpan w:val="3"/>
          </w:tcPr>
          <w:p w14:paraId="172E157A" w14:textId="77777777" w:rsidR="00153769" w:rsidRDefault="00153769"/>
        </w:tc>
      </w:tr>
      <w:tr w:rsidR="008F2A33" w14:paraId="3C7AFA7F" w14:textId="77777777" w:rsidTr="0055633B">
        <w:trPr>
          <w:cantSplit/>
        </w:trPr>
        <w:tc>
          <w:tcPr>
            <w:tcW w:w="9505" w:type="dxa"/>
            <w:gridSpan w:val="3"/>
          </w:tcPr>
          <w:p w14:paraId="75EA66E9" w14:textId="77777777" w:rsidR="00153769" w:rsidRDefault="00A56883">
            <w:pPr>
              <w:pStyle w:val="zSoquijdatNomProcureurDef"/>
            </w:pPr>
            <w:r>
              <w:t>Me Pierre Spain</w:t>
            </w:r>
          </w:p>
        </w:tc>
      </w:tr>
      <w:tr w:rsidR="008F2A33" w14:paraId="7D111DB7" w14:textId="77777777" w:rsidTr="0055633B">
        <w:trPr>
          <w:cantSplit/>
        </w:trPr>
        <w:tc>
          <w:tcPr>
            <w:tcW w:w="9505" w:type="dxa"/>
            <w:gridSpan w:val="3"/>
          </w:tcPr>
          <w:p w14:paraId="54E8ABBC" w14:textId="77777777" w:rsidR="00153769" w:rsidRDefault="00A56883">
            <w:pPr>
              <w:pStyle w:val="zSoquijlblProcureurDef"/>
            </w:pPr>
            <w:r>
              <w:t>Procureur de l’accusé</w:t>
            </w:r>
          </w:p>
        </w:tc>
      </w:tr>
      <w:tr w:rsidR="008F2A33" w14:paraId="6F979940" w14:textId="77777777" w:rsidTr="0055633B">
        <w:tc>
          <w:tcPr>
            <w:tcW w:w="9505" w:type="dxa"/>
            <w:gridSpan w:val="3"/>
          </w:tcPr>
          <w:p w14:paraId="14ADEE31" w14:textId="77777777" w:rsidR="00153769" w:rsidRDefault="00153769"/>
        </w:tc>
      </w:tr>
      <w:tr w:rsidR="008F2A33" w14:paraId="62113A9D" w14:textId="77777777" w:rsidTr="0055633B">
        <w:tc>
          <w:tcPr>
            <w:tcW w:w="2068" w:type="dxa"/>
          </w:tcPr>
          <w:p w14:paraId="25DF2915" w14:textId="77777777" w:rsidR="00153769" w:rsidRDefault="00A56883">
            <w:pPr>
              <w:pStyle w:val="zSoquijlblDateAudience"/>
            </w:pPr>
            <w:r>
              <w:t>Date d’audience :</w:t>
            </w:r>
          </w:p>
        </w:tc>
        <w:tc>
          <w:tcPr>
            <w:tcW w:w="7437" w:type="dxa"/>
            <w:gridSpan w:val="2"/>
          </w:tcPr>
          <w:p w14:paraId="7D37D5C7" w14:textId="77777777" w:rsidR="00153769" w:rsidRDefault="00A56883">
            <w:pPr>
              <w:pStyle w:val="zSoquijdatDateAudience"/>
            </w:pPr>
            <w:r>
              <w:t>6 avril 2023</w:t>
            </w:r>
          </w:p>
        </w:tc>
      </w:tr>
    </w:tbl>
    <w:p w14:paraId="4A0274AC" w14:textId="77777777" w:rsidR="00EF5343" w:rsidRDefault="00EF5343"/>
    <w:sectPr w:rsidR="00EF5343">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2" w:h="15842" w:code="1"/>
      <w:pgMar w:top="1440" w:right="1008" w:bottom="1440" w:left="1872" w:header="1440" w:footer="7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4AFC1" w14:textId="77777777" w:rsidR="00067795" w:rsidRDefault="00A56883">
      <w:r>
        <w:separator/>
      </w:r>
    </w:p>
  </w:endnote>
  <w:endnote w:type="continuationSeparator" w:id="0">
    <w:p w14:paraId="0E9FA1C3" w14:textId="77777777" w:rsidR="00067795" w:rsidRDefault="00A5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4376F" w14:textId="77777777" w:rsidR="00153769" w:rsidRDefault="00A56883">
    <w:pPr>
      <w:framePr w:wrap="around" w:vAnchor="text" w:hAnchor="margin" w:xAlign="right" w:y="1"/>
    </w:pPr>
    <w:r>
      <w:fldChar w:fldCharType="begin"/>
    </w:r>
    <w:r>
      <w:instrText xml:space="preserve">PAGE  </w:instrText>
    </w:r>
    <w:r>
      <w:fldChar w:fldCharType="end"/>
    </w:r>
  </w:p>
  <w:p w14:paraId="478F5705" w14:textId="77777777" w:rsidR="00153769" w:rsidRDefault="00153769">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9ABC1" w14:textId="77777777" w:rsidR="005E1FEE" w:rsidRDefault="005E1FE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988D3" w14:textId="77777777" w:rsidR="005E1FEE" w:rsidRDefault="005E1F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FFED8" w14:textId="77777777" w:rsidR="0082743E" w:rsidRDefault="00A56883">
      <w:r>
        <w:separator/>
      </w:r>
    </w:p>
  </w:footnote>
  <w:footnote w:type="continuationSeparator" w:id="0">
    <w:p w14:paraId="6BD31422" w14:textId="77777777" w:rsidR="0082743E" w:rsidRDefault="00A56883">
      <w:r>
        <w:continuationSeparator/>
      </w:r>
    </w:p>
  </w:footnote>
  <w:footnote w:id="1">
    <w:p w14:paraId="1C267AF9" w14:textId="77777777" w:rsidR="004721B2" w:rsidRDefault="00A56883">
      <w:pPr>
        <w:pStyle w:val="Notedebasdepage"/>
      </w:pPr>
      <w:r>
        <w:rPr>
          <w:rStyle w:val="Appelnotedebasdep"/>
        </w:rPr>
        <w:footnoteRef/>
      </w:r>
      <w:r>
        <w:t xml:space="preserve"> </w:t>
      </w:r>
      <w:r>
        <w:tab/>
        <w:t xml:space="preserve">Articles 5(1)(3)a), 5(2)(3)a), 4(1)(3)a) de la </w:t>
      </w:r>
      <w:r w:rsidRPr="004721B2">
        <w:rPr>
          <w:i/>
          <w:iCs/>
        </w:rPr>
        <w:t>Loi réglementant certaines drogues et autres substances</w:t>
      </w:r>
      <w:r>
        <w:t xml:space="preserve">; Articles 10(2)(5)a) et 8(1)(2)a)i) de la </w:t>
      </w:r>
      <w:r w:rsidRPr="004721B2">
        <w:rPr>
          <w:i/>
          <w:iCs/>
        </w:rPr>
        <w:t>Loi sur le cannabis</w:t>
      </w:r>
      <w:r>
        <w:t xml:space="preserve">; Article 354(1) et 355b)i) du </w:t>
      </w:r>
      <w:r w:rsidRPr="004721B2">
        <w:rPr>
          <w:i/>
          <w:iCs/>
        </w:rPr>
        <w:t>Code criminel</w:t>
      </w:r>
      <w:r>
        <w:t>.</w:t>
      </w:r>
    </w:p>
  </w:footnote>
  <w:footnote w:id="2">
    <w:p w14:paraId="0B48673F" w14:textId="77777777" w:rsidR="00AE444F" w:rsidRDefault="00A56883">
      <w:pPr>
        <w:pStyle w:val="Notedebasdepage"/>
      </w:pPr>
      <w:r>
        <w:rPr>
          <w:rStyle w:val="Appelnotedebasdep"/>
        </w:rPr>
        <w:footnoteRef/>
      </w:r>
      <w:r>
        <w:t xml:space="preserve"> </w:t>
      </w:r>
      <w:r>
        <w:tab/>
        <w:t>Rapport présentenciel, par Michaël Ménard, agent de probation, page 6.</w:t>
      </w:r>
    </w:p>
  </w:footnote>
  <w:footnote w:id="3">
    <w:p w14:paraId="73AD859E" w14:textId="77777777" w:rsidR="00AE444F" w:rsidRPr="00ED2DDC" w:rsidRDefault="00A56883">
      <w:pPr>
        <w:pStyle w:val="Notedebasdepage"/>
      </w:pPr>
      <w:r>
        <w:rPr>
          <w:rStyle w:val="Appelnotedebasdep"/>
        </w:rPr>
        <w:footnoteRef/>
      </w:r>
      <w:r w:rsidRPr="00ED2DDC">
        <w:t xml:space="preserve"> </w:t>
      </w:r>
      <w:r w:rsidRPr="00ED2DDC">
        <w:tab/>
        <w:t>Id.</w:t>
      </w:r>
    </w:p>
  </w:footnote>
  <w:footnote w:id="4">
    <w:p w14:paraId="62EC0544" w14:textId="77777777" w:rsidR="00AE444F" w:rsidRPr="00ED2DDC" w:rsidRDefault="00A56883">
      <w:pPr>
        <w:pStyle w:val="Notedebasdepage"/>
      </w:pPr>
      <w:r>
        <w:rPr>
          <w:rStyle w:val="Appelnotedebasdep"/>
        </w:rPr>
        <w:footnoteRef/>
      </w:r>
      <w:r w:rsidRPr="00ED2DDC">
        <w:t xml:space="preserve"> </w:t>
      </w:r>
      <w:r w:rsidRPr="00ED2DDC">
        <w:tab/>
      </w:r>
      <w:r w:rsidR="00433EF0" w:rsidRPr="00ED2DDC">
        <w:t xml:space="preserve">Id, page 7. </w:t>
      </w:r>
    </w:p>
  </w:footnote>
  <w:footnote w:id="5">
    <w:p w14:paraId="1393001C" w14:textId="77777777" w:rsidR="00433EF0" w:rsidRPr="00ED2DDC" w:rsidRDefault="00A56883">
      <w:pPr>
        <w:pStyle w:val="Notedebasdepage"/>
      </w:pPr>
      <w:r>
        <w:rPr>
          <w:rStyle w:val="Appelnotedebasdep"/>
        </w:rPr>
        <w:footnoteRef/>
      </w:r>
      <w:r w:rsidRPr="00ED2DDC">
        <w:t xml:space="preserve"> </w:t>
      </w:r>
      <w:r w:rsidRPr="00ED2DDC">
        <w:tab/>
        <w:t>Id, page 8.</w:t>
      </w:r>
    </w:p>
  </w:footnote>
  <w:footnote w:id="6">
    <w:p w14:paraId="0977F610" w14:textId="77777777" w:rsidR="006B44FA" w:rsidRDefault="00A56883">
      <w:pPr>
        <w:pStyle w:val="Notedebasdepage"/>
      </w:pPr>
      <w:r>
        <w:rPr>
          <w:rStyle w:val="Appelnotedebasdep"/>
        </w:rPr>
        <w:footnoteRef/>
      </w:r>
      <w:r>
        <w:t xml:space="preserve"> </w:t>
      </w:r>
      <w:r>
        <w:tab/>
        <w:t>Id, page 7.</w:t>
      </w:r>
    </w:p>
  </w:footnote>
  <w:footnote w:id="7">
    <w:p w14:paraId="5A2766A7" w14:textId="77777777" w:rsidR="006B44FA" w:rsidRDefault="00A56883">
      <w:pPr>
        <w:pStyle w:val="Notedebasdepage"/>
      </w:pPr>
      <w:r>
        <w:rPr>
          <w:rStyle w:val="Appelnotedebasdep"/>
        </w:rPr>
        <w:footnoteRef/>
      </w:r>
      <w:r>
        <w:t xml:space="preserve"> </w:t>
      </w:r>
      <w:r>
        <w:tab/>
        <w:t>Id, page 8.</w:t>
      </w:r>
    </w:p>
  </w:footnote>
  <w:footnote w:id="8">
    <w:p w14:paraId="349A0044" w14:textId="77777777" w:rsidR="00AA1FA4" w:rsidRDefault="00A56883" w:rsidP="00AA1FA4">
      <w:pPr>
        <w:pStyle w:val="Notedebasdepage"/>
      </w:pPr>
      <w:r>
        <w:rPr>
          <w:rStyle w:val="Appelnotedebasdep"/>
        </w:rPr>
        <w:footnoteRef/>
      </w:r>
      <w:r>
        <w:t xml:space="preserve"> </w:t>
      </w:r>
      <w:r>
        <w:tab/>
      </w:r>
      <w:r w:rsidRPr="00CB5799">
        <w:rPr>
          <w:i/>
        </w:rPr>
        <w:t>R</w:t>
      </w:r>
      <w:r w:rsidRPr="004869BF">
        <w:t xml:space="preserve">. c. </w:t>
      </w:r>
      <w:r w:rsidRPr="00CB5799">
        <w:rPr>
          <w:i/>
        </w:rPr>
        <w:t>Nasogaluak</w:t>
      </w:r>
      <w:r w:rsidRPr="004869BF">
        <w:t>, 2010 CSC 6, par. 42.</w:t>
      </w:r>
    </w:p>
  </w:footnote>
  <w:footnote w:id="9">
    <w:p w14:paraId="13090440" w14:textId="77777777" w:rsidR="00AA1FA4" w:rsidRDefault="00A56883" w:rsidP="00AA1FA4">
      <w:pPr>
        <w:pStyle w:val="Notedebasdepage"/>
      </w:pPr>
      <w:r>
        <w:rPr>
          <w:rStyle w:val="Appelnotedebasdep"/>
        </w:rPr>
        <w:footnoteRef/>
      </w:r>
      <w:r>
        <w:t xml:space="preserve"> </w:t>
      </w:r>
      <w:r>
        <w:tab/>
        <w:t>Article 718 C.cr.</w:t>
      </w:r>
    </w:p>
  </w:footnote>
  <w:footnote w:id="10">
    <w:p w14:paraId="5BF4D308" w14:textId="77777777" w:rsidR="00AA1FA4" w:rsidRDefault="00A56883" w:rsidP="00AA1FA4">
      <w:pPr>
        <w:pStyle w:val="Notedebasdepage"/>
      </w:pPr>
      <w:r>
        <w:rPr>
          <w:rStyle w:val="Appelnotedebasdep"/>
        </w:rPr>
        <w:footnoteRef/>
      </w:r>
      <w:r>
        <w:t xml:space="preserve"> </w:t>
      </w:r>
      <w:r>
        <w:tab/>
        <w:t>Id.</w:t>
      </w:r>
    </w:p>
  </w:footnote>
  <w:footnote w:id="11">
    <w:p w14:paraId="5A50B432" w14:textId="77777777" w:rsidR="00AA1FA4" w:rsidRDefault="00A56883" w:rsidP="00AA1FA4">
      <w:pPr>
        <w:pStyle w:val="Notedebasdepage"/>
      </w:pPr>
      <w:r>
        <w:rPr>
          <w:rStyle w:val="Appelnotedebasdep"/>
        </w:rPr>
        <w:footnoteRef/>
      </w:r>
      <w:r>
        <w:t xml:space="preserve"> </w:t>
      </w:r>
      <w:r>
        <w:tab/>
      </w:r>
      <w:r w:rsidRPr="009D220E">
        <w:rPr>
          <w:iCs/>
        </w:rPr>
        <w:t>Préc.</w:t>
      </w:r>
      <w:r w:rsidR="00357158">
        <w:rPr>
          <w:iCs/>
        </w:rPr>
        <w:t>,</w:t>
      </w:r>
      <w:r>
        <w:t xml:space="preserve"> note 2, par. 43.</w:t>
      </w:r>
    </w:p>
  </w:footnote>
  <w:footnote w:id="12">
    <w:p w14:paraId="651DB748" w14:textId="77777777" w:rsidR="00AA1FA4" w:rsidRDefault="00A56883" w:rsidP="00AA1FA4">
      <w:pPr>
        <w:pStyle w:val="Notedebasdepage"/>
      </w:pPr>
      <w:r>
        <w:rPr>
          <w:rStyle w:val="Appelnotedebasdep"/>
        </w:rPr>
        <w:footnoteRef/>
      </w:r>
      <w:r>
        <w:t xml:space="preserve"> </w:t>
      </w:r>
      <w:r>
        <w:tab/>
      </w:r>
      <w:r w:rsidR="00ED2DDC">
        <w:rPr>
          <w:i/>
          <w:iCs/>
        </w:rPr>
        <w:t>R.</w:t>
      </w:r>
      <w:r w:rsidR="00ED2DDC">
        <w:rPr>
          <w:iCs/>
        </w:rPr>
        <w:t xml:space="preserve"> c. </w:t>
      </w:r>
      <w:r w:rsidR="00ED2DDC">
        <w:rPr>
          <w:i/>
          <w:iCs/>
        </w:rPr>
        <w:t>L.M.</w:t>
      </w:r>
      <w:r w:rsidR="00ED2DDC">
        <w:rPr>
          <w:iCs/>
        </w:rPr>
        <w:t>, 2008 CSC 31, [2008] 2 R.C.S. 163</w:t>
      </w:r>
      <w:r w:rsidRPr="003E1AAB">
        <w:t>.</w:t>
      </w:r>
    </w:p>
  </w:footnote>
  <w:footnote w:id="13">
    <w:p w14:paraId="400D2C2F" w14:textId="77777777" w:rsidR="00AA1FA4" w:rsidRPr="00B035C8" w:rsidRDefault="00A56883" w:rsidP="00AA1FA4">
      <w:pPr>
        <w:pStyle w:val="Notedebasdepage"/>
      </w:pPr>
      <w:r>
        <w:rPr>
          <w:rStyle w:val="Appelnotedebasdep"/>
        </w:rPr>
        <w:footnoteRef/>
      </w:r>
      <w:r w:rsidRPr="00B035C8">
        <w:t xml:space="preserve"> </w:t>
      </w:r>
      <w:r w:rsidRPr="00B035C8">
        <w:tab/>
        <w:t>Article 718.2 C.c</w:t>
      </w:r>
      <w:r>
        <w:t>r.</w:t>
      </w:r>
    </w:p>
  </w:footnote>
  <w:footnote w:id="14">
    <w:p w14:paraId="5464D78C" w14:textId="77777777" w:rsidR="006C3BC7" w:rsidRDefault="00A56883">
      <w:pPr>
        <w:pStyle w:val="Notedebasdepage"/>
      </w:pPr>
      <w:r>
        <w:rPr>
          <w:rStyle w:val="Appelnotedebasdep"/>
        </w:rPr>
        <w:footnoteRef/>
      </w:r>
      <w:r>
        <w:t xml:space="preserve"> </w:t>
      </w:r>
      <w:r>
        <w:tab/>
        <w:t xml:space="preserve">Articles 5(1)(3)a) et 5(2)(3) de la </w:t>
      </w:r>
      <w:r w:rsidRPr="006C3BC7">
        <w:rPr>
          <w:i/>
          <w:iCs/>
        </w:rPr>
        <w:t>Loi réglementant certaines drogues et autres substances</w:t>
      </w:r>
      <w:r>
        <w:t>.</w:t>
      </w:r>
    </w:p>
  </w:footnote>
  <w:footnote w:id="15">
    <w:p w14:paraId="3BADF2D9" w14:textId="77777777" w:rsidR="006C3BC7" w:rsidRDefault="00A56883">
      <w:pPr>
        <w:pStyle w:val="Notedebasdepage"/>
      </w:pPr>
      <w:r>
        <w:rPr>
          <w:rStyle w:val="Appelnotedebasdep"/>
        </w:rPr>
        <w:footnoteRef/>
      </w:r>
      <w:r>
        <w:t xml:space="preserve"> </w:t>
      </w:r>
      <w:r>
        <w:tab/>
        <w:t xml:space="preserve">Article 9(1) et 10(2) de la </w:t>
      </w:r>
      <w:r w:rsidRPr="006C3BC7">
        <w:rPr>
          <w:i/>
          <w:iCs/>
        </w:rPr>
        <w:t>Loi sur le cannabis</w:t>
      </w:r>
      <w:r>
        <w:t>.</w:t>
      </w:r>
    </w:p>
  </w:footnote>
  <w:footnote w:id="16">
    <w:p w14:paraId="1B4A3245" w14:textId="77777777" w:rsidR="00D7066E" w:rsidRDefault="00A56883">
      <w:pPr>
        <w:pStyle w:val="Notedebasdepage"/>
      </w:pPr>
      <w:r>
        <w:rPr>
          <w:rStyle w:val="Appelnotedebasdep"/>
        </w:rPr>
        <w:footnoteRef/>
      </w:r>
      <w:r>
        <w:t xml:space="preserve"> </w:t>
      </w:r>
      <w:r>
        <w:tab/>
      </w:r>
      <w:r w:rsidRPr="00D7066E">
        <w:rPr>
          <w:i/>
          <w:iCs/>
        </w:rPr>
        <w:t>R.</w:t>
      </w:r>
      <w:r w:rsidRPr="00D7066E">
        <w:t xml:space="preserve"> c. </w:t>
      </w:r>
      <w:r w:rsidRPr="00D7066E">
        <w:rPr>
          <w:i/>
          <w:iCs/>
        </w:rPr>
        <w:t>Fortier-Landry</w:t>
      </w:r>
      <w:r w:rsidRPr="00D7066E">
        <w:t xml:space="preserve">, 2016 QCCA 1985, par. 7; </w:t>
      </w:r>
      <w:r w:rsidRPr="00D7066E">
        <w:rPr>
          <w:i/>
          <w:iCs/>
        </w:rPr>
        <w:t>R.</w:t>
      </w:r>
      <w:r w:rsidRPr="00D7066E">
        <w:t xml:space="preserve"> c. </w:t>
      </w:r>
      <w:r w:rsidRPr="00D7066E">
        <w:rPr>
          <w:i/>
          <w:iCs/>
        </w:rPr>
        <w:t>Bernier</w:t>
      </w:r>
      <w:r w:rsidRPr="00D7066E">
        <w:t xml:space="preserve">, 2015 QCCA 963, par. 43; </w:t>
      </w:r>
      <w:r w:rsidRPr="00D7066E">
        <w:rPr>
          <w:i/>
          <w:iCs/>
        </w:rPr>
        <w:t>R.</w:t>
      </w:r>
      <w:r w:rsidRPr="00D7066E">
        <w:t xml:space="preserve"> c. </w:t>
      </w:r>
      <w:r w:rsidRPr="00D7066E">
        <w:rPr>
          <w:i/>
          <w:iCs/>
        </w:rPr>
        <w:t>Duhaime</w:t>
      </w:r>
      <w:r w:rsidRPr="00D7066E">
        <w:t>, 2015 QCCA 685, par. 3 et 12</w:t>
      </w:r>
      <w:r w:rsidR="006B44FA">
        <w:t xml:space="preserve">; </w:t>
      </w:r>
      <w:r w:rsidR="00BB2239" w:rsidRPr="00BB2239">
        <w:rPr>
          <w:i/>
          <w:iCs/>
        </w:rPr>
        <w:t>R</w:t>
      </w:r>
      <w:r w:rsidR="00BB2239" w:rsidRPr="00BB2239">
        <w:t xml:space="preserve">. c. </w:t>
      </w:r>
      <w:r w:rsidR="00BB2239" w:rsidRPr="00BB2239">
        <w:rPr>
          <w:i/>
          <w:iCs/>
        </w:rPr>
        <w:t>Nguyen</w:t>
      </w:r>
      <w:r w:rsidR="00BB2239" w:rsidRPr="00BB2239">
        <w:t>, 2018 QCCS 3070.</w:t>
      </w:r>
    </w:p>
  </w:footnote>
  <w:footnote w:id="17">
    <w:p w14:paraId="087746D4" w14:textId="77777777" w:rsidR="00D86CC3" w:rsidRPr="00D86CC3" w:rsidRDefault="00A56883">
      <w:pPr>
        <w:pStyle w:val="Notedebasdepage"/>
      </w:pPr>
      <w:r>
        <w:rPr>
          <w:rStyle w:val="Appelnotedebasdep"/>
        </w:rPr>
        <w:footnoteRef/>
      </w:r>
      <w:r>
        <w:t xml:space="preserve"> </w:t>
      </w:r>
      <w:r>
        <w:tab/>
      </w:r>
      <w:r w:rsidRPr="00D86CC3">
        <w:rPr>
          <w:rFonts w:cs="Arial"/>
          <w:i/>
          <w:iCs/>
        </w:rPr>
        <w:t>R. c. Parranto</w:t>
      </w:r>
      <w:r w:rsidRPr="00D86CC3">
        <w:rPr>
          <w:rFonts w:cs="Arial"/>
        </w:rPr>
        <w:t>, 2021 CSC 46, par. 87-92; </w:t>
      </w:r>
      <w:r w:rsidRPr="00D86CC3">
        <w:rPr>
          <w:rFonts w:cs="Arial"/>
          <w:i/>
          <w:iCs/>
        </w:rPr>
        <w:t>Rochette c. R</w:t>
      </w:r>
      <w:r w:rsidRPr="00D86CC3">
        <w:rPr>
          <w:rFonts w:cs="Arial"/>
        </w:rPr>
        <w:t>., 2022 QCCA 58, par. 51.</w:t>
      </w:r>
    </w:p>
  </w:footnote>
  <w:footnote w:id="18">
    <w:p w14:paraId="62E4EA9C" w14:textId="77777777" w:rsidR="00D86CC3" w:rsidRDefault="00A56883">
      <w:pPr>
        <w:pStyle w:val="Notedebasdepage"/>
      </w:pPr>
      <w:r>
        <w:rPr>
          <w:rStyle w:val="Appelnotedebasdep"/>
        </w:rPr>
        <w:footnoteRef/>
      </w:r>
      <w:r>
        <w:t xml:space="preserve"> </w:t>
      </w:r>
      <w:r>
        <w:tab/>
      </w:r>
      <w:r w:rsidR="00357158">
        <w:t>Id.</w:t>
      </w:r>
      <w:r>
        <w:t xml:space="preserve">, </w:t>
      </w:r>
      <w:r w:rsidRPr="00D86CC3">
        <w:rPr>
          <w:i/>
          <w:iCs/>
        </w:rPr>
        <w:t>R.</w:t>
      </w:r>
      <w:r>
        <w:t xml:space="preserve"> c. </w:t>
      </w:r>
      <w:r w:rsidRPr="00D86CC3">
        <w:rPr>
          <w:i/>
          <w:iCs/>
        </w:rPr>
        <w:t>Parranto</w:t>
      </w:r>
      <w:r>
        <w:t>, par. 89.</w:t>
      </w:r>
    </w:p>
  </w:footnote>
  <w:footnote w:id="19">
    <w:p w14:paraId="03095A56" w14:textId="77777777" w:rsidR="006F7B00" w:rsidRDefault="00A56883" w:rsidP="006F7B00">
      <w:pPr>
        <w:pStyle w:val="Notedebasdepage"/>
      </w:pPr>
      <w:r>
        <w:rPr>
          <w:rStyle w:val="Appelnotedebasdep"/>
        </w:rPr>
        <w:footnoteRef/>
      </w:r>
      <w:r>
        <w:t xml:space="preserve"> </w:t>
      </w:r>
      <w:r>
        <w:tab/>
      </w:r>
      <w:r>
        <w:rPr>
          <w:rFonts w:cs="Arial"/>
          <w:i/>
          <w:iCs/>
          <w:color w:val="000000"/>
        </w:rPr>
        <w:t>Gaudreault-Tremblay c. R</w:t>
      </w:r>
      <w:r>
        <w:rPr>
          <w:rFonts w:cs="Arial"/>
          <w:color w:val="000000"/>
        </w:rPr>
        <w:t xml:space="preserve">., </w:t>
      </w:r>
      <w:r>
        <w:t>2019 QCCA 1936, par. 22-23 et 28.</w:t>
      </w:r>
    </w:p>
  </w:footnote>
  <w:footnote w:id="20">
    <w:p w14:paraId="18DB4BCB" w14:textId="77777777" w:rsidR="006C3BC7" w:rsidRDefault="00A56883">
      <w:pPr>
        <w:pStyle w:val="Notedebasdepage"/>
      </w:pPr>
      <w:r>
        <w:rPr>
          <w:rStyle w:val="Appelnotedebasdep"/>
        </w:rPr>
        <w:footnoteRef/>
      </w:r>
      <w:r>
        <w:t xml:space="preserve"> </w:t>
      </w:r>
      <w:r>
        <w:tab/>
        <w:t xml:space="preserve">Loi modifiant le </w:t>
      </w:r>
      <w:r w:rsidRPr="00B70D06">
        <w:rPr>
          <w:i/>
          <w:iCs/>
        </w:rPr>
        <w:t>Code criminel</w:t>
      </w:r>
      <w:r>
        <w:t xml:space="preserve"> et la </w:t>
      </w:r>
      <w:r w:rsidRPr="00B70D06">
        <w:rPr>
          <w:i/>
          <w:iCs/>
        </w:rPr>
        <w:t>Loi réglementant certaines drogues et autres substances</w:t>
      </w:r>
      <w:r>
        <w:t>, L.C. 2022, c.15.</w:t>
      </w:r>
    </w:p>
  </w:footnote>
  <w:footnote w:id="21">
    <w:p w14:paraId="2FF76738" w14:textId="77777777" w:rsidR="0085294A" w:rsidRDefault="00A56883">
      <w:pPr>
        <w:pStyle w:val="Notedebasdepage"/>
      </w:pPr>
      <w:r>
        <w:rPr>
          <w:rStyle w:val="Appelnotedebasdep"/>
        </w:rPr>
        <w:footnoteRef/>
      </w:r>
      <w:r>
        <w:t xml:space="preserve"> </w:t>
      </w:r>
      <w:r>
        <w:tab/>
      </w:r>
      <w:r w:rsidR="00A26364" w:rsidRPr="00A26364">
        <w:rPr>
          <w:i/>
          <w:iCs/>
        </w:rPr>
        <w:t>R</w:t>
      </w:r>
      <w:r w:rsidR="00A26364" w:rsidRPr="00A26364">
        <w:t xml:space="preserve">. c. </w:t>
      </w:r>
      <w:r w:rsidR="00A26364" w:rsidRPr="00A26364">
        <w:rPr>
          <w:i/>
          <w:iCs/>
        </w:rPr>
        <w:t>Barrett</w:t>
      </w:r>
      <w:r w:rsidR="00A26364" w:rsidRPr="00A26364">
        <w:t>, 2013 QCCA 1351, par. 18-20.</w:t>
      </w:r>
    </w:p>
  </w:footnote>
  <w:footnote w:id="22">
    <w:p w14:paraId="413F89DD" w14:textId="77777777" w:rsidR="00962F7E" w:rsidRDefault="00A56883" w:rsidP="00962F7E">
      <w:pPr>
        <w:pStyle w:val="Notedebasdepage"/>
      </w:pPr>
      <w:r>
        <w:rPr>
          <w:rStyle w:val="Appelnotedebasdep"/>
        </w:rPr>
        <w:footnoteRef/>
      </w:r>
      <w:r>
        <w:t xml:space="preserve"> </w:t>
      </w:r>
      <w:r>
        <w:tab/>
        <w:t>F</w:t>
      </w:r>
      <w:r w:rsidR="00ED2DDC">
        <w:t>rançois</w:t>
      </w:r>
      <w:r>
        <w:t xml:space="preserve"> D</w:t>
      </w:r>
      <w:r w:rsidR="00ED2DDC">
        <w:t>ADOUR</w:t>
      </w:r>
      <w:r>
        <w:t xml:space="preserve">, </w:t>
      </w:r>
      <w:r w:rsidRPr="00ED2DDC">
        <w:rPr>
          <w:i/>
          <w:iCs/>
        </w:rPr>
        <w:t>De la détermination de la peine, Principes et applications</w:t>
      </w:r>
      <w:r>
        <w:t>, Markham, LexisNexis Canada inc., 2007, p. 98.</w:t>
      </w:r>
    </w:p>
  </w:footnote>
  <w:footnote w:id="23">
    <w:p w14:paraId="3D98B7CE" w14:textId="77777777" w:rsidR="00BB2239" w:rsidRDefault="00A56883">
      <w:pPr>
        <w:pStyle w:val="Notedebasdepage"/>
      </w:pPr>
      <w:r>
        <w:rPr>
          <w:rStyle w:val="Appelnotedebasdep"/>
        </w:rPr>
        <w:footnoteRef/>
      </w:r>
      <w:r>
        <w:t xml:space="preserve"> </w:t>
      </w:r>
      <w:r>
        <w:tab/>
      </w:r>
      <w:r w:rsidRPr="008108D2">
        <w:rPr>
          <w:i/>
          <w:iCs/>
        </w:rPr>
        <w:t>R</w:t>
      </w:r>
      <w:r w:rsidRPr="008108D2">
        <w:t>. c.</w:t>
      </w:r>
      <w:r w:rsidR="00357158" w:rsidRPr="008108D2">
        <w:t xml:space="preserve"> </w:t>
      </w:r>
      <w:r w:rsidR="00357158" w:rsidRPr="008108D2">
        <w:rPr>
          <w:i/>
          <w:iCs/>
        </w:rPr>
        <w:t>St-</w:t>
      </w:r>
      <w:r w:rsidRPr="008108D2">
        <w:rPr>
          <w:i/>
          <w:iCs/>
        </w:rPr>
        <w:t>Jean</w:t>
      </w:r>
      <w:r w:rsidRPr="008108D2">
        <w:t>, 2022 QCCQ 3027,</w:t>
      </w:r>
      <w:r>
        <w:t xml:space="preserve"> par. 111.</w:t>
      </w:r>
    </w:p>
  </w:footnote>
  <w:footnote w:id="24">
    <w:p w14:paraId="26D02F7B" w14:textId="77777777" w:rsidR="00A26364" w:rsidRPr="00357158" w:rsidRDefault="00A56883">
      <w:pPr>
        <w:pStyle w:val="Notedebasdepage"/>
        <w:rPr>
          <w:lang w:val="en-CA"/>
        </w:rPr>
      </w:pPr>
      <w:r>
        <w:rPr>
          <w:rStyle w:val="Appelnotedebasdep"/>
        </w:rPr>
        <w:footnoteRef/>
      </w:r>
      <w:r w:rsidRPr="00357158">
        <w:rPr>
          <w:lang w:val="en-CA"/>
        </w:rPr>
        <w:t xml:space="preserve"> </w:t>
      </w:r>
      <w:r w:rsidRPr="00357158">
        <w:rPr>
          <w:lang w:val="en-CA"/>
        </w:rPr>
        <w:tab/>
      </w:r>
      <w:r w:rsidR="00357158" w:rsidRPr="00357158">
        <w:rPr>
          <w:i/>
          <w:iCs/>
          <w:lang w:val="en-CA"/>
        </w:rPr>
        <w:t>R.</w:t>
      </w:r>
      <w:r w:rsidR="00357158" w:rsidRPr="00357158">
        <w:rPr>
          <w:iCs/>
          <w:lang w:val="en-CA"/>
        </w:rPr>
        <w:t xml:space="preserve"> c. </w:t>
      </w:r>
      <w:r w:rsidR="00357158" w:rsidRPr="00357158">
        <w:rPr>
          <w:i/>
          <w:iCs/>
          <w:lang w:val="en-CA"/>
        </w:rPr>
        <w:t>Kang-Brown</w:t>
      </w:r>
      <w:r w:rsidR="00357158" w:rsidRPr="00357158">
        <w:rPr>
          <w:iCs/>
          <w:lang w:val="en-CA"/>
        </w:rPr>
        <w:t>, 2008 CSC 18, [2008] 1 R.C.S. 456</w:t>
      </w:r>
      <w:r w:rsidRPr="00357158">
        <w:rPr>
          <w:lang w:val="en-CA"/>
        </w:rPr>
        <w:t>, par. 184.</w:t>
      </w:r>
    </w:p>
  </w:footnote>
  <w:footnote w:id="25">
    <w:p w14:paraId="1BBA4CC4" w14:textId="77777777" w:rsidR="00D7066E" w:rsidRDefault="00A56883">
      <w:pPr>
        <w:pStyle w:val="Notedebasdepage"/>
      </w:pPr>
      <w:r>
        <w:rPr>
          <w:rStyle w:val="Appelnotedebasdep"/>
        </w:rPr>
        <w:footnoteRef/>
      </w:r>
      <w:r>
        <w:t xml:space="preserve"> </w:t>
      </w:r>
      <w:r>
        <w:tab/>
      </w:r>
      <w:r w:rsidR="00D766DA">
        <w:t>Préc</w:t>
      </w:r>
      <w:r w:rsidR="00357158">
        <w:t>.,</w:t>
      </w:r>
      <w:r w:rsidR="00D766DA">
        <w:t xml:space="preserve"> note 2</w:t>
      </w:r>
      <w:r>
        <w:t>, page 9.</w:t>
      </w:r>
    </w:p>
  </w:footnote>
  <w:footnote w:id="26">
    <w:p w14:paraId="551FAED4" w14:textId="77777777" w:rsidR="00A528E6" w:rsidRDefault="00A56883">
      <w:pPr>
        <w:pStyle w:val="Notedebasdepage"/>
      </w:pPr>
      <w:r>
        <w:rPr>
          <w:rStyle w:val="Appelnotedebasdep"/>
        </w:rPr>
        <w:footnoteRef/>
      </w:r>
      <w:r>
        <w:t xml:space="preserve"> </w:t>
      </w:r>
      <w:r>
        <w:tab/>
        <w:t>Préc</w:t>
      </w:r>
      <w:r w:rsidR="00357158">
        <w:t>.</w:t>
      </w:r>
      <w:r>
        <w:t>, note 18, par. 18.</w:t>
      </w:r>
    </w:p>
  </w:footnote>
  <w:footnote w:id="27">
    <w:p w14:paraId="3B82DAA0" w14:textId="77777777" w:rsidR="00A528E6" w:rsidRDefault="00A56883">
      <w:pPr>
        <w:pStyle w:val="Notedebasdepage"/>
      </w:pPr>
      <w:r>
        <w:rPr>
          <w:rStyle w:val="Appelnotedebasdep"/>
        </w:rPr>
        <w:footnoteRef/>
      </w:r>
      <w:r>
        <w:t xml:space="preserve"> </w:t>
      </w:r>
      <w:r>
        <w:tab/>
        <w:t>Id.</w:t>
      </w:r>
    </w:p>
  </w:footnote>
  <w:footnote w:id="28">
    <w:p w14:paraId="2609FD46" w14:textId="77777777" w:rsidR="006B7E95" w:rsidRDefault="00A56883" w:rsidP="006B7E95">
      <w:pPr>
        <w:pStyle w:val="Notedebasdepage"/>
      </w:pPr>
      <w:r>
        <w:rPr>
          <w:rStyle w:val="Appelnotedebasdep"/>
        </w:rPr>
        <w:footnoteRef/>
      </w:r>
      <w:r>
        <w:t xml:space="preserve"> </w:t>
      </w:r>
      <w:r>
        <w:tab/>
      </w:r>
      <w:r w:rsidR="00357158">
        <w:rPr>
          <w:i/>
          <w:iCs/>
        </w:rPr>
        <w:t>Reid</w:t>
      </w:r>
      <w:r w:rsidR="00357158">
        <w:rPr>
          <w:iCs/>
        </w:rPr>
        <w:t xml:space="preserve"> c. </w:t>
      </w:r>
      <w:r w:rsidR="00357158">
        <w:rPr>
          <w:i/>
          <w:iCs/>
        </w:rPr>
        <w:t>R.</w:t>
      </w:r>
      <w:r w:rsidR="00357158">
        <w:rPr>
          <w:iCs/>
        </w:rPr>
        <w:t>, 2016 QCCA 1866</w:t>
      </w:r>
      <w:r w:rsidRPr="00A26364">
        <w:t>, par.</w:t>
      </w:r>
      <w:r w:rsidR="00357158">
        <w:t xml:space="preserve"> </w:t>
      </w:r>
      <w:r w:rsidRPr="00A26364">
        <w:rPr>
          <w:rStyle w:val="Lienhypertexte"/>
          <w:color w:val="auto"/>
          <w:u w:val="none"/>
        </w:rPr>
        <w:t>9</w:t>
      </w:r>
      <w:r w:rsidRPr="00A26364">
        <w:t>;</w:t>
      </w:r>
      <w:r w:rsidR="00357158">
        <w:t xml:space="preserve"> </w:t>
      </w:r>
      <w:r w:rsidR="00357158">
        <w:rPr>
          <w:i/>
          <w:iCs/>
        </w:rPr>
        <w:t>R.</w:t>
      </w:r>
      <w:r w:rsidR="00357158">
        <w:rPr>
          <w:iCs/>
        </w:rPr>
        <w:t xml:space="preserve"> c. </w:t>
      </w:r>
      <w:r w:rsidR="00357158">
        <w:rPr>
          <w:i/>
          <w:iCs/>
        </w:rPr>
        <w:t>Zawahra</w:t>
      </w:r>
      <w:r w:rsidR="00357158">
        <w:rPr>
          <w:iCs/>
        </w:rPr>
        <w:t>, 2016 QCCA 871</w:t>
      </w:r>
      <w:r w:rsidRPr="00A26364">
        <w:t>, par. </w:t>
      </w:r>
      <w:r w:rsidRPr="00A26364">
        <w:rPr>
          <w:rStyle w:val="Lienhypertexte"/>
          <w:color w:val="auto"/>
          <w:u w:val="none"/>
        </w:rPr>
        <w:t>13</w:t>
      </w:r>
      <w:r w:rsidRPr="00A26364">
        <w:t>.</w:t>
      </w:r>
    </w:p>
  </w:footnote>
  <w:footnote w:id="29">
    <w:p w14:paraId="68463567" w14:textId="77777777" w:rsidR="006B7E95" w:rsidRPr="00A26364" w:rsidRDefault="00A56883" w:rsidP="006B7E95">
      <w:pPr>
        <w:pStyle w:val="Notedebasdepage"/>
      </w:pPr>
      <w:r>
        <w:rPr>
          <w:rStyle w:val="Appelnotedebasdep"/>
        </w:rPr>
        <w:footnoteRef/>
      </w:r>
      <w:r>
        <w:t xml:space="preserve"> </w:t>
      </w:r>
      <w:r>
        <w:tab/>
      </w:r>
      <w:r w:rsidR="00357158">
        <w:rPr>
          <w:i/>
          <w:iCs/>
        </w:rPr>
        <w:t>R.</w:t>
      </w:r>
      <w:r w:rsidR="00357158">
        <w:rPr>
          <w:iCs/>
        </w:rPr>
        <w:t xml:space="preserve"> v. </w:t>
      </w:r>
      <w:r w:rsidR="00357158">
        <w:rPr>
          <w:i/>
          <w:iCs/>
        </w:rPr>
        <w:t>Kleykens</w:t>
      </w:r>
      <w:r w:rsidR="00357158">
        <w:rPr>
          <w:iCs/>
        </w:rPr>
        <w:t>, 2020 NSCA 49</w:t>
      </w:r>
      <w:r w:rsidRPr="00A26364">
        <w:t>, par. </w:t>
      </w:r>
      <w:r w:rsidRPr="00A26364">
        <w:rPr>
          <w:rStyle w:val="Lienhypertexte"/>
          <w:color w:val="auto"/>
          <w:u w:val="none"/>
        </w:rPr>
        <w:t>66</w:t>
      </w:r>
      <w:r w:rsidRPr="00A26364">
        <w:t>.</w:t>
      </w:r>
    </w:p>
  </w:footnote>
  <w:footnote w:id="30">
    <w:p w14:paraId="687B9B7D" w14:textId="77777777" w:rsidR="006B7E95" w:rsidRDefault="00A56883" w:rsidP="006B7E95">
      <w:pPr>
        <w:pStyle w:val="Notedebasdepage"/>
      </w:pPr>
      <w:r>
        <w:rPr>
          <w:rStyle w:val="Appelnotedebasdep"/>
        </w:rPr>
        <w:footnoteRef/>
      </w:r>
      <w:r>
        <w:t xml:space="preserve"> </w:t>
      </w:r>
      <w:r>
        <w:tab/>
        <w:t>Préc</w:t>
      </w:r>
      <w:r w:rsidR="00357158">
        <w:t>.</w:t>
      </w:r>
      <w:r>
        <w:t xml:space="preserve">, note 16, </w:t>
      </w:r>
      <w:r w:rsidRPr="006B7E95">
        <w:rPr>
          <w:i/>
          <w:iCs/>
        </w:rPr>
        <w:t>R</w:t>
      </w:r>
      <w:r>
        <w:t xml:space="preserve"> c. </w:t>
      </w:r>
      <w:r w:rsidRPr="006B7E95">
        <w:rPr>
          <w:i/>
          <w:iCs/>
        </w:rPr>
        <w:t>Parranto</w:t>
      </w:r>
      <w:r>
        <w:t>, par. 40.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10A86" w14:textId="77777777" w:rsidR="005E1FEE" w:rsidRDefault="005E1F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EC86E" w14:textId="77777777" w:rsidR="00153769" w:rsidRDefault="00A56883">
    <w:pPr>
      <w:tabs>
        <w:tab w:val="center" w:pos="4709"/>
        <w:tab w:val="right" w:pos="9360"/>
      </w:tabs>
      <w:ind w:right="524"/>
    </w:pPr>
    <w:r>
      <w:t>400-01-10</w:t>
    </w:r>
    <w:r w:rsidR="00846434">
      <w:t>2440-229</w:t>
    </w:r>
    <w:r>
      <w:t xml:space="preserve"> et al.</w:t>
    </w:r>
    <w:r w:rsidR="00EF5343">
      <w:tab/>
    </w:r>
    <w:r w:rsidR="00EF5343">
      <w:tab/>
      <w:t xml:space="preserve">PAGE : </w:t>
    </w:r>
    <w:r w:rsidR="00EF5343">
      <w:fldChar w:fldCharType="begin"/>
    </w:r>
    <w:r w:rsidR="00EF5343">
      <w:instrText xml:space="preserve"> PAGE </w:instrText>
    </w:r>
    <w:r w:rsidR="00EF5343">
      <w:fldChar w:fldCharType="separate"/>
    </w:r>
    <w:r w:rsidR="00EF5343">
      <w:t>8</w:t>
    </w:r>
    <w:r w:rsidR="00EF5343">
      <w:fldChar w:fldCharType="end"/>
    </w:r>
  </w:p>
  <w:p w14:paraId="5E7C090A" w14:textId="77777777" w:rsidR="00153769" w:rsidRDefault="00153769">
    <w:pPr>
      <w:tabs>
        <w:tab w:val="center" w:pos="4709"/>
        <w:tab w:val="right" w:pos="9090"/>
      </w:tabs>
      <w:ind w:right="52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D94B1" w14:textId="77777777" w:rsidR="005E1FEE" w:rsidRDefault="005E1FE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5C8E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6EA15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524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00ED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84BF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7A9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5652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F01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346F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0CF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028EB"/>
    <w:multiLevelType w:val="hybridMultilevel"/>
    <w:tmpl w:val="EEE6B482"/>
    <w:lvl w:ilvl="0" w:tplc="44EA1CA6">
      <w:start w:val="1"/>
      <w:numFmt w:val="bullet"/>
      <w:lvlText w:val=""/>
      <w:lvlJc w:val="left"/>
      <w:pPr>
        <w:ind w:left="1454" w:hanging="360"/>
      </w:pPr>
      <w:rPr>
        <w:rFonts w:ascii="Symbol" w:hAnsi="Symbol" w:hint="default"/>
      </w:rPr>
    </w:lvl>
    <w:lvl w:ilvl="1" w:tplc="7BC46AA2" w:tentative="1">
      <w:start w:val="1"/>
      <w:numFmt w:val="bullet"/>
      <w:lvlText w:val="o"/>
      <w:lvlJc w:val="left"/>
      <w:pPr>
        <w:ind w:left="2174" w:hanging="360"/>
      </w:pPr>
      <w:rPr>
        <w:rFonts w:ascii="Courier New" w:hAnsi="Courier New" w:cs="Courier New" w:hint="default"/>
      </w:rPr>
    </w:lvl>
    <w:lvl w:ilvl="2" w:tplc="24C62834" w:tentative="1">
      <w:start w:val="1"/>
      <w:numFmt w:val="bullet"/>
      <w:lvlText w:val=""/>
      <w:lvlJc w:val="left"/>
      <w:pPr>
        <w:ind w:left="2894" w:hanging="360"/>
      </w:pPr>
      <w:rPr>
        <w:rFonts w:ascii="Wingdings" w:hAnsi="Wingdings" w:hint="default"/>
      </w:rPr>
    </w:lvl>
    <w:lvl w:ilvl="3" w:tplc="BDFC122E" w:tentative="1">
      <w:start w:val="1"/>
      <w:numFmt w:val="bullet"/>
      <w:lvlText w:val=""/>
      <w:lvlJc w:val="left"/>
      <w:pPr>
        <w:ind w:left="3614" w:hanging="360"/>
      </w:pPr>
      <w:rPr>
        <w:rFonts w:ascii="Symbol" w:hAnsi="Symbol" w:hint="default"/>
      </w:rPr>
    </w:lvl>
    <w:lvl w:ilvl="4" w:tplc="B270FEDE" w:tentative="1">
      <w:start w:val="1"/>
      <w:numFmt w:val="bullet"/>
      <w:lvlText w:val="o"/>
      <w:lvlJc w:val="left"/>
      <w:pPr>
        <w:ind w:left="4334" w:hanging="360"/>
      </w:pPr>
      <w:rPr>
        <w:rFonts w:ascii="Courier New" w:hAnsi="Courier New" w:cs="Courier New" w:hint="default"/>
      </w:rPr>
    </w:lvl>
    <w:lvl w:ilvl="5" w:tplc="4A1EB440" w:tentative="1">
      <w:start w:val="1"/>
      <w:numFmt w:val="bullet"/>
      <w:lvlText w:val=""/>
      <w:lvlJc w:val="left"/>
      <w:pPr>
        <w:ind w:left="5054" w:hanging="360"/>
      </w:pPr>
      <w:rPr>
        <w:rFonts w:ascii="Wingdings" w:hAnsi="Wingdings" w:hint="default"/>
      </w:rPr>
    </w:lvl>
    <w:lvl w:ilvl="6" w:tplc="6D26B218" w:tentative="1">
      <w:start w:val="1"/>
      <w:numFmt w:val="bullet"/>
      <w:lvlText w:val=""/>
      <w:lvlJc w:val="left"/>
      <w:pPr>
        <w:ind w:left="5774" w:hanging="360"/>
      </w:pPr>
      <w:rPr>
        <w:rFonts w:ascii="Symbol" w:hAnsi="Symbol" w:hint="default"/>
      </w:rPr>
    </w:lvl>
    <w:lvl w:ilvl="7" w:tplc="BB08CB9A" w:tentative="1">
      <w:start w:val="1"/>
      <w:numFmt w:val="bullet"/>
      <w:lvlText w:val="o"/>
      <w:lvlJc w:val="left"/>
      <w:pPr>
        <w:ind w:left="6494" w:hanging="360"/>
      </w:pPr>
      <w:rPr>
        <w:rFonts w:ascii="Courier New" w:hAnsi="Courier New" w:cs="Courier New" w:hint="default"/>
      </w:rPr>
    </w:lvl>
    <w:lvl w:ilvl="8" w:tplc="5BAE9F72" w:tentative="1">
      <w:start w:val="1"/>
      <w:numFmt w:val="bullet"/>
      <w:lvlText w:val=""/>
      <w:lvlJc w:val="left"/>
      <w:pPr>
        <w:ind w:left="7214" w:hanging="360"/>
      </w:pPr>
      <w:rPr>
        <w:rFonts w:ascii="Wingdings" w:hAnsi="Wingdings" w:hint="default"/>
      </w:rPr>
    </w:lvl>
  </w:abstractNum>
  <w:abstractNum w:abstractNumId="11" w15:restartNumberingAfterBreak="0">
    <w:nsid w:val="609C0DCC"/>
    <w:multiLevelType w:val="multilevel"/>
    <w:tmpl w:val="C1848992"/>
    <w:lvl w:ilvl="0">
      <w:start w:val="1"/>
      <w:numFmt w:val="decimal"/>
      <w:pStyle w:val="Paragraphe"/>
      <w:lvlText w:val="[%1]"/>
      <w:lvlJc w:val="left"/>
      <w:pPr>
        <w:tabs>
          <w:tab w:val="num" w:pos="360"/>
        </w:tabs>
        <w:ind w:left="0" w:firstLine="0"/>
      </w:pPr>
      <w:rPr>
        <w:rFonts w:ascii="Arial" w:hAnsi="Arial"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6B240715"/>
    <w:multiLevelType w:val="hybridMultilevel"/>
    <w:tmpl w:val="06703B64"/>
    <w:lvl w:ilvl="0" w:tplc="DC9AB596">
      <w:start w:val="400"/>
      <w:numFmt w:val="bullet"/>
      <w:lvlText w:val="-"/>
      <w:lvlJc w:val="left"/>
      <w:pPr>
        <w:ind w:left="1094" w:hanging="360"/>
      </w:pPr>
      <w:rPr>
        <w:rFonts w:ascii="Arial" w:eastAsia="Times New Roman" w:hAnsi="Arial" w:cs="Arial" w:hint="default"/>
      </w:rPr>
    </w:lvl>
    <w:lvl w:ilvl="1" w:tplc="E2A8CF48" w:tentative="1">
      <w:start w:val="1"/>
      <w:numFmt w:val="bullet"/>
      <w:lvlText w:val="o"/>
      <w:lvlJc w:val="left"/>
      <w:pPr>
        <w:ind w:left="1814" w:hanging="360"/>
      </w:pPr>
      <w:rPr>
        <w:rFonts w:ascii="Courier New" w:hAnsi="Courier New" w:cs="Courier New" w:hint="default"/>
      </w:rPr>
    </w:lvl>
    <w:lvl w:ilvl="2" w:tplc="8C4A93FC" w:tentative="1">
      <w:start w:val="1"/>
      <w:numFmt w:val="bullet"/>
      <w:lvlText w:val=""/>
      <w:lvlJc w:val="left"/>
      <w:pPr>
        <w:ind w:left="2534" w:hanging="360"/>
      </w:pPr>
      <w:rPr>
        <w:rFonts w:ascii="Wingdings" w:hAnsi="Wingdings" w:hint="default"/>
      </w:rPr>
    </w:lvl>
    <w:lvl w:ilvl="3" w:tplc="C18CB3B2" w:tentative="1">
      <w:start w:val="1"/>
      <w:numFmt w:val="bullet"/>
      <w:lvlText w:val=""/>
      <w:lvlJc w:val="left"/>
      <w:pPr>
        <w:ind w:left="3254" w:hanging="360"/>
      </w:pPr>
      <w:rPr>
        <w:rFonts w:ascii="Symbol" w:hAnsi="Symbol" w:hint="default"/>
      </w:rPr>
    </w:lvl>
    <w:lvl w:ilvl="4" w:tplc="3AA66280" w:tentative="1">
      <w:start w:val="1"/>
      <w:numFmt w:val="bullet"/>
      <w:lvlText w:val="o"/>
      <w:lvlJc w:val="left"/>
      <w:pPr>
        <w:ind w:left="3974" w:hanging="360"/>
      </w:pPr>
      <w:rPr>
        <w:rFonts w:ascii="Courier New" w:hAnsi="Courier New" w:cs="Courier New" w:hint="default"/>
      </w:rPr>
    </w:lvl>
    <w:lvl w:ilvl="5" w:tplc="512ECB3E" w:tentative="1">
      <w:start w:val="1"/>
      <w:numFmt w:val="bullet"/>
      <w:lvlText w:val=""/>
      <w:lvlJc w:val="left"/>
      <w:pPr>
        <w:ind w:left="4694" w:hanging="360"/>
      </w:pPr>
      <w:rPr>
        <w:rFonts w:ascii="Wingdings" w:hAnsi="Wingdings" w:hint="default"/>
      </w:rPr>
    </w:lvl>
    <w:lvl w:ilvl="6" w:tplc="92205D88" w:tentative="1">
      <w:start w:val="1"/>
      <w:numFmt w:val="bullet"/>
      <w:lvlText w:val=""/>
      <w:lvlJc w:val="left"/>
      <w:pPr>
        <w:ind w:left="5414" w:hanging="360"/>
      </w:pPr>
      <w:rPr>
        <w:rFonts w:ascii="Symbol" w:hAnsi="Symbol" w:hint="default"/>
      </w:rPr>
    </w:lvl>
    <w:lvl w:ilvl="7" w:tplc="9AF67A86" w:tentative="1">
      <w:start w:val="1"/>
      <w:numFmt w:val="bullet"/>
      <w:lvlText w:val="o"/>
      <w:lvlJc w:val="left"/>
      <w:pPr>
        <w:ind w:left="6134" w:hanging="360"/>
      </w:pPr>
      <w:rPr>
        <w:rFonts w:ascii="Courier New" w:hAnsi="Courier New" w:cs="Courier New" w:hint="default"/>
      </w:rPr>
    </w:lvl>
    <w:lvl w:ilvl="8" w:tplc="0304149A" w:tentative="1">
      <w:start w:val="1"/>
      <w:numFmt w:val="bullet"/>
      <w:lvlText w:val=""/>
      <w:lvlJc w:val="left"/>
      <w:pPr>
        <w:ind w:left="6854" w:hanging="360"/>
      </w:pPr>
      <w:rPr>
        <w:rFonts w:ascii="Wingdings" w:hAnsi="Wingdings" w:hint="default"/>
      </w:rPr>
    </w:lvl>
  </w:abstractNum>
  <w:num w:numId="1">
    <w:abstractNumId w:val="11"/>
  </w:num>
  <w:num w:numId="2">
    <w:abstractNumId w:val="11"/>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efaultTabStop w:val="73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3E"/>
    <w:rsid w:val="00006B1C"/>
    <w:rsid w:val="00067795"/>
    <w:rsid w:val="00071DB0"/>
    <w:rsid w:val="00107090"/>
    <w:rsid w:val="00153769"/>
    <w:rsid w:val="00214380"/>
    <w:rsid w:val="00270428"/>
    <w:rsid w:val="00312AE2"/>
    <w:rsid w:val="00357158"/>
    <w:rsid w:val="00376353"/>
    <w:rsid w:val="003C220A"/>
    <w:rsid w:val="003E1AAB"/>
    <w:rsid w:val="00410B99"/>
    <w:rsid w:val="00433EF0"/>
    <w:rsid w:val="0045748D"/>
    <w:rsid w:val="004721B2"/>
    <w:rsid w:val="004869BF"/>
    <w:rsid w:val="00540340"/>
    <w:rsid w:val="0055633B"/>
    <w:rsid w:val="005B5F7B"/>
    <w:rsid w:val="005E1FEE"/>
    <w:rsid w:val="005E43B2"/>
    <w:rsid w:val="00613792"/>
    <w:rsid w:val="0064573B"/>
    <w:rsid w:val="006B3F9D"/>
    <w:rsid w:val="006B44FA"/>
    <w:rsid w:val="006B7E95"/>
    <w:rsid w:val="006C3BC7"/>
    <w:rsid w:val="006D2000"/>
    <w:rsid w:val="006F7B00"/>
    <w:rsid w:val="0071786D"/>
    <w:rsid w:val="007B51E9"/>
    <w:rsid w:val="007D6E46"/>
    <w:rsid w:val="008108D2"/>
    <w:rsid w:val="00816E1D"/>
    <w:rsid w:val="00822ACA"/>
    <w:rsid w:val="00823BE3"/>
    <w:rsid w:val="0082743E"/>
    <w:rsid w:val="008341FE"/>
    <w:rsid w:val="00846434"/>
    <w:rsid w:val="0085294A"/>
    <w:rsid w:val="00870ECB"/>
    <w:rsid w:val="008B194A"/>
    <w:rsid w:val="008B7E4B"/>
    <w:rsid w:val="008F2A33"/>
    <w:rsid w:val="00961483"/>
    <w:rsid w:val="00962F7E"/>
    <w:rsid w:val="009D220E"/>
    <w:rsid w:val="00A0154E"/>
    <w:rsid w:val="00A26364"/>
    <w:rsid w:val="00A528E6"/>
    <w:rsid w:val="00A56883"/>
    <w:rsid w:val="00A733D1"/>
    <w:rsid w:val="00AA1FA4"/>
    <w:rsid w:val="00AE444F"/>
    <w:rsid w:val="00B035C8"/>
    <w:rsid w:val="00B3328F"/>
    <w:rsid w:val="00B70D06"/>
    <w:rsid w:val="00BA5B8E"/>
    <w:rsid w:val="00BB2239"/>
    <w:rsid w:val="00BC29BB"/>
    <w:rsid w:val="00BD6119"/>
    <w:rsid w:val="00C2419F"/>
    <w:rsid w:val="00C8587C"/>
    <w:rsid w:val="00CB5799"/>
    <w:rsid w:val="00CD4748"/>
    <w:rsid w:val="00CD6F03"/>
    <w:rsid w:val="00CE7046"/>
    <w:rsid w:val="00D3351D"/>
    <w:rsid w:val="00D7066E"/>
    <w:rsid w:val="00D766DA"/>
    <w:rsid w:val="00D86CC3"/>
    <w:rsid w:val="00DA34B8"/>
    <w:rsid w:val="00DD31C1"/>
    <w:rsid w:val="00DF60D0"/>
    <w:rsid w:val="00E465BA"/>
    <w:rsid w:val="00E633C0"/>
    <w:rsid w:val="00EB61D0"/>
    <w:rsid w:val="00ED2DDC"/>
    <w:rsid w:val="00EE6F04"/>
    <w:rsid w:val="00EF5343"/>
    <w:rsid w:val="00F14425"/>
    <w:rsid w:val="00F2540C"/>
    <w:rsid w:val="00F44E99"/>
    <w:rsid w:val="00F619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D9D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1D0"/>
    <w:rPr>
      <w:rFonts w:ascii="Arial" w:hAnsi="Arial"/>
      <w:sz w:val="24"/>
      <w:lang w:eastAsia="fr-FR"/>
    </w:rPr>
  </w:style>
  <w:style w:type="paragraph" w:styleId="Titre1">
    <w:name w:val="heading 1"/>
    <w:basedOn w:val="Normal"/>
    <w:next w:val="Normal"/>
    <w:qFormat/>
    <w:pPr>
      <w:keepNext/>
      <w:spacing w:before="240" w:after="60"/>
      <w:outlineLvl w:val="0"/>
    </w:pPr>
    <w:rPr>
      <w:b/>
      <w:kern w:val="28"/>
      <w:sz w:val="28"/>
    </w:rPr>
  </w:style>
  <w:style w:type="paragraph" w:styleId="Titre2">
    <w:name w:val="heading 2"/>
    <w:basedOn w:val="Normal"/>
    <w:next w:val="Normal"/>
    <w:qFormat/>
    <w:pPr>
      <w:keepNext/>
      <w:spacing w:before="240" w:after="60"/>
      <w:outlineLvl w:val="1"/>
    </w:pPr>
    <w:rPr>
      <w:b/>
      <w:i/>
    </w:rPr>
  </w:style>
  <w:style w:type="paragraph" w:styleId="Titre3">
    <w:name w:val="heading 3"/>
    <w:basedOn w:val="Normal"/>
    <w:next w:val="Normal"/>
    <w:qFormat/>
    <w:pPr>
      <w:keepNext/>
      <w:spacing w:before="240" w:after="60"/>
      <w:outlineLvl w:val="2"/>
    </w:pPr>
  </w:style>
  <w:style w:type="paragraph" w:styleId="Titre4">
    <w:name w:val="heading 4"/>
    <w:basedOn w:val="Normal"/>
    <w:next w:val="Normal"/>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pPr>
      <w:numPr>
        <w:numId w:val="2"/>
      </w:numPr>
      <w:spacing w:before="120" w:after="120" w:line="500" w:lineRule="exact"/>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basedOn w:val="Policepardfaut"/>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link w:val="NotedebasdepageCar"/>
    <w:semiHidden/>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basedOn w:val="Policepardfaut"/>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pPr>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2"/>
      </w:numPr>
      <w:spacing w:after="120"/>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pPr>
      <w:ind w:firstLine="0"/>
    </w:p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7D6E46"/>
    <w:pPr>
      <w:tabs>
        <w:tab w:val="center" w:pos="4320"/>
        <w:tab w:val="right" w:pos="8640"/>
      </w:tabs>
    </w:pPr>
  </w:style>
  <w:style w:type="character" w:customStyle="1" w:styleId="En-tteCar">
    <w:name w:val="En-tête Car"/>
    <w:basedOn w:val="Policepardfaut"/>
    <w:link w:val="En-tte"/>
    <w:uiPriority w:val="99"/>
    <w:rsid w:val="007D6E46"/>
    <w:rPr>
      <w:rFonts w:ascii="Arial" w:hAnsi="Arial"/>
      <w:sz w:val="24"/>
      <w:lang w:eastAsia="fr-FR"/>
    </w:rPr>
  </w:style>
  <w:style w:type="paragraph" w:styleId="Pieddepage">
    <w:name w:val="footer"/>
    <w:basedOn w:val="Normal"/>
    <w:link w:val="PieddepageCar"/>
    <w:uiPriority w:val="99"/>
    <w:unhideWhenUsed/>
    <w:rsid w:val="007D6E46"/>
    <w:pPr>
      <w:tabs>
        <w:tab w:val="center" w:pos="4320"/>
        <w:tab w:val="right" w:pos="8640"/>
      </w:tabs>
    </w:pPr>
  </w:style>
  <w:style w:type="character" w:customStyle="1" w:styleId="PieddepageCar">
    <w:name w:val="Pied de page Car"/>
    <w:basedOn w:val="Policepardfaut"/>
    <w:link w:val="Pieddepage"/>
    <w:uiPriority w:val="99"/>
    <w:rsid w:val="007D6E46"/>
    <w:rPr>
      <w:rFonts w:ascii="Arial" w:hAnsi="Arial"/>
      <w:sz w:val="24"/>
      <w:lang w:eastAsia="fr-FR"/>
    </w:rPr>
  </w:style>
  <w:style w:type="character" w:styleId="Appelnotedebasdep">
    <w:name w:val="footnote reference"/>
    <w:basedOn w:val="Policepardfaut"/>
    <w:uiPriority w:val="99"/>
    <w:semiHidden/>
    <w:unhideWhenUsed/>
    <w:rsid w:val="00AA1FA4"/>
    <w:rPr>
      <w:vertAlign w:val="superscript"/>
    </w:rPr>
  </w:style>
  <w:style w:type="character" w:customStyle="1" w:styleId="NotedebasdepageCar">
    <w:name w:val="Note de bas de page Car"/>
    <w:basedOn w:val="Policepardfaut"/>
    <w:link w:val="Notedebasdepage"/>
    <w:semiHidden/>
    <w:rsid w:val="00AA1FA4"/>
    <w:rPr>
      <w:rFonts w:ascii="Arial" w:hAnsi="Arial"/>
      <w:lang w:eastAsia="fr-FR"/>
    </w:rPr>
  </w:style>
  <w:style w:type="character" w:styleId="Lienhypertexte">
    <w:name w:val="Hyperlink"/>
    <w:basedOn w:val="Policepardfaut"/>
    <w:uiPriority w:val="99"/>
    <w:unhideWhenUsed/>
    <w:rsid w:val="00A26364"/>
    <w:rPr>
      <w:color w:val="0563C1" w:themeColor="hyperlink"/>
      <w:u w:val="single"/>
    </w:rPr>
  </w:style>
  <w:style w:type="character" w:customStyle="1" w:styleId="Mentionnonrsolue1">
    <w:name w:val="Mention non résolue1"/>
    <w:basedOn w:val="Policepardfaut"/>
    <w:uiPriority w:val="99"/>
    <w:semiHidden/>
    <w:unhideWhenUsed/>
    <w:rsid w:val="00A26364"/>
    <w:rPr>
      <w:color w:val="605E5C"/>
      <w:shd w:val="clear" w:color="auto" w:fill="E1DFDD"/>
    </w:rPr>
  </w:style>
  <w:style w:type="paragraph" w:customStyle="1" w:styleId="paragraphe0">
    <w:name w:val="paragraphe"/>
    <w:basedOn w:val="Normal"/>
    <w:rsid w:val="00071DB0"/>
    <w:pPr>
      <w:spacing w:before="100" w:beforeAutospacing="1" w:after="100" w:afterAutospacing="1"/>
    </w:pPr>
    <w:rPr>
      <w:rFonts w:ascii="Times New Roman" w:hAnsi="Times New Roman"/>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DD8BA-0E63-4B67-A6EF-4D48AEDA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2270</Words>
  <Characters>12490</Characters>
  <Application>Microsoft Office Word</Application>
  <DocSecurity>0</DocSecurity>
  <Lines>104</Lines>
  <Paragraphs>29</Paragraphs>
  <ScaleCrop>false</ScaleCrop>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2023-04-19T17:37:00Z</dcterms:created>
  <dcterms:modified xsi:type="dcterms:W3CDTF">2023-04-19T17:37:00Z</dcterms:modified>
</cp:coreProperties>
</file>