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19" w:type="dxa"/>
        <w:tblLayout w:type="fixed"/>
        <w:tblCellMar>
          <w:left w:w="70" w:type="dxa"/>
          <w:right w:w="70" w:type="dxa"/>
        </w:tblCellMar>
        <w:tblLook w:val="0000" w:firstRow="0" w:lastRow="0" w:firstColumn="0" w:lastColumn="0" w:noHBand="0" w:noVBand="0"/>
      </w:tblPr>
      <w:tblGrid>
        <w:gridCol w:w="1036"/>
        <w:gridCol w:w="69"/>
        <w:gridCol w:w="520"/>
        <w:gridCol w:w="42"/>
        <w:gridCol w:w="1533"/>
        <w:gridCol w:w="1840"/>
        <w:gridCol w:w="2059"/>
        <w:gridCol w:w="2420"/>
      </w:tblGrid>
      <w:tr w:rsidR="00514970" w:rsidTr="00F17414">
        <w:trPr>
          <w:trHeight w:val="360"/>
        </w:trPr>
        <w:tc>
          <w:tcPr>
            <w:tcW w:w="7099" w:type="dxa"/>
            <w:gridSpan w:val="7"/>
          </w:tcPr>
          <w:p w:rsidR="000B2721" w:rsidRPr="006B607D" w:rsidRDefault="006B607D" w:rsidP="006B607D">
            <w:pPr>
              <w:pStyle w:val="zSoquijdatRepertorie"/>
              <w:rPr>
                <w:rFonts w:cs="Arial"/>
              </w:rPr>
            </w:pPr>
            <w:bookmarkStart w:id="0" w:name="_GoBack"/>
            <w:bookmarkEnd w:id="0"/>
            <w:r>
              <w:rPr>
                <w:rFonts w:cs="Arial"/>
              </w:rPr>
              <w:t>R. c. Racicot</w:t>
            </w:r>
          </w:p>
        </w:tc>
        <w:tc>
          <w:tcPr>
            <w:tcW w:w="2420" w:type="dxa"/>
          </w:tcPr>
          <w:p w:rsidR="000B2721" w:rsidRPr="00137C52" w:rsidRDefault="00137C52" w:rsidP="00137C52">
            <w:pPr>
              <w:pStyle w:val="zSoquijdatRefNeutre"/>
              <w:jc w:val="right"/>
              <w:rPr>
                <w:rFonts w:cs="Arial"/>
              </w:rPr>
            </w:pPr>
            <w:r w:rsidRPr="00137C52">
              <w:rPr>
                <w:rFonts w:cs="Arial"/>
              </w:rPr>
              <w:t>2022 QCCQ 1645</w:t>
            </w:r>
          </w:p>
        </w:tc>
      </w:tr>
      <w:tr w:rsidR="00514970" w:rsidTr="00F17414">
        <w:trPr>
          <w:trHeight w:val="900"/>
        </w:trPr>
        <w:tc>
          <w:tcPr>
            <w:tcW w:w="9519" w:type="dxa"/>
            <w:gridSpan w:val="8"/>
            <w:vAlign w:val="bottom"/>
          </w:tcPr>
          <w:p w:rsidR="000B2721" w:rsidRDefault="00B77A4A">
            <w:pPr>
              <w:pStyle w:val="zSoquijlblCour"/>
            </w:pPr>
            <w:r>
              <w:t>COUR DU QUÉBEC</w:t>
            </w:r>
          </w:p>
        </w:tc>
      </w:tr>
      <w:tr w:rsidR="00514970" w:rsidTr="00F17414">
        <w:trPr>
          <w:trHeight w:val="540"/>
        </w:trPr>
        <w:tc>
          <w:tcPr>
            <w:tcW w:w="9519" w:type="dxa"/>
            <w:gridSpan w:val="8"/>
          </w:tcPr>
          <w:p w:rsidR="000B2721" w:rsidRDefault="000B2721">
            <w:pPr>
              <w:pStyle w:val="zSoquijdatDivision"/>
            </w:pPr>
          </w:p>
        </w:tc>
      </w:tr>
      <w:tr w:rsidR="00514970" w:rsidTr="00F17414">
        <w:tc>
          <w:tcPr>
            <w:tcW w:w="9519" w:type="dxa"/>
            <w:gridSpan w:val="8"/>
          </w:tcPr>
          <w:p w:rsidR="000B2721" w:rsidRDefault="00B77A4A">
            <w:pPr>
              <w:pStyle w:val="zSoquijlblPays"/>
            </w:pPr>
            <w:r>
              <w:t>CANADA</w:t>
            </w:r>
          </w:p>
        </w:tc>
      </w:tr>
      <w:tr w:rsidR="00514970" w:rsidTr="00F17414">
        <w:tc>
          <w:tcPr>
            <w:tcW w:w="9519" w:type="dxa"/>
            <w:gridSpan w:val="8"/>
          </w:tcPr>
          <w:p w:rsidR="000B2721" w:rsidRDefault="00B77A4A">
            <w:pPr>
              <w:pStyle w:val="zSoquijlblProvince"/>
            </w:pPr>
            <w:r>
              <w:t>PROVINCE DE QUÉBEC</w:t>
            </w:r>
          </w:p>
        </w:tc>
      </w:tr>
      <w:tr w:rsidR="00514970" w:rsidTr="00F17414">
        <w:tblPrEx>
          <w:tblCellMar>
            <w:left w:w="0" w:type="dxa"/>
            <w:right w:w="0" w:type="dxa"/>
          </w:tblCellMar>
        </w:tblPrEx>
        <w:trPr>
          <w:cantSplit/>
        </w:trPr>
        <w:tc>
          <w:tcPr>
            <w:tcW w:w="1625" w:type="dxa"/>
            <w:gridSpan w:val="3"/>
          </w:tcPr>
          <w:p w:rsidR="000B2721" w:rsidRDefault="00B77A4A">
            <w:pPr>
              <w:pStyle w:val="zSoquijlblGreffe"/>
            </w:pPr>
            <w:r>
              <w:t>DISTRICT DE</w:t>
            </w:r>
          </w:p>
        </w:tc>
        <w:tc>
          <w:tcPr>
            <w:tcW w:w="7894" w:type="dxa"/>
            <w:gridSpan w:val="5"/>
          </w:tcPr>
          <w:p w:rsidR="000B2721" w:rsidRDefault="00B77A4A">
            <w:pPr>
              <w:pStyle w:val="zSoquijdatGreffe"/>
            </w:pPr>
            <w:r>
              <w:t>SAINT-FRANÇOIS</w:t>
            </w:r>
          </w:p>
        </w:tc>
      </w:tr>
      <w:tr w:rsidR="00514970" w:rsidTr="00F17414">
        <w:tblPrEx>
          <w:tblCellMar>
            <w:left w:w="0" w:type="dxa"/>
            <w:right w:w="0" w:type="dxa"/>
          </w:tblCellMar>
        </w:tblPrEx>
        <w:trPr>
          <w:cantSplit/>
        </w:trPr>
        <w:tc>
          <w:tcPr>
            <w:tcW w:w="1667" w:type="dxa"/>
            <w:gridSpan w:val="4"/>
          </w:tcPr>
          <w:p w:rsidR="000B2721" w:rsidRDefault="00B77A4A">
            <w:pPr>
              <w:pStyle w:val="zSoquijlblLocalite"/>
            </w:pPr>
            <w:r>
              <w:t>LOCALITÉ DE</w:t>
            </w:r>
          </w:p>
        </w:tc>
        <w:tc>
          <w:tcPr>
            <w:tcW w:w="7852" w:type="dxa"/>
            <w:gridSpan w:val="4"/>
          </w:tcPr>
          <w:p w:rsidR="000B2721" w:rsidRDefault="00B77A4A">
            <w:pPr>
              <w:pStyle w:val="zSoquijdatLocalite"/>
            </w:pPr>
            <w:r>
              <w:t>SHERBROOKE</w:t>
            </w:r>
          </w:p>
        </w:tc>
      </w:tr>
      <w:tr w:rsidR="00514970" w:rsidTr="00F17414">
        <w:trPr>
          <w:trHeight w:val="540"/>
        </w:trPr>
        <w:tc>
          <w:tcPr>
            <w:tcW w:w="9519" w:type="dxa"/>
            <w:gridSpan w:val="8"/>
          </w:tcPr>
          <w:p w:rsidR="000B2721" w:rsidRDefault="00B77A4A" w:rsidP="004A084B">
            <w:pPr>
              <w:pStyle w:val="zSoquijlblNomChambre"/>
            </w:pPr>
            <w:r>
              <w:rPr>
                <w:lang w:val="fr-FR"/>
              </w:rPr>
              <w:t>«</w:t>
            </w:r>
            <w:r w:rsidR="00456209">
              <w:rPr>
                <w:lang w:val="fr-FR"/>
              </w:rPr>
              <w:t> </w:t>
            </w:r>
            <w:r>
              <w:rPr>
                <w:lang w:val="fr-FR"/>
              </w:rPr>
              <w:t xml:space="preserve">Chambre </w:t>
            </w:r>
            <w:r w:rsidR="004A084B">
              <w:rPr>
                <w:lang w:val="fr-FR"/>
              </w:rPr>
              <w:t>criminelle</w:t>
            </w:r>
            <w:r w:rsidR="00016366">
              <w:rPr>
                <w:lang w:val="fr-FR"/>
              </w:rPr>
              <w:t xml:space="preserve"> et pénale</w:t>
            </w:r>
            <w:r w:rsidR="00456209">
              <w:rPr>
                <w:lang w:val="fr-FR"/>
              </w:rPr>
              <w:t> </w:t>
            </w:r>
            <w:r>
              <w:rPr>
                <w:lang w:val="fr-FR"/>
              </w:rPr>
              <w:t>»</w:t>
            </w:r>
          </w:p>
        </w:tc>
      </w:tr>
      <w:tr w:rsidR="00514970" w:rsidTr="00F17414">
        <w:tc>
          <w:tcPr>
            <w:tcW w:w="1105" w:type="dxa"/>
            <w:gridSpan w:val="2"/>
          </w:tcPr>
          <w:p w:rsidR="000B2721" w:rsidRDefault="00B77A4A">
            <w:pPr>
              <w:pStyle w:val="zSoquijlblNoDossier"/>
            </w:pPr>
            <w:r>
              <w:t>N° :</w:t>
            </w:r>
          </w:p>
        </w:tc>
        <w:tc>
          <w:tcPr>
            <w:tcW w:w="8414" w:type="dxa"/>
            <w:gridSpan w:val="6"/>
          </w:tcPr>
          <w:p w:rsidR="000B2721" w:rsidRDefault="00B77A4A" w:rsidP="00F17414">
            <w:pPr>
              <w:pStyle w:val="zSoquijdatNoDossier"/>
            </w:pPr>
            <w:r>
              <w:t>450-01-121010-214,  450-01-121011-212</w:t>
            </w:r>
          </w:p>
        </w:tc>
      </w:tr>
      <w:tr w:rsidR="00514970" w:rsidTr="00F17414">
        <w:trPr>
          <w:cantSplit/>
          <w:trHeight w:val="235"/>
        </w:trPr>
        <w:tc>
          <w:tcPr>
            <w:tcW w:w="9519" w:type="dxa"/>
            <w:gridSpan w:val="8"/>
          </w:tcPr>
          <w:p w:rsidR="000B2721" w:rsidRDefault="000B2721"/>
        </w:tc>
      </w:tr>
      <w:tr w:rsidR="00514970" w:rsidTr="00F17414">
        <w:tc>
          <w:tcPr>
            <w:tcW w:w="1036" w:type="dxa"/>
          </w:tcPr>
          <w:p w:rsidR="000B2721" w:rsidRDefault="00B77A4A">
            <w:pPr>
              <w:pStyle w:val="zSoquijlblDateJugement"/>
            </w:pPr>
            <w:r>
              <w:t>DATE :</w:t>
            </w:r>
          </w:p>
        </w:tc>
        <w:tc>
          <w:tcPr>
            <w:tcW w:w="8483" w:type="dxa"/>
            <w:gridSpan w:val="7"/>
          </w:tcPr>
          <w:p w:rsidR="000B2721" w:rsidRDefault="00B77A4A" w:rsidP="00066EB8">
            <w:pPr>
              <w:pStyle w:val="zSoquijdatDateJugement"/>
            </w:pPr>
            <w:r>
              <w:t xml:space="preserve"> </w:t>
            </w:r>
            <w:r w:rsidR="00066EB8">
              <w:t>5 avril 2022</w:t>
            </w:r>
          </w:p>
        </w:tc>
      </w:tr>
      <w:tr w:rsidR="00514970" w:rsidTr="00F17414">
        <w:tc>
          <w:tcPr>
            <w:tcW w:w="9519" w:type="dxa"/>
            <w:gridSpan w:val="8"/>
            <w:tcBorders>
              <w:bottom w:val="single" w:sz="12" w:space="0" w:color="auto"/>
            </w:tcBorders>
          </w:tcPr>
          <w:p w:rsidR="000B2721" w:rsidRDefault="000B2721">
            <w:pPr>
              <w:ind w:left="14" w:right="-67"/>
            </w:pPr>
          </w:p>
        </w:tc>
      </w:tr>
      <w:tr w:rsidR="00514970" w:rsidTr="00F17414">
        <w:tc>
          <w:tcPr>
            <w:tcW w:w="9519" w:type="dxa"/>
            <w:gridSpan w:val="8"/>
            <w:tcBorders>
              <w:top w:val="single" w:sz="12" w:space="0" w:color="auto"/>
            </w:tcBorders>
          </w:tcPr>
          <w:p w:rsidR="000B2721" w:rsidRDefault="000B2721"/>
        </w:tc>
      </w:tr>
      <w:tr w:rsidR="00514970" w:rsidTr="00F17414">
        <w:tblPrEx>
          <w:tblCellMar>
            <w:left w:w="0" w:type="dxa"/>
            <w:right w:w="0" w:type="dxa"/>
          </w:tblCellMar>
        </w:tblPrEx>
        <w:tc>
          <w:tcPr>
            <w:tcW w:w="3200" w:type="dxa"/>
            <w:gridSpan w:val="5"/>
          </w:tcPr>
          <w:p w:rsidR="000B2721" w:rsidRDefault="00B77A4A">
            <w:pPr>
              <w:pStyle w:val="zSoquijlblJuge"/>
            </w:pPr>
            <w:r>
              <w:t>SOUS LA PRÉSIDENCE DE</w:t>
            </w:r>
          </w:p>
        </w:tc>
        <w:tc>
          <w:tcPr>
            <w:tcW w:w="1840" w:type="dxa"/>
          </w:tcPr>
          <w:p w:rsidR="000B2721" w:rsidRDefault="00B77A4A">
            <w:pPr>
              <w:pStyle w:val="zSoquijdatQteJuge"/>
            </w:pPr>
            <w:r>
              <w:t>L’HONORABLE</w:t>
            </w:r>
          </w:p>
        </w:tc>
        <w:tc>
          <w:tcPr>
            <w:tcW w:w="4479" w:type="dxa"/>
            <w:gridSpan w:val="2"/>
          </w:tcPr>
          <w:p w:rsidR="000B2721" w:rsidRDefault="00B77A4A" w:rsidP="00F17414">
            <w:pPr>
              <w:pStyle w:val="zSoquijdatJuge"/>
              <w:ind w:left="0"/>
            </w:pPr>
            <w:r>
              <w:t>DANIELLE CÔTÉ, J.C.Q.</w:t>
            </w:r>
          </w:p>
        </w:tc>
      </w:tr>
      <w:tr w:rsidR="00514970" w:rsidTr="00F17414">
        <w:tc>
          <w:tcPr>
            <w:tcW w:w="9519" w:type="dxa"/>
            <w:gridSpan w:val="8"/>
            <w:tcBorders>
              <w:bottom w:val="single" w:sz="12" w:space="0" w:color="auto"/>
            </w:tcBorders>
          </w:tcPr>
          <w:p w:rsidR="000B2721" w:rsidRDefault="000B2721">
            <w:pPr>
              <w:pStyle w:val="zSoquijlblAssesseurs"/>
            </w:pPr>
          </w:p>
        </w:tc>
      </w:tr>
      <w:tr w:rsidR="00514970" w:rsidTr="00F17414">
        <w:tc>
          <w:tcPr>
            <w:tcW w:w="9519" w:type="dxa"/>
            <w:gridSpan w:val="8"/>
            <w:tcBorders>
              <w:top w:val="single" w:sz="12" w:space="0" w:color="auto"/>
            </w:tcBorders>
          </w:tcPr>
          <w:p w:rsidR="000B2721" w:rsidRDefault="000B2721">
            <w:pPr>
              <w:pStyle w:val="zSoquijlblTitrePartie"/>
            </w:pPr>
          </w:p>
        </w:tc>
      </w:tr>
      <w:tr w:rsidR="00514970" w:rsidTr="00F17414">
        <w:tc>
          <w:tcPr>
            <w:tcW w:w="9519" w:type="dxa"/>
            <w:gridSpan w:val="8"/>
          </w:tcPr>
          <w:p w:rsidR="000B2721" w:rsidRDefault="000B2721"/>
        </w:tc>
      </w:tr>
      <w:tr w:rsidR="00514970" w:rsidTr="00F17414">
        <w:tc>
          <w:tcPr>
            <w:tcW w:w="9519" w:type="dxa"/>
            <w:gridSpan w:val="8"/>
          </w:tcPr>
          <w:p w:rsidR="004A084B" w:rsidRDefault="00B77A4A" w:rsidP="004A084B">
            <w:pPr>
              <w:pStyle w:val="zSoquijdatNomPartieDem"/>
            </w:pPr>
            <w:r>
              <w:t>LA REINE</w:t>
            </w:r>
          </w:p>
          <w:p w:rsidR="004A084B" w:rsidRDefault="004A084B" w:rsidP="004A084B">
            <w:pPr>
              <w:pStyle w:val="zSoquijdatNomPartieDem"/>
            </w:pPr>
          </w:p>
        </w:tc>
      </w:tr>
      <w:tr w:rsidR="00514970" w:rsidTr="00F17414">
        <w:tc>
          <w:tcPr>
            <w:tcW w:w="9519" w:type="dxa"/>
            <w:gridSpan w:val="8"/>
          </w:tcPr>
          <w:p w:rsidR="000B2721" w:rsidRDefault="00B77A4A" w:rsidP="00160FD7">
            <w:pPr>
              <w:pStyle w:val="zSoquijdatQtePartieDem"/>
              <w:ind w:left="2180"/>
            </w:pPr>
            <w:r>
              <w:t>P</w:t>
            </w:r>
            <w:r w:rsidR="00160FD7">
              <w:t>oursuivante</w:t>
            </w:r>
          </w:p>
        </w:tc>
      </w:tr>
      <w:tr w:rsidR="00514970" w:rsidTr="00F17414">
        <w:tc>
          <w:tcPr>
            <w:tcW w:w="9519" w:type="dxa"/>
            <w:gridSpan w:val="8"/>
          </w:tcPr>
          <w:p w:rsidR="000B2721" w:rsidRDefault="00B77A4A">
            <w:pPr>
              <w:pStyle w:val="zSoquijlblLienParties"/>
            </w:pPr>
            <w:r>
              <w:t>c.</w:t>
            </w:r>
          </w:p>
          <w:p w:rsidR="004A084B" w:rsidRDefault="004A084B">
            <w:pPr>
              <w:pStyle w:val="zSoquijlblLienParties"/>
            </w:pPr>
          </w:p>
        </w:tc>
      </w:tr>
      <w:tr w:rsidR="00514970" w:rsidTr="00F17414">
        <w:tc>
          <w:tcPr>
            <w:tcW w:w="9519" w:type="dxa"/>
            <w:gridSpan w:val="8"/>
          </w:tcPr>
          <w:p w:rsidR="000B2721" w:rsidRDefault="00B77A4A">
            <w:pPr>
              <w:pStyle w:val="zSoquijdatNomPartieDef"/>
            </w:pPr>
            <w:r>
              <w:t>CARL RACICOT</w:t>
            </w:r>
          </w:p>
          <w:p w:rsidR="004A084B" w:rsidRDefault="004A084B">
            <w:pPr>
              <w:pStyle w:val="zSoquijdatNomPartieDef"/>
            </w:pPr>
          </w:p>
        </w:tc>
      </w:tr>
      <w:tr w:rsidR="00514970" w:rsidTr="00F17414">
        <w:tc>
          <w:tcPr>
            <w:tcW w:w="9519" w:type="dxa"/>
            <w:gridSpan w:val="8"/>
          </w:tcPr>
          <w:p w:rsidR="000B2721" w:rsidRDefault="00B77A4A" w:rsidP="002E2D4A">
            <w:pPr>
              <w:pStyle w:val="zSoquijdatQtePartieDef"/>
              <w:ind w:left="2180"/>
            </w:pPr>
            <w:r>
              <w:t>Accusé</w:t>
            </w:r>
          </w:p>
        </w:tc>
      </w:tr>
      <w:tr w:rsidR="00514970" w:rsidTr="00F17414">
        <w:tc>
          <w:tcPr>
            <w:tcW w:w="9519" w:type="dxa"/>
            <w:gridSpan w:val="8"/>
          </w:tcPr>
          <w:p w:rsidR="000B2721" w:rsidRDefault="000B2721">
            <w:pPr>
              <w:ind w:left="14" w:right="-95"/>
            </w:pPr>
          </w:p>
        </w:tc>
      </w:tr>
      <w:tr w:rsidR="00514970" w:rsidTr="00F17414">
        <w:tc>
          <w:tcPr>
            <w:tcW w:w="9519" w:type="dxa"/>
            <w:gridSpan w:val="8"/>
            <w:tcBorders>
              <w:bottom w:val="single" w:sz="12" w:space="0" w:color="auto"/>
            </w:tcBorders>
          </w:tcPr>
          <w:p w:rsidR="000B2721" w:rsidRDefault="000B2721">
            <w:pPr>
              <w:ind w:left="14" w:right="-95"/>
            </w:pPr>
          </w:p>
        </w:tc>
      </w:tr>
      <w:tr w:rsidR="00514970" w:rsidTr="00F17414">
        <w:tc>
          <w:tcPr>
            <w:tcW w:w="9519" w:type="dxa"/>
            <w:gridSpan w:val="8"/>
            <w:tcBorders>
              <w:top w:val="single" w:sz="12" w:space="0" w:color="auto"/>
            </w:tcBorders>
          </w:tcPr>
          <w:p w:rsidR="000B2721" w:rsidRDefault="000B2721">
            <w:pPr>
              <w:jc w:val="center"/>
            </w:pPr>
          </w:p>
        </w:tc>
      </w:tr>
      <w:tr w:rsidR="00514970" w:rsidTr="00F17414">
        <w:tc>
          <w:tcPr>
            <w:tcW w:w="9519" w:type="dxa"/>
            <w:gridSpan w:val="8"/>
          </w:tcPr>
          <w:p w:rsidR="000B2721" w:rsidRPr="00FC3001" w:rsidRDefault="00B77A4A" w:rsidP="00403940">
            <w:pPr>
              <w:pStyle w:val="zSoquijlblTypeDocument"/>
              <w:rPr>
                <w:b/>
              </w:rPr>
            </w:pPr>
            <w:r w:rsidRPr="00FC3001">
              <w:rPr>
                <w:b/>
              </w:rPr>
              <w:t>JUGEMENT</w:t>
            </w:r>
            <w:r w:rsidR="001115C8">
              <w:rPr>
                <w:b/>
              </w:rPr>
              <w:t xml:space="preserve"> SUR LA PEINE</w:t>
            </w:r>
          </w:p>
        </w:tc>
      </w:tr>
      <w:tr w:rsidR="00514970" w:rsidTr="00F17414">
        <w:tc>
          <w:tcPr>
            <w:tcW w:w="9519" w:type="dxa"/>
            <w:gridSpan w:val="8"/>
            <w:tcBorders>
              <w:bottom w:val="single" w:sz="12" w:space="0" w:color="auto"/>
            </w:tcBorders>
          </w:tcPr>
          <w:p w:rsidR="000B2721" w:rsidRDefault="000B2721">
            <w:pPr>
              <w:ind w:left="14" w:right="-70"/>
            </w:pPr>
          </w:p>
        </w:tc>
      </w:tr>
      <w:tr w:rsidR="00514970" w:rsidTr="00F17414">
        <w:tc>
          <w:tcPr>
            <w:tcW w:w="9519" w:type="dxa"/>
            <w:gridSpan w:val="8"/>
            <w:tcBorders>
              <w:top w:val="single" w:sz="12" w:space="0" w:color="auto"/>
            </w:tcBorders>
          </w:tcPr>
          <w:p w:rsidR="000B2721" w:rsidRDefault="000B2721"/>
        </w:tc>
      </w:tr>
    </w:tbl>
    <w:p w:rsidR="00EB15C6" w:rsidRDefault="00B77A4A" w:rsidP="007216E2">
      <w:pPr>
        <w:pStyle w:val="Paragraphe"/>
        <w:spacing w:before="240"/>
      </w:pPr>
      <w:r>
        <w:t>Quelle est la peine juste et appropriée pour un jeune adulte de 25 ans qui plaide coupable à deux accusations de possession dans le but de trafic de cocaïne et de crack et une accusation de possession de biens criminellement obtenus?</w:t>
      </w:r>
    </w:p>
    <w:p w:rsidR="008F5F35" w:rsidRDefault="00B77A4A" w:rsidP="006254E7">
      <w:pPr>
        <w:pStyle w:val="ParagAlaMarge"/>
      </w:pPr>
      <w:r>
        <w:t>LA GRAVITÉ O</w:t>
      </w:r>
      <w:r w:rsidR="008D7F4F">
        <w:t>B</w:t>
      </w:r>
      <w:r>
        <w:t>JECTIVE</w:t>
      </w:r>
    </w:p>
    <w:p w:rsidR="00F33E1E" w:rsidRDefault="00B77A4A" w:rsidP="00F33E1E">
      <w:pPr>
        <w:pStyle w:val="Paragraphe"/>
      </w:pPr>
      <w:r>
        <w:t xml:space="preserve">Les accusations de possession de </w:t>
      </w:r>
      <w:r w:rsidR="007D1A10">
        <w:t>stupéfiants</w:t>
      </w:r>
      <w:r>
        <w:t xml:space="preserve"> dans</w:t>
      </w:r>
      <w:r w:rsidR="007D1A10">
        <w:t xml:space="preserve"> le but de trafic sont passibles de</w:t>
      </w:r>
      <w:r>
        <w:t xml:space="preserve"> l’emprisonnemen</w:t>
      </w:r>
      <w:r w:rsidR="007D1A10">
        <w:t>t à perpétuité, la peine la plus sévère prévue par le législateur.</w:t>
      </w:r>
    </w:p>
    <w:p w:rsidR="007D1A10" w:rsidRDefault="00B77A4A" w:rsidP="00F33E1E">
      <w:pPr>
        <w:pStyle w:val="Paragraphe"/>
      </w:pPr>
      <w:r>
        <w:t>Celle de possession de biens criminellement obtenus est passible d’un emprisonnement de deux ans.</w:t>
      </w:r>
    </w:p>
    <w:p w:rsidR="008F5F35" w:rsidRDefault="00B77A4A" w:rsidP="00104181">
      <w:pPr>
        <w:pStyle w:val="ParagAlaMarge"/>
      </w:pPr>
      <w:r>
        <w:t>LE CONTEXTE</w:t>
      </w:r>
    </w:p>
    <w:p w:rsidR="00665824" w:rsidRDefault="00B77A4A" w:rsidP="004A6A9D">
      <w:pPr>
        <w:pStyle w:val="Paragraphe"/>
      </w:pPr>
      <w:r>
        <w:t xml:space="preserve">Les </w:t>
      </w:r>
      <w:r w:rsidR="007D1A10">
        <w:t>accusations font suite à l’opération Glace visant le démantèlement d’un réseau de stupéfiants.</w:t>
      </w:r>
      <w:r w:rsidR="00957915">
        <w:t xml:space="preserve"> </w:t>
      </w:r>
    </w:p>
    <w:p w:rsidR="00957915" w:rsidRDefault="00B77A4A" w:rsidP="004A6A9D">
      <w:pPr>
        <w:pStyle w:val="Paragraphe"/>
      </w:pPr>
      <w:r>
        <w:t>Le 26 novembre 2020,  l’accusé</w:t>
      </w:r>
      <w:r w:rsidR="00BF51AC">
        <w:t xml:space="preserve"> est arrêté en possession de 26.</w:t>
      </w:r>
      <w:r>
        <w:t xml:space="preserve">70 grammes de </w:t>
      </w:r>
      <w:r w:rsidR="005705C8">
        <w:t>cocaïne, 5.64 grammes de crack et 1 920 $</w:t>
      </w:r>
      <w:r>
        <w:t xml:space="preserve">.  On retrouve également dans son véhicule un </w:t>
      </w:r>
      <w:r w:rsidR="005705C8">
        <w:t>coffre-fort</w:t>
      </w:r>
      <w:r>
        <w:t>, des petits sacs servant au trafic et une balance.</w:t>
      </w:r>
    </w:p>
    <w:p w:rsidR="00957915" w:rsidRDefault="00B77A4A" w:rsidP="00957915">
      <w:pPr>
        <w:pStyle w:val="Paragraphe"/>
      </w:pPr>
      <w:r>
        <w:t>Le lendemain</w:t>
      </w:r>
      <w:r w:rsidR="005705C8">
        <w:t>,</w:t>
      </w:r>
      <w:r>
        <w:t xml:space="preserve"> les policiers perquisitionnent sa résidence et saisissent une balance, des listes de comptabilité et deux cellulaires.</w:t>
      </w:r>
    </w:p>
    <w:p w:rsidR="00020BD3" w:rsidRDefault="00B77A4A" w:rsidP="00020BD3">
      <w:pPr>
        <w:pStyle w:val="ParagAlaMarge"/>
      </w:pPr>
      <w:r>
        <w:t>LA SITUATION DE L’ACCUSÉ</w:t>
      </w:r>
    </w:p>
    <w:p w:rsidR="00E5322F" w:rsidRDefault="00B77A4A" w:rsidP="004A6A9D">
      <w:pPr>
        <w:pStyle w:val="Paragraphe"/>
      </w:pPr>
      <w:r>
        <w:t>L’accusé est âgé</w:t>
      </w:r>
      <w:r w:rsidR="00957915">
        <w:t xml:space="preserve"> de 25 ans.</w:t>
      </w:r>
      <w:r>
        <w:t xml:space="preserve">  Depuis août 2020, il est en couple avec sa conjointe qui, au moment de la rédaction du rapport présentenciel, occupe un emploi de nuit depuis quelque temps.</w:t>
      </w:r>
    </w:p>
    <w:p w:rsidR="00E5322F" w:rsidRDefault="00B77A4A" w:rsidP="004A6A9D">
      <w:pPr>
        <w:pStyle w:val="Paragraphe"/>
      </w:pPr>
      <w:r>
        <w:t>Cette dernière a cessé la consommation de cocaïne à la demande de l’accusé et se dit ouverte à envisager de l’aide afin de cesser sa consommation de cannabis.</w:t>
      </w:r>
    </w:p>
    <w:p w:rsidR="00C124B1" w:rsidRDefault="00B77A4A" w:rsidP="004A6A9D">
      <w:pPr>
        <w:pStyle w:val="Paragraphe"/>
      </w:pPr>
      <w:r>
        <w:t>Jusqu’en juillet 2020, il travaille à titre d’opérateur de casse</w:t>
      </w:r>
      <w:r w:rsidR="00C173B8">
        <w:t>-</w:t>
      </w:r>
      <w:r>
        <w:t>pierre pour la compagnie d’excavation de son père.  Emploi qu’il quitte, lassé de ne pas être reconnu à sa juste valeur.</w:t>
      </w:r>
    </w:p>
    <w:p w:rsidR="00E5322F" w:rsidRDefault="00B77A4A" w:rsidP="004A6A9D">
      <w:pPr>
        <w:pStyle w:val="Paragraphe"/>
      </w:pPr>
      <w:r>
        <w:t xml:space="preserve">Bénéficiant de la </w:t>
      </w:r>
      <w:r w:rsidR="00557B5B">
        <w:t>Prestation canadienne d’urgence (</w:t>
      </w:r>
      <w:r>
        <w:t>PCU</w:t>
      </w:r>
      <w:r w:rsidR="00557B5B">
        <w:t>)</w:t>
      </w:r>
      <w:r w:rsidR="00D144BB">
        <w:t xml:space="preserve"> depuis février 2021</w:t>
      </w:r>
      <w:r>
        <w:t xml:space="preserve"> au moment de la rédaction du rapport</w:t>
      </w:r>
      <w:r w:rsidR="005705C8">
        <w:t>,</w:t>
      </w:r>
      <w:r w:rsidR="00BF51AC">
        <w:t xml:space="preserve"> il renonce</w:t>
      </w:r>
      <w:r>
        <w:t xml:space="preserve"> à s’en prévaloir, craignant un effet défavorable eu égard à la peine que le Tribunal doit prononcer.</w:t>
      </w:r>
    </w:p>
    <w:p w:rsidR="00E5322F" w:rsidRDefault="00B77A4A" w:rsidP="004A6A9D">
      <w:pPr>
        <w:pStyle w:val="Paragraphe"/>
      </w:pPr>
      <w:r>
        <w:t>Depuis juin 2021, il effectue un remplacement ponctuel au sein de</w:t>
      </w:r>
      <w:r w:rsidR="005705C8">
        <w:t xml:space="preserve"> l’entreprise de son père </w:t>
      </w:r>
      <w:r>
        <w:t xml:space="preserve">et, parallèlement, il est en démarche pour créer une entreprise d’esthétique automobile et de bateau, dans un garage </w:t>
      </w:r>
      <w:r w:rsidR="00DD6FBE" w:rsidRPr="004E58DD">
        <w:t>appartenant au</w:t>
      </w:r>
      <w:r w:rsidR="00DD6FBE">
        <w:t xml:space="preserve"> </w:t>
      </w:r>
      <w:r>
        <w:t xml:space="preserve">conjoint de sa mère, celle-ci étant </w:t>
      </w:r>
      <w:r w:rsidR="00DD6FBE" w:rsidRPr="004E58DD">
        <w:t>d’ailleurs</w:t>
      </w:r>
      <w:r w:rsidR="00DD6FBE">
        <w:t xml:space="preserve"> </w:t>
      </w:r>
      <w:r>
        <w:t>prête à investir dans c</w:t>
      </w:r>
      <w:r w:rsidR="00E901B0">
        <w:t>ette entreprise. Il e</w:t>
      </w:r>
      <w:r>
        <w:t>ffectue des stages non rémunérés à cet endroit.</w:t>
      </w:r>
    </w:p>
    <w:p w:rsidR="00E5322F" w:rsidRDefault="00B77A4A" w:rsidP="004A6A9D">
      <w:pPr>
        <w:pStyle w:val="Paragraphe"/>
      </w:pPr>
      <w:r>
        <w:t>Il en est à ses premiers démêlés avec la justice.</w:t>
      </w:r>
    </w:p>
    <w:p w:rsidR="00020BD3" w:rsidRPr="00C61E62" w:rsidRDefault="00B77A4A" w:rsidP="00C64361">
      <w:pPr>
        <w:pStyle w:val="ParagAlaMarge"/>
      </w:pPr>
      <w:r>
        <w:t xml:space="preserve">LE RAPPORT PRÉSENTENCIEL </w:t>
      </w:r>
    </w:p>
    <w:p w:rsidR="002C53A9" w:rsidRDefault="00B77A4A" w:rsidP="004A6A9D">
      <w:pPr>
        <w:pStyle w:val="Paragraphe"/>
      </w:pPr>
      <w:r>
        <w:t>L</w:t>
      </w:r>
      <w:r w:rsidR="00797C36">
        <w:t>’</w:t>
      </w:r>
      <w:r w:rsidR="00233B5F">
        <w:t>agent de probation constate que le passage à l’acte est contemporain avec sa décision de laisser son emploi.  Ses revenus étant à la baisse, il est impressionné par le haut niveau de vie de son ami, impliqué dans la vente de stupéfiants.</w:t>
      </w:r>
    </w:p>
    <w:p w:rsidR="00233B5F" w:rsidRDefault="00B77A4A" w:rsidP="004A6A9D">
      <w:pPr>
        <w:pStyle w:val="Paragraphe"/>
        <w:rPr>
          <w:i/>
        </w:rPr>
      </w:pPr>
      <w:r>
        <w:t>L’agent de probation ajoute que l’accusé «</w:t>
      </w:r>
      <w:r w:rsidR="00A367B3">
        <w:t xml:space="preserve"> </w:t>
      </w:r>
      <w:r>
        <w:rPr>
          <w:i/>
        </w:rPr>
        <w:t>a été obnu</w:t>
      </w:r>
      <w:r w:rsidRPr="00233B5F">
        <w:rPr>
          <w:i/>
        </w:rPr>
        <w:t>bilé par la facilité et la rapidité de gagner de l’argent et par la banalisation et la valorisation de ce ty</w:t>
      </w:r>
      <w:r w:rsidR="0069578C">
        <w:rPr>
          <w:i/>
        </w:rPr>
        <w:t>pe d’activités criminelles »</w:t>
      </w:r>
      <w:r>
        <w:rPr>
          <w:rStyle w:val="Appelnotedebasdep"/>
          <w:i/>
        </w:rPr>
        <w:footnoteReference w:id="1"/>
      </w:r>
      <w:r w:rsidR="00FC7E56">
        <w:rPr>
          <w:i/>
        </w:rPr>
        <w:t>.</w:t>
      </w:r>
    </w:p>
    <w:p w:rsidR="00233B5F" w:rsidRPr="00233B5F" w:rsidRDefault="00B77A4A" w:rsidP="004A6A9D">
      <w:pPr>
        <w:pStyle w:val="Paragraphe"/>
        <w:rPr>
          <w:i/>
        </w:rPr>
      </w:pPr>
      <w:r>
        <w:t xml:space="preserve">Son but étant d’amasser rapidement de l’argent pour </w:t>
      </w:r>
      <w:r w:rsidR="005705C8" w:rsidRPr="004E58DD">
        <w:t>lance</w:t>
      </w:r>
      <w:r w:rsidRPr="004E58DD">
        <w:t>r</w:t>
      </w:r>
      <w:r w:rsidR="00491C63">
        <w:t xml:space="preserve"> une entreprise, l</w:t>
      </w:r>
      <w:r w:rsidR="00297798">
        <w:t>’appât du gain est donc à la source de ses activités criminelles.</w:t>
      </w:r>
    </w:p>
    <w:p w:rsidR="00233B5F" w:rsidRPr="00297798" w:rsidRDefault="00B77A4A" w:rsidP="004A6A9D">
      <w:pPr>
        <w:pStyle w:val="Paragraphe"/>
        <w:rPr>
          <w:i/>
        </w:rPr>
      </w:pPr>
      <w:r>
        <w:t xml:space="preserve">Par ailleurs, bien que la consommation de drogues ne soit pas la cause directe du passage à l’acte, l’agent mentionne </w:t>
      </w:r>
      <w:r w:rsidR="00DD6FBE" w:rsidRPr="004E58DD">
        <w:t>que</w:t>
      </w:r>
      <w:r w:rsidR="00DD6FBE">
        <w:t xml:space="preserve"> </w:t>
      </w:r>
      <w:r>
        <w:t xml:space="preserve">ses habitudes de consommation ont contribué à détériorer un réseau social alors </w:t>
      </w:r>
      <w:r w:rsidR="00513CB3" w:rsidRPr="004E58DD">
        <w:t>équilibré</w:t>
      </w:r>
      <w:r w:rsidR="004E58DD">
        <w:t>.</w:t>
      </w:r>
    </w:p>
    <w:p w:rsidR="00297798" w:rsidRPr="00233B5F" w:rsidRDefault="00B77A4A" w:rsidP="004A6A9D">
      <w:pPr>
        <w:pStyle w:val="Paragraphe"/>
        <w:rPr>
          <w:i/>
        </w:rPr>
      </w:pPr>
      <w:r>
        <w:t xml:space="preserve">Il admet son entière responsabilité et fait preuve de transparence, confessant même </w:t>
      </w:r>
      <w:r w:rsidR="008D7F4F">
        <w:t xml:space="preserve">trafiquer </w:t>
      </w:r>
      <w:r w:rsidR="001A2748">
        <w:t xml:space="preserve">depuis quelques mois. </w:t>
      </w:r>
      <w:r>
        <w:t xml:space="preserve">Il a cessé de fréquenter des pairs impliqués dans des activités criminelles et </w:t>
      </w:r>
      <w:r w:rsidR="00DD6FBE" w:rsidRPr="004E58DD">
        <w:t>a</w:t>
      </w:r>
      <w:r w:rsidR="00DD6FBE">
        <w:t xml:space="preserve"> </w:t>
      </w:r>
      <w:r w:rsidR="00513CB3">
        <w:t xml:space="preserve">retrouvé un entourage </w:t>
      </w:r>
      <w:r>
        <w:t>sain.</w:t>
      </w:r>
    </w:p>
    <w:p w:rsidR="00233B5F" w:rsidRPr="00215721" w:rsidRDefault="00B77A4A" w:rsidP="004A6A9D">
      <w:pPr>
        <w:pStyle w:val="Paragraphe"/>
        <w:rPr>
          <w:i/>
        </w:rPr>
      </w:pPr>
      <w:r>
        <w:t>Depuis son arrestation, l’accusé ne consomme plus de d</w:t>
      </w:r>
      <w:r w:rsidR="001A2748">
        <w:t>rogues.</w:t>
      </w:r>
      <w:r>
        <w:t xml:space="preserve"> Il a toutefois un problème de consommation d’alcool, buvant jusqu’à l’ivresse à chaque occasion.</w:t>
      </w:r>
    </w:p>
    <w:p w:rsidR="00215721" w:rsidRPr="00215721" w:rsidRDefault="00B77A4A" w:rsidP="004A6A9D">
      <w:pPr>
        <w:pStyle w:val="Paragraphe"/>
        <w:rPr>
          <w:i/>
        </w:rPr>
      </w:pPr>
      <w:r>
        <w:t>Optimiste quant au pronostic de réinsertion sociale, l’agent de probation mentionne :</w:t>
      </w:r>
    </w:p>
    <w:p w:rsidR="00215721" w:rsidRDefault="00B77A4A" w:rsidP="00513CB3">
      <w:pPr>
        <w:pStyle w:val="Citationenretrait"/>
      </w:pPr>
      <w:r>
        <w:t xml:space="preserve">Nous assistons à une mobilisation du contrevenant pour une meilleure prise en charge de sa vie et un retour vers ses valeurs de bases soient, l’honnêteté, l’effort et la persévérance et rejette celles qui s’y opposent, s’entoure de personnes y adhérant ou les incitent à </w:t>
      </w:r>
      <w:r w:rsidR="001B31A8">
        <w:t>y</w:t>
      </w:r>
      <w:r>
        <w:t xml:space="preserve"> adhérer comme pour sa conjointe.</w:t>
      </w:r>
    </w:p>
    <w:p w:rsidR="00215721" w:rsidRPr="00215721" w:rsidRDefault="00B77A4A" w:rsidP="00513CB3">
      <w:pPr>
        <w:pStyle w:val="Citationenretrait"/>
        <w:rPr>
          <w:i/>
        </w:rPr>
      </w:pPr>
      <w:r>
        <w:t>Son arrestation, de même que les actuelles procédures judiciaires, l’ont confronté à la banalisation de sa situation et contribués à une meilleure compréhension de la gravité de sa position</w:t>
      </w:r>
      <w:r w:rsidR="00A9208C">
        <w:t xml:space="preserve"> qu’il sous-estimait au départ. </w:t>
      </w:r>
      <w:r>
        <w:t>Il prend au sérieux la situation et se montre manifestement intéressé par le dénouement du processus judiciaire et le verbalise tout en se disant prêt à faire face aux conséquences de ses gestes.  Compte tenu de ce qui précède, le risque de récidive pour des délits de toutes natures à court et à moyen t</w:t>
      </w:r>
      <w:r w:rsidR="00557B5B">
        <w:t>erme nous apparait faible.</w:t>
      </w:r>
      <w:r>
        <w:rPr>
          <w:rStyle w:val="Appelnotedebasdep"/>
        </w:rPr>
        <w:footnoteReference w:id="2"/>
      </w:r>
      <w:r w:rsidR="000C4202">
        <w:t> </w:t>
      </w:r>
      <w:r>
        <w:t>(Reproduction intégrale)</w:t>
      </w:r>
    </w:p>
    <w:p w:rsidR="00215721" w:rsidRDefault="00B77A4A" w:rsidP="004A6A9D">
      <w:pPr>
        <w:pStyle w:val="Paragraphe"/>
      </w:pPr>
      <w:r w:rsidRPr="00215721">
        <w:t>Malgré</w:t>
      </w:r>
      <w:r>
        <w:t xml:space="preserve"> tout</w:t>
      </w:r>
      <w:r w:rsidR="00513CB3">
        <w:t>,</w:t>
      </w:r>
      <w:r>
        <w:t xml:space="preserve"> l’agent de probation constate une certaine difficulté quant à la gestion d’un budget et une personnalité influençable</w:t>
      </w:r>
      <w:r w:rsidR="00557B5B">
        <w:t>,</w:t>
      </w:r>
      <w:r>
        <w:t xml:space="preserve"> suggérant un accompagnement à cet égard</w:t>
      </w:r>
      <w:r w:rsidR="00557B5B">
        <w:t>,</w:t>
      </w:r>
      <w:r>
        <w:t xml:space="preserve"> et soulignant que l’accusé est ouvert à une intervention en ce sens. </w:t>
      </w:r>
    </w:p>
    <w:p w:rsidR="00215721" w:rsidRPr="00215721" w:rsidRDefault="00B77A4A" w:rsidP="004A6A9D">
      <w:pPr>
        <w:pStyle w:val="Paragraphe"/>
      </w:pPr>
      <w:r>
        <w:t>Finalement, afin d’éviter que l’accusé fasse de mauvais choix, l’agent de probation est d’avis qu’il doit régler son problème de consommation d’alcool.</w:t>
      </w:r>
    </w:p>
    <w:p w:rsidR="008F5F35" w:rsidRDefault="00B77A4A" w:rsidP="008F5F35">
      <w:pPr>
        <w:pStyle w:val="ParagAlaMarge"/>
      </w:pPr>
      <w:r>
        <w:t>LA POSITION DES PARTIES</w:t>
      </w:r>
    </w:p>
    <w:p w:rsidR="008B2442" w:rsidRDefault="00B77A4A" w:rsidP="002E2D4A">
      <w:pPr>
        <w:pStyle w:val="Paragraphe"/>
      </w:pPr>
      <w:r>
        <w:t>Invoquant la nature de la drogue et sa v</w:t>
      </w:r>
      <w:r w:rsidR="003E4B14">
        <w:t>aleur de revente sur le marché,</w:t>
      </w:r>
      <w:r>
        <w:t xml:space="preserve"> le fait que les crimes ont été commis par appât du gain, qu’il ne s’agi</w:t>
      </w:r>
      <w:r w:rsidR="008D7F4F">
        <w:t>t</w:t>
      </w:r>
      <w:r>
        <w:t xml:space="preserve"> pas d’un incident isolé, et ce, compte tenu des aveux de l’a</w:t>
      </w:r>
      <w:r w:rsidR="00C173B8">
        <w:t>ccusé à l’agent de probation et</w:t>
      </w:r>
      <w:r w:rsidR="00557B5B">
        <w:t xml:space="preserve"> </w:t>
      </w:r>
      <w:r>
        <w:t>le rôle de l’accusé dans l’organisation, la Couronne sug</w:t>
      </w:r>
      <w:r w:rsidR="003E4B14">
        <w:t xml:space="preserve">gère une peine de </w:t>
      </w:r>
      <w:r>
        <w:t>12 mois avec un suivi probatoire.</w:t>
      </w:r>
    </w:p>
    <w:p w:rsidR="00BC43FA" w:rsidRDefault="00B77A4A" w:rsidP="002E2D4A">
      <w:pPr>
        <w:pStyle w:val="Paragraphe"/>
      </w:pPr>
      <w:r>
        <w:t>Elle rappelle qu’il subsiste des risques qu’il retombe dans la criminalité en raison de sa consommation excessive d’alcool et de ses difficultés en lien avec la gestion de son budget.</w:t>
      </w:r>
    </w:p>
    <w:p w:rsidR="009E4B53" w:rsidRDefault="00B77A4A" w:rsidP="009E4B53">
      <w:pPr>
        <w:pStyle w:val="Paragraphe"/>
      </w:pPr>
      <w:r>
        <w:t>La défense insiste sur le fait qu’il n’y a aucune preuve de la valeur de revente de la drogue ni quant à son rôle dans l’organisation puisque la seule preuve à cet égard est un commentaire de l’agent de probation basé sur une enquête policière.</w:t>
      </w:r>
    </w:p>
    <w:p w:rsidR="009E4B53" w:rsidRDefault="00B77A4A" w:rsidP="009E4B53">
      <w:pPr>
        <w:pStyle w:val="Paragraphe"/>
      </w:pPr>
      <w:r>
        <w:t xml:space="preserve">Tout en admettant la gravité </w:t>
      </w:r>
      <w:r w:rsidR="003E4B14">
        <w:t xml:space="preserve">objective des gestes posés, </w:t>
      </w:r>
      <w:r>
        <w:t>compte tenu des circonstances particulières de l’espèce,  la défense suggère une peine d’emprisonnement de 90 jours à être purgée de façon discontinue, l’exécution de 240 heures de service communautaire</w:t>
      </w:r>
      <w:r w:rsidR="00B44D1E">
        <w:t>, un don de 1 000 $</w:t>
      </w:r>
      <w:r>
        <w:t xml:space="preserve"> à un organisme de charité et un suivi probatoire.</w:t>
      </w:r>
    </w:p>
    <w:p w:rsidR="00BC43FA" w:rsidRDefault="00B77A4A" w:rsidP="009E4B53">
      <w:pPr>
        <w:pStyle w:val="Paragraphe"/>
      </w:pPr>
      <w:r>
        <w:t xml:space="preserve">L’accusé étant un </w:t>
      </w:r>
      <w:r w:rsidR="009E4B53">
        <w:t>actif pour la société, l’absence d’antécédents judiciaires,</w:t>
      </w:r>
      <w:r w:rsidR="00491C63">
        <w:t xml:space="preserve"> le plaidoyer de culpabilité et</w:t>
      </w:r>
      <w:r w:rsidR="009E4B53">
        <w:t xml:space="preserve"> la preuve de réhabilitation sont autant d’éléments qui, à son avis, justifient cette suggestion.</w:t>
      </w:r>
    </w:p>
    <w:p w:rsidR="00B63945" w:rsidRDefault="00B77A4A" w:rsidP="00B63945">
      <w:pPr>
        <w:pStyle w:val="ParagAlaMarge"/>
      </w:pPr>
      <w:r>
        <w:t>LES OBJECTIFS ET PRINCIPES APPLICABLES À LA DÉTERMINATION DE LA PEINE</w:t>
      </w:r>
    </w:p>
    <w:p w:rsidR="00B63945" w:rsidRPr="003974AB" w:rsidRDefault="00B77A4A" w:rsidP="00B13DF5">
      <w:pPr>
        <w:pStyle w:val="Paragraphe"/>
      </w:pPr>
      <w:r>
        <w:t xml:space="preserve">L’article 10 de la </w:t>
      </w:r>
      <w:r w:rsidRPr="00B44D1E">
        <w:rPr>
          <w:i/>
          <w:iCs/>
        </w:rPr>
        <w:t>Loi réglementant certaines drogues et autres substances</w:t>
      </w:r>
      <w:r>
        <w:rPr>
          <w:rStyle w:val="Appelnotedebasdep"/>
          <w:iCs/>
        </w:rPr>
        <w:footnoteReference w:id="3"/>
      </w:r>
      <w:r>
        <w:t xml:space="preserve"> précise que le prononcé de la peine </w:t>
      </w:r>
      <w:r w:rsidRPr="009B29FD">
        <w:t>« </w:t>
      </w:r>
      <w:r w:rsidRPr="00526230">
        <w:rPr>
          <w:i/>
        </w:rPr>
        <w:t>a pour objectif essentiel de contribuer au respect de la loi et au maintien d’une société juste, paisible et sûre tout en favorisant la réinsertion sociale des délinquants et, dans les cas indiqués, leur traitement et en reconnaissant les torts causés aux victimes et à la collectivité</w:t>
      </w:r>
      <w:r w:rsidRPr="009B29FD">
        <w:t> »</w:t>
      </w:r>
      <w:r w:rsidRPr="009B29FD">
        <w:rPr>
          <w:iCs/>
        </w:rPr>
        <w:t>.</w:t>
      </w:r>
    </w:p>
    <w:p w:rsidR="00B63945" w:rsidRPr="003B689F" w:rsidRDefault="00B77A4A" w:rsidP="00B13DF5">
      <w:pPr>
        <w:pStyle w:val="Paragraphe"/>
        <w:rPr>
          <w:i/>
        </w:rPr>
      </w:pPr>
      <w:r>
        <w:t xml:space="preserve">L’article précise qu’il ne restreint pas la portée générale des objectifs et principes énoncés au </w:t>
      </w:r>
      <w:r w:rsidRPr="00B44D1E">
        <w:rPr>
          <w:i/>
        </w:rPr>
        <w:t>Code criminel</w:t>
      </w:r>
      <w:r>
        <w:t>. Quels sont-ils</w:t>
      </w:r>
      <w:r w:rsidR="00456209">
        <w:t> </w:t>
      </w:r>
      <w:r>
        <w:t>?</w:t>
      </w:r>
    </w:p>
    <w:p w:rsidR="003B689F" w:rsidRPr="003B689F" w:rsidRDefault="00B77A4A" w:rsidP="003B689F">
      <w:pPr>
        <w:pStyle w:val="Paragraphe"/>
        <w:rPr>
          <w:i/>
        </w:rPr>
      </w:pPr>
      <w:r>
        <w:t>Outre ceux mentionnés précédemment, l’objectif essentiel</w:t>
      </w:r>
      <w:r w:rsidRPr="008875F8">
        <w:t xml:space="preserve"> de l’imposition d’une peine est de</w:t>
      </w:r>
      <w:r>
        <w:t xml:space="preserve"> </w:t>
      </w:r>
      <w:r w:rsidRPr="008875F8">
        <w:t>protéger la société et de contribuer à la prévention d</w:t>
      </w:r>
      <w:r>
        <w:t>u crime</w:t>
      </w:r>
      <w:r>
        <w:rPr>
          <w:vertAlign w:val="superscript"/>
        </w:rPr>
        <w:footnoteReference w:id="4"/>
      </w:r>
      <w:r w:rsidRPr="008875F8">
        <w:t>.</w:t>
      </w:r>
    </w:p>
    <w:p w:rsidR="00B63945" w:rsidRPr="008875F8" w:rsidRDefault="00B77A4A" w:rsidP="00B13DF5">
      <w:pPr>
        <w:pStyle w:val="Paragraphe"/>
        <w:rPr>
          <w:i/>
        </w:rPr>
      </w:pPr>
      <w:r w:rsidRPr="008875F8">
        <w:t>Ce but est atteint par l’infliction de sanctions justes qui peuvent viser un ou plusieurs des</w:t>
      </w:r>
      <w:r>
        <w:t xml:space="preserve"> </w:t>
      </w:r>
      <w:r w:rsidRPr="008875F8">
        <w:t>objectifs suivants :</w:t>
      </w:r>
      <w:r>
        <w:t xml:space="preserve"> </w:t>
      </w:r>
      <w:r w:rsidRPr="008875F8">
        <w:t>«</w:t>
      </w:r>
      <w:r>
        <w:t> </w:t>
      </w:r>
      <w:r w:rsidRPr="008875F8">
        <w:rPr>
          <w:i/>
        </w:rPr>
        <w:t>dénonciation, dissuasion générale et spécifique, neutralisation,</w:t>
      </w:r>
      <w:r>
        <w:rPr>
          <w:i/>
        </w:rPr>
        <w:t xml:space="preserve"> </w:t>
      </w:r>
      <w:r w:rsidRPr="008875F8">
        <w:rPr>
          <w:i/>
        </w:rPr>
        <w:t xml:space="preserve">réinsertion, réparation et prise de </w:t>
      </w:r>
      <w:r w:rsidR="00172CD6" w:rsidRPr="008875F8">
        <w:rPr>
          <w:i/>
        </w:rPr>
        <w:t>responsabilité</w:t>
      </w:r>
      <w:r w:rsidR="00557B5B">
        <w:rPr>
          <w:i/>
        </w:rPr>
        <w:t> »</w:t>
      </w:r>
      <w:r>
        <w:rPr>
          <w:vertAlign w:val="superscript"/>
        </w:rPr>
        <w:footnoteReference w:id="5"/>
      </w:r>
      <w:r w:rsidR="00FC7E56">
        <w:rPr>
          <w:i/>
        </w:rPr>
        <w:t>.</w:t>
      </w:r>
      <w:r w:rsidR="00557B5B">
        <w:rPr>
          <w:iCs/>
        </w:rPr>
        <w:t> </w:t>
      </w:r>
    </w:p>
    <w:p w:rsidR="00B63945" w:rsidRPr="008875F8" w:rsidRDefault="00B77A4A" w:rsidP="00B13DF5">
      <w:pPr>
        <w:pStyle w:val="Paragraphe"/>
      </w:pPr>
      <w:r w:rsidRPr="008875F8">
        <w:t xml:space="preserve">Plusieurs principes doivent </w:t>
      </w:r>
      <w:r w:rsidRPr="00B13DF5">
        <w:t>guider</w:t>
      </w:r>
      <w:r w:rsidRPr="008875F8">
        <w:t xml:space="preserve"> le Tribunal dans l’atteinte de ces objectifs</w:t>
      </w:r>
      <w:r>
        <w:t xml:space="preserve">, </w:t>
      </w:r>
      <w:r w:rsidRPr="008875F8">
        <w:t>mais le principe fondamental demeure que la peine doit être proportionnelle à la gravité de l’infraction et au degré</w:t>
      </w:r>
      <w:r>
        <w:t xml:space="preserve"> </w:t>
      </w:r>
      <w:r w:rsidRPr="008875F8">
        <w:t>de responsabilité du délinquant</w:t>
      </w:r>
      <w:r>
        <w:rPr>
          <w:vertAlign w:val="superscript"/>
        </w:rPr>
        <w:footnoteReference w:id="6"/>
      </w:r>
      <w:r>
        <w:t>.</w:t>
      </w:r>
      <w:r w:rsidRPr="008875F8">
        <w:t xml:space="preserve"> En d’autres mots,</w:t>
      </w:r>
      <w:r>
        <w:t xml:space="preserve"> </w:t>
      </w:r>
      <w:r w:rsidRPr="008875F8">
        <w:t>la peine ne doit pas excéder</w:t>
      </w:r>
      <w:r>
        <w:t xml:space="preserve"> </w:t>
      </w:r>
      <w:r w:rsidRPr="008875F8">
        <w:t>ce qui est juste et approprié compte tenu de la culpabilité morale du délinquant.</w:t>
      </w:r>
    </w:p>
    <w:p w:rsidR="00B63945" w:rsidRPr="00B13DF5" w:rsidRDefault="00B77A4A" w:rsidP="00B13DF5">
      <w:pPr>
        <w:pStyle w:val="Paragraphe"/>
      </w:pPr>
      <w:r w:rsidRPr="00B13DF5">
        <w:t>La peine doit tenir compte des circonstances aggravantes ou atténuantes liées à la perpétration de l’infraction ou à la situation du délinquant.</w:t>
      </w:r>
    </w:p>
    <w:p w:rsidR="00B63945" w:rsidRPr="00B13DF5" w:rsidRDefault="00B77A4A" w:rsidP="00B13DF5">
      <w:pPr>
        <w:pStyle w:val="Paragraphe"/>
      </w:pPr>
      <w:r w:rsidRPr="00B13DF5">
        <w:t>Cette peine doit être semblable à celles infligées pour des infractions semblables commises dans des circonstances semblables (principe de l’harmonisation des peines) et la peine globale ne doit pas être excessive</w:t>
      </w:r>
      <w:r>
        <w:rPr>
          <w:rStyle w:val="Appelnotedebasdep"/>
        </w:rPr>
        <w:footnoteReference w:id="7"/>
      </w:r>
      <w:r w:rsidRPr="00B13DF5">
        <w:t>.</w:t>
      </w:r>
    </w:p>
    <w:p w:rsidR="00B63945" w:rsidRDefault="00B77A4A" w:rsidP="00B13DF5">
      <w:pPr>
        <w:pStyle w:val="Paragraphe"/>
      </w:pPr>
      <w:r w:rsidRPr="00B13DF5">
        <w:t>Par ailleurs, le Tribunal doit, avant d’envisager la privation de liberté, examiner la possibilité de sanctions moins contraignantes</w:t>
      </w:r>
      <w:r>
        <w:t xml:space="preserve"> lorsque les circonstances le justifient</w:t>
      </w:r>
      <w:r>
        <w:rPr>
          <w:rStyle w:val="Appelnotedebasdep"/>
        </w:rPr>
        <w:footnoteReference w:id="8"/>
      </w:r>
      <w:r>
        <w:t>.</w:t>
      </w:r>
    </w:p>
    <w:p w:rsidR="00B63945" w:rsidRDefault="00B77A4A" w:rsidP="00B63945">
      <w:pPr>
        <w:pStyle w:val="ParagAlaMarge"/>
      </w:pPr>
      <w:r>
        <w:t>LA JURISPRUDENCE</w:t>
      </w:r>
    </w:p>
    <w:p w:rsidR="00B63945" w:rsidRPr="00B13DF5" w:rsidRDefault="00B77A4A" w:rsidP="00B13DF5">
      <w:pPr>
        <w:pStyle w:val="Paragraphe"/>
      </w:pPr>
      <w:r w:rsidRPr="00B13DF5">
        <w:t xml:space="preserve">La jurisprudence est constante : les critères de dénonciation et de dissuasion doivent primer en matière de drogues dures comme </w:t>
      </w:r>
      <w:r w:rsidR="00FB1FF4" w:rsidRPr="00B13DF5">
        <w:t>la cocaïne</w:t>
      </w:r>
      <w:r w:rsidR="00BC43FA">
        <w:t xml:space="preserve"> et le crack</w:t>
      </w:r>
      <w:r>
        <w:rPr>
          <w:rStyle w:val="Appelnotedebasdep"/>
        </w:rPr>
        <w:footnoteReference w:id="9"/>
      </w:r>
      <w:r w:rsidRPr="00B13DF5">
        <w:t>.</w:t>
      </w:r>
    </w:p>
    <w:p w:rsidR="007A2F5D" w:rsidRPr="00B13DF5" w:rsidRDefault="00B77A4A" w:rsidP="00B13DF5">
      <w:pPr>
        <w:pStyle w:val="Paragraphe"/>
      </w:pPr>
      <w:r>
        <w:t>C’est pourquoi l</w:t>
      </w:r>
      <w:r w:rsidRPr="00B13DF5">
        <w:t xml:space="preserve">es peines imposées en matière de trafic de drogues dures varient entre </w:t>
      </w:r>
      <w:r w:rsidR="003B689F">
        <w:t>quelques mois d’emprisonnement et</w:t>
      </w:r>
      <w:r w:rsidRPr="00B13DF5">
        <w:t xml:space="preserve"> quatre ans de pénitencier</w:t>
      </w:r>
      <w:bookmarkStart w:id="1" w:name="_Ref67574290"/>
      <w:r>
        <w:rPr>
          <w:rStyle w:val="Appelnotedebasdep"/>
        </w:rPr>
        <w:footnoteReference w:id="10"/>
      </w:r>
      <w:bookmarkEnd w:id="1"/>
      <w:r>
        <w:t>.</w:t>
      </w:r>
    </w:p>
    <w:p w:rsidR="007A2F5D" w:rsidRDefault="00B77A4A" w:rsidP="00B13DF5">
      <w:pPr>
        <w:pStyle w:val="Paragraphe"/>
      </w:pPr>
      <w:r w:rsidRPr="00B13DF5">
        <w:t>Il importe toutefois de rappeler que les fourchettes établies par la jurisprudence sont des guides qui ne lient pas le Tribunal</w:t>
      </w:r>
      <w:r>
        <w:rPr>
          <w:vertAlign w:val="superscript"/>
        </w:rPr>
        <w:footnoteReference w:id="11"/>
      </w:r>
      <w:r w:rsidRPr="008C080C">
        <w:t xml:space="preserve"> dans le choix de la peine juste et adéquate, et ce, en raison, entre autres, des principes d’individualisation de la peine et de proportionnalité. </w:t>
      </w:r>
    </w:p>
    <w:p w:rsidR="00680908" w:rsidRDefault="00B77A4A" w:rsidP="00680908">
      <w:pPr>
        <w:pStyle w:val="Paragraphe"/>
      </w:pPr>
      <w:r>
        <w:t>C’est d’ailleurs en s’appuyant sur ce principe d’individualisation de la peine que les tribunaux imposent parfois des peines moins sévères lorsqu</w:t>
      </w:r>
      <w:r w:rsidR="005802F6">
        <w:t xml:space="preserve">e la réhabilitation de l’accusé « </w:t>
      </w:r>
      <w:r w:rsidR="005802F6" w:rsidRPr="00850C2E">
        <w:rPr>
          <w:i/>
        </w:rPr>
        <w:t>fait l’objet d’une démonstration particulièrement convaincante</w:t>
      </w:r>
      <w:r w:rsidR="0069578C">
        <w:rPr>
          <w:i/>
        </w:rPr>
        <w:t> »</w:t>
      </w:r>
      <w:r>
        <w:rPr>
          <w:rStyle w:val="Appelnotedebasdep"/>
        </w:rPr>
        <w:footnoteReference w:id="12"/>
      </w:r>
      <w:r w:rsidR="00FC7E56">
        <w:rPr>
          <w:i/>
        </w:rPr>
        <w:t>.</w:t>
      </w:r>
    </w:p>
    <w:p w:rsidR="00680908" w:rsidRDefault="00B77A4A" w:rsidP="00A77293">
      <w:pPr>
        <w:pStyle w:val="Paragraphe"/>
      </w:pPr>
      <w:r>
        <w:t xml:space="preserve">Encore récemment dans </w:t>
      </w:r>
      <w:r w:rsidRPr="005347B4">
        <w:rPr>
          <w:i/>
        </w:rPr>
        <w:t>R.</w:t>
      </w:r>
      <w:r>
        <w:t xml:space="preserve"> c. </w:t>
      </w:r>
      <w:r w:rsidRPr="005347B4">
        <w:rPr>
          <w:i/>
        </w:rPr>
        <w:t>Préfontaine</w:t>
      </w:r>
      <w:r>
        <w:rPr>
          <w:rStyle w:val="Appelnotedebasdep"/>
        </w:rPr>
        <w:footnoteReference w:id="13"/>
      </w:r>
      <w:r w:rsidR="0069578C" w:rsidRPr="00922203">
        <w:t>,</w:t>
      </w:r>
      <w:r>
        <w:t xml:space="preserve"> la Cou</w:t>
      </w:r>
      <w:r w:rsidR="00A77293">
        <w:t>r d’appel du Québec rappelait ce principe : «</w:t>
      </w:r>
      <w:r w:rsidR="00172CD6">
        <w:t xml:space="preserve"> </w:t>
      </w:r>
      <w:r w:rsidRPr="00A77293">
        <w:rPr>
          <w:i/>
        </w:rPr>
        <w:t>La réhabilitation est une valeur importante dans notre société et il est légitime que cette importance se reflète dans la peine imposée au contrevenant qui démontre qu’il a choisi d’emprunter cette voie</w:t>
      </w:r>
      <w:r w:rsidR="00922203">
        <w:t> ».</w:t>
      </w:r>
    </w:p>
    <w:p w:rsidR="00680908" w:rsidRDefault="00B77A4A" w:rsidP="00A77293">
      <w:pPr>
        <w:pStyle w:val="Paragraphe"/>
      </w:pPr>
      <w:r>
        <w:t xml:space="preserve">Dans </w:t>
      </w:r>
      <w:r w:rsidRPr="009F5901">
        <w:rPr>
          <w:i/>
        </w:rPr>
        <w:t>Lacasse</w:t>
      </w:r>
      <w:r>
        <w:rPr>
          <w:rStyle w:val="Appelnotedebasdep"/>
        </w:rPr>
        <w:footnoteReference w:id="14"/>
      </w:r>
      <w:r w:rsidR="00A77293">
        <w:t xml:space="preserve">, </w:t>
      </w:r>
      <w:r>
        <w:t xml:space="preserve"> </w:t>
      </w:r>
      <w:r w:rsidR="00172CD6">
        <w:t xml:space="preserve">la Cour suprême du Canada </w:t>
      </w:r>
      <w:r w:rsidR="00A77293">
        <w:t xml:space="preserve">reconnaît </w:t>
      </w:r>
      <w:r>
        <w:t>le r</w:t>
      </w:r>
      <w:r w:rsidR="00A77293">
        <w:t>ôle important de la réinsertion sociale et précise que</w:t>
      </w:r>
      <w:r>
        <w:t xml:space="preserve"> </w:t>
      </w:r>
      <w:r w:rsidRPr="00403D4F">
        <w:t>« </w:t>
      </w:r>
      <w:r w:rsidRPr="00A77293">
        <w:rPr>
          <w:i/>
        </w:rPr>
        <w:t>cet objectif fait partie des valeurs morales fondamentales qui distinguent la société canadienne de nombreuses autres nations du monde et il guide les tribunaux dans la recherche d’une peine juste et appropriée</w:t>
      </w:r>
      <w:r w:rsidR="000C4202">
        <w:t xml:space="preserve"> </w:t>
      </w:r>
      <w:r w:rsidRPr="00403D4F">
        <w:t>»</w:t>
      </w:r>
      <w:r w:rsidR="000C4202">
        <w:t>.</w:t>
      </w:r>
    </w:p>
    <w:p w:rsidR="00D51C2A" w:rsidRPr="00D51C2A" w:rsidRDefault="00B77A4A" w:rsidP="00260A4D">
      <w:pPr>
        <w:pStyle w:val="ParagAlaMarge"/>
      </w:pPr>
      <w:r w:rsidRPr="00D51C2A">
        <w:t>ANALYSE</w:t>
      </w:r>
    </w:p>
    <w:p w:rsidR="00FB1FF4" w:rsidRDefault="00B77A4A" w:rsidP="004A6A9D">
      <w:pPr>
        <w:pStyle w:val="Paragraphe"/>
      </w:pPr>
      <w:r>
        <w:t>D’entrée de jeu, il y a lieu de préciser que le Tribunal partage l’avis du procureur de la défense quant à</w:t>
      </w:r>
      <w:r w:rsidR="00432781" w:rsidRPr="00432781">
        <w:t xml:space="preserve"> </w:t>
      </w:r>
      <w:r w:rsidR="00432781">
        <w:t>l’absence de preuve de la valeur marchan</w:t>
      </w:r>
      <w:r w:rsidR="0069578C">
        <w:t xml:space="preserve">de de la drogue saisie et du </w:t>
      </w:r>
      <w:r>
        <w:t>rôle de l’accusé dans la hiérarchie de l’</w:t>
      </w:r>
      <w:r w:rsidR="00432781">
        <w:t>organisation</w:t>
      </w:r>
      <w:r w:rsidR="00922203">
        <w:t xml:space="preserve"> : </w:t>
      </w:r>
      <w:r>
        <w:t>s’agissant de facteurs aggravants, la preuve devait en être faite hors de tout doute raisonnable</w:t>
      </w:r>
      <w:r>
        <w:rPr>
          <w:rStyle w:val="Appelnotedebasdep"/>
        </w:rPr>
        <w:footnoteReference w:id="15"/>
      </w:r>
      <w:r w:rsidR="0069578C">
        <w:t>,</w:t>
      </w:r>
      <w:r>
        <w:t xml:space="preserve"> ce qui n’est pas le cas.</w:t>
      </w:r>
    </w:p>
    <w:p w:rsidR="00680908" w:rsidRDefault="00B77A4A" w:rsidP="004A6A9D">
      <w:pPr>
        <w:pStyle w:val="Paragraphe"/>
      </w:pPr>
      <w:r>
        <w:t>Quant à son implication dans le trafic de stupéfiants depuis quelque temps, il s’agit d’un élément que le Tribunal doit prendre en considération tout en ayant à l’esprit qu’il n’</w:t>
      </w:r>
      <w:r w:rsidR="00432781">
        <w:t>est pas accusé de ces crimes et que n’eût été sa transparence, l’agent de probation ne l’aurait pas su.</w:t>
      </w:r>
    </w:p>
    <w:p w:rsidR="00432781" w:rsidRDefault="00B77A4A" w:rsidP="004A6A9D">
      <w:pPr>
        <w:pStyle w:val="Paragraphe"/>
      </w:pPr>
      <w:r>
        <w:t>Il n’en demeure pas moins que l’accusé est trouvé en possession d’une quantité relativement importante de dr</w:t>
      </w:r>
      <w:r w:rsidR="009F5901">
        <w:t>ogues dures et d’une somme de 1</w:t>
      </w:r>
      <w:r>
        <w:t xml:space="preserve"> </w:t>
      </w:r>
      <w:r w:rsidR="00922203">
        <w:t xml:space="preserve">920 $ provenant de son trafic. </w:t>
      </w:r>
      <w:r>
        <w:t>Dans ces circonstances, les objectifs de dénonciation et de dissuasion doivent primer.</w:t>
      </w:r>
    </w:p>
    <w:p w:rsidR="00432781" w:rsidRDefault="00B77A4A" w:rsidP="00432781">
      <w:pPr>
        <w:pStyle w:val="Paragraphe"/>
      </w:pPr>
      <w:r w:rsidRPr="00D5440E">
        <w:rPr>
          <w:lang w:val="fr-FR"/>
        </w:rPr>
        <w:t xml:space="preserve">Toutefois, </w:t>
      </w:r>
      <w:r>
        <w:rPr>
          <w:lang w:val="fr-FR"/>
        </w:rPr>
        <w:t xml:space="preserve">étant donné le </w:t>
      </w:r>
      <w:r w:rsidRPr="00D5440E">
        <w:rPr>
          <w:lang w:val="fr-FR"/>
        </w:rPr>
        <w:t>principe de l’individualisation de la peine, la jurisprudence reconnaît que</w:t>
      </w:r>
      <w:r>
        <w:rPr>
          <w:color w:val="000000"/>
          <w:sz w:val="14"/>
          <w:szCs w:val="14"/>
        </w:rPr>
        <w:t xml:space="preserve"> </w:t>
      </w:r>
      <w:r w:rsidRPr="00A77293">
        <w:rPr>
          <w:rFonts w:cs="Arial"/>
          <w:color w:val="000000"/>
        </w:rPr>
        <w:t>« </w:t>
      </w:r>
      <w:r w:rsidRPr="00432781">
        <w:rPr>
          <w:rFonts w:cs="Arial"/>
          <w:i/>
          <w:color w:val="000000"/>
        </w:rPr>
        <w:t>même lorsque les objectifs de dissuasion et de dénonciation sont sollicités, l</w:t>
      </w:r>
      <w:r w:rsidRPr="00432781">
        <w:rPr>
          <w:i/>
          <w:lang w:val="fr-FR"/>
        </w:rPr>
        <w:t>’exercice de la détermination ne doit pas amener le juge à ignorer les autres objectifs : seul l’équilibre mène à une peine juste</w:t>
      </w:r>
      <w:r w:rsidR="0069578C">
        <w:rPr>
          <w:i/>
          <w:lang w:val="fr-FR"/>
        </w:rPr>
        <w:t> »</w:t>
      </w:r>
      <w:r>
        <w:rPr>
          <w:rStyle w:val="Appelnotedebasdep"/>
        </w:rPr>
        <w:footnoteReference w:id="16"/>
      </w:r>
      <w:r w:rsidR="00FC7E56">
        <w:rPr>
          <w:i/>
        </w:rPr>
        <w:t>.</w:t>
      </w:r>
    </w:p>
    <w:p w:rsidR="00432781" w:rsidRDefault="00B77A4A" w:rsidP="004A6A9D">
      <w:pPr>
        <w:pStyle w:val="Paragraphe"/>
      </w:pPr>
      <w:r>
        <w:t>Quelle est donc la peine juste et appropriée susceptible de dissuader et de dénoncer tout en n’occultant pas les autres objectifs de détermination de la peine?</w:t>
      </w:r>
    </w:p>
    <w:p w:rsidR="00432781" w:rsidRDefault="00B77A4A" w:rsidP="00C23FEF">
      <w:pPr>
        <w:pStyle w:val="Paragraphe"/>
      </w:pPr>
      <w:r>
        <w:t>Considérant l’âge de l’accusé, l’absence d’antécédent</w:t>
      </w:r>
      <w:r w:rsidR="005705C8">
        <w:t>s</w:t>
      </w:r>
      <w:r>
        <w:t xml:space="preserve"> judiciaires, le plaidoyer de culpabilité, le fait qu’il soit un actif pour la société, le réseau social sain dont il est entouré, la transparence dont il a fait preuve avec l’agent de probation et le faible risque de récidive.</w:t>
      </w:r>
    </w:p>
    <w:p w:rsidR="00432781" w:rsidRPr="00F1201E" w:rsidRDefault="00B77A4A" w:rsidP="00432781">
      <w:pPr>
        <w:pStyle w:val="Paragraphe"/>
        <w:rPr>
          <w:i/>
        </w:rPr>
      </w:pPr>
      <w:r>
        <w:t xml:space="preserve">Considérant </w:t>
      </w:r>
      <w:r w:rsidR="00C23FEF">
        <w:t>que l’accu</w:t>
      </w:r>
      <w:r w:rsidR="003E68D7">
        <w:t>sé s’est mobilisé afin d’avoir « </w:t>
      </w:r>
      <w:r w:rsidR="00C23FEF" w:rsidRPr="00C23FEF">
        <w:rPr>
          <w:i/>
        </w:rPr>
        <w:t>une meilleur</w:t>
      </w:r>
      <w:r w:rsidR="005705C8">
        <w:rPr>
          <w:i/>
        </w:rPr>
        <w:t>e</w:t>
      </w:r>
      <w:r w:rsidR="00C23FEF" w:rsidRPr="00C23FEF">
        <w:rPr>
          <w:i/>
        </w:rPr>
        <w:t xml:space="preserve"> prise en charge de sa vie et un retour vers ses valeurs de base</w:t>
      </w:r>
      <w:r w:rsidR="00783F99">
        <w:rPr>
          <w:i/>
        </w:rPr>
        <w:t>s (sic)</w:t>
      </w:r>
      <w:r w:rsidR="00C23FEF" w:rsidRPr="00C23FEF">
        <w:rPr>
          <w:i/>
        </w:rPr>
        <w:t xml:space="preserve"> soient, l’honnêteté, l’effort</w:t>
      </w:r>
      <w:r w:rsidR="00C23FEF">
        <w:t xml:space="preserve"> </w:t>
      </w:r>
      <w:r w:rsidR="00172CD6">
        <w:rPr>
          <w:i/>
        </w:rPr>
        <w:t>et la persévérance</w:t>
      </w:r>
      <w:r w:rsidR="0069578C">
        <w:rPr>
          <w:i/>
        </w:rPr>
        <w:t> »</w:t>
      </w:r>
      <w:r>
        <w:rPr>
          <w:rStyle w:val="Appelnotedebasdep"/>
          <w:i/>
        </w:rPr>
        <w:footnoteReference w:id="17"/>
      </w:r>
      <w:r w:rsidR="00FC7E56">
        <w:rPr>
          <w:i/>
        </w:rPr>
        <w:t>.</w:t>
      </w:r>
    </w:p>
    <w:p w:rsidR="00C23FEF" w:rsidRDefault="00B77A4A" w:rsidP="00432781">
      <w:pPr>
        <w:pStyle w:val="Paragraphe"/>
      </w:pPr>
      <w:r>
        <w:t>Considérant que l’accusé a changé de fréquentation, cessé sa consommation et incité sa conjointe à faire de même.</w:t>
      </w:r>
    </w:p>
    <w:p w:rsidR="00C23FEF" w:rsidRDefault="00B77A4A" w:rsidP="00432781">
      <w:pPr>
        <w:pStyle w:val="Paragraphe"/>
      </w:pPr>
      <w:r>
        <w:t>Considérant que l’accusé prend l’entière responsabilité de ses gestes et en comprend la gravité.</w:t>
      </w:r>
    </w:p>
    <w:p w:rsidR="0069578C" w:rsidRDefault="00B77A4A" w:rsidP="0069578C">
      <w:pPr>
        <w:pStyle w:val="Paragraphe"/>
      </w:pPr>
      <w:r>
        <w:t>Considérant le principe de modération avant d’envisager la privation de liberté</w:t>
      </w:r>
      <w:r>
        <w:rPr>
          <w:rStyle w:val="Appelnotedebasdep"/>
        </w:rPr>
        <w:footnoteReference w:id="18"/>
      </w:r>
      <w:r>
        <w:t>, et ce, particulièrement lorsque le Tribunal a devant lui un jeune délinquant primaire</w:t>
      </w:r>
      <w:r>
        <w:rPr>
          <w:rStyle w:val="Appelnotedebasdep"/>
        </w:rPr>
        <w:footnoteReference w:id="19"/>
      </w:r>
      <w:r w:rsidR="00F1201E">
        <w:t>.</w:t>
      </w:r>
    </w:p>
    <w:p w:rsidR="00A77293" w:rsidRPr="00485C8E" w:rsidRDefault="00B77A4A" w:rsidP="0069578C">
      <w:pPr>
        <w:pStyle w:val="Paragraphe"/>
      </w:pPr>
      <w:r w:rsidRPr="00485C8E">
        <w:t>Considérant, comme le souligne l’auteur Ruby</w:t>
      </w:r>
      <w:r>
        <w:rPr>
          <w:rStyle w:val="Appelnotedebasdep"/>
        </w:rPr>
        <w:footnoteReference w:id="20"/>
      </w:r>
      <w:r w:rsidRPr="00485C8E">
        <w:t xml:space="preserve"> qu’une peine d’emprisonnement à être purgée de façon discontinue n’est pas une peine légère</w:t>
      </w:r>
      <w:r w:rsidR="00485C8E" w:rsidRPr="00485C8E">
        <w:t xml:space="preserve"> et permet d’atteindre les objectifs de dissuasion et de dénonciation</w:t>
      </w:r>
      <w:r w:rsidRPr="00485C8E">
        <w:t> :</w:t>
      </w:r>
      <w:r w:rsidR="00FC7E56">
        <w:t> </w:t>
      </w:r>
    </w:p>
    <w:p w:rsidR="004E3892" w:rsidRPr="004E3892" w:rsidRDefault="00B77A4A" w:rsidP="00F1201E">
      <w:pPr>
        <w:pStyle w:val="Citationenretrait"/>
        <w:rPr>
          <w:lang w:val="en-CA"/>
        </w:rPr>
      </w:pPr>
      <w:r w:rsidRPr="007E29EA">
        <w:rPr>
          <w:lang w:val="en-CA"/>
        </w:rPr>
        <w:t>One should not underestimate the impact of a week end sentence as punishmen</w:t>
      </w:r>
      <w:r>
        <w:rPr>
          <w:lang w:val="en-CA"/>
        </w:rPr>
        <w:t>t. Forty</w:t>
      </w:r>
      <w:r w:rsidR="005705C8">
        <w:rPr>
          <w:lang w:val="en-CA"/>
        </w:rPr>
        <w:t>-</w:t>
      </w:r>
      <w:r>
        <w:rPr>
          <w:lang w:val="en-CA"/>
        </w:rPr>
        <w:t>five week ends in p</w:t>
      </w:r>
      <w:r w:rsidR="00755011">
        <w:rPr>
          <w:lang w:val="en-CA"/>
        </w:rPr>
        <w:t xml:space="preserve">rison, the court note in Dickey [1979] Q.J. No. 214, </w:t>
      </w:r>
      <w:r>
        <w:rPr>
          <w:lang w:val="en-CA"/>
        </w:rPr>
        <w:t>involves nearly all the week ends in an entire year and satisfied much of the need for exemplary sentences</w:t>
      </w:r>
      <w:r w:rsidR="00FC7E56">
        <w:rPr>
          <w:lang w:val="en-CA"/>
        </w:rPr>
        <w:t xml:space="preserve"> </w:t>
      </w:r>
      <w:r w:rsidR="007729C1">
        <w:rPr>
          <w:lang w:val="en-CA"/>
        </w:rPr>
        <w:t>even in extremely serious cases</w:t>
      </w:r>
      <w:r>
        <w:rPr>
          <w:lang w:val="en-CA"/>
        </w:rPr>
        <w:t>.</w:t>
      </w:r>
    </w:p>
    <w:p w:rsidR="009E4B53" w:rsidRDefault="00B77A4A" w:rsidP="003E75D9">
      <w:pPr>
        <w:pStyle w:val="Paragraphe"/>
      </w:pPr>
      <w:r w:rsidRPr="004E3892">
        <w:t xml:space="preserve">Considérant que </w:t>
      </w:r>
      <w:r w:rsidR="006F778B">
        <w:t xml:space="preserve">la jurisprudence reconnaît </w:t>
      </w:r>
      <w:r w:rsidR="00114380">
        <w:t>que l’obligation d’effectuer du service communautaire</w:t>
      </w:r>
      <w:r w:rsidR="006F778B">
        <w:t xml:space="preserve"> peut remplacer une courte peine d’emprisonnement</w:t>
      </w:r>
      <w:r>
        <w:rPr>
          <w:rStyle w:val="Appelnotedebasdep"/>
        </w:rPr>
        <w:footnoteReference w:id="21"/>
      </w:r>
      <w:r w:rsidR="005D291B">
        <w:t>.</w:t>
      </w:r>
    </w:p>
    <w:p w:rsidR="003E75D9" w:rsidRDefault="00B77A4A" w:rsidP="00680908">
      <w:pPr>
        <w:pStyle w:val="Paragraphe"/>
      </w:pPr>
      <w:r>
        <w:t>Considérant que l’accusé a besoin d’accompagnement et d’encadrement en ce qui concerne ses difficultés en lien avec sa gestion de budget et sa consommation d’alcool.</w:t>
      </w:r>
    </w:p>
    <w:p w:rsidR="00680908" w:rsidRPr="003E75D9" w:rsidRDefault="00B77A4A" w:rsidP="00680908">
      <w:pPr>
        <w:pStyle w:val="Paragraphe"/>
        <w:rPr>
          <w:i/>
        </w:rPr>
      </w:pPr>
      <w:r>
        <w:t xml:space="preserve">Considérant que l’ordonnance de probation </w:t>
      </w:r>
      <w:r w:rsidRPr="003E75D9">
        <w:rPr>
          <w:i/>
        </w:rPr>
        <w:t>«</w:t>
      </w:r>
      <w:r w:rsidRPr="003E75D9">
        <w:rPr>
          <w:i/>
          <w:lang w:val="fr-FR"/>
        </w:rPr>
        <w:t> permet d’exercer un contrôle plus serré sur l’accusé [et] confère une marge de manœuvre importante aux tribunaux en leur permettant de favoriser la réadaptation du délinquant tout en répondant à des objectifs de</w:t>
      </w:r>
      <w:r w:rsidR="00EF77D7">
        <w:rPr>
          <w:i/>
          <w:lang w:val="fr-FR"/>
        </w:rPr>
        <w:t xml:space="preserve"> dénonciation et de dissuasion</w:t>
      </w:r>
      <w:r w:rsidR="00FC7E56">
        <w:rPr>
          <w:i/>
          <w:lang w:val="fr-FR"/>
        </w:rPr>
        <w:t> »</w:t>
      </w:r>
      <w:r>
        <w:rPr>
          <w:rStyle w:val="Appelnotedebasdep"/>
        </w:rPr>
        <w:footnoteReference w:id="22"/>
      </w:r>
      <w:r w:rsidRPr="003E75D9">
        <w:rPr>
          <w:i/>
          <w:lang w:val="fr-FR"/>
        </w:rPr>
        <w:t>.</w:t>
      </w:r>
      <w:r w:rsidR="00FC7E56">
        <w:rPr>
          <w:i/>
          <w:lang w:val="fr-FR"/>
        </w:rPr>
        <w:t> </w:t>
      </w:r>
    </w:p>
    <w:p w:rsidR="00680908" w:rsidRDefault="00B77A4A" w:rsidP="004A6A9D">
      <w:pPr>
        <w:pStyle w:val="Paragraphe"/>
      </w:pPr>
      <w:r>
        <w:t>Considérant l’offre de l’accusé de verser la somme de 1 </w:t>
      </w:r>
      <w:r w:rsidR="005D291B">
        <w:t>000 $ à un organisme de charité.</w:t>
      </w:r>
    </w:p>
    <w:p w:rsidR="003E75D9" w:rsidRDefault="00B77A4A" w:rsidP="003E75D9">
      <w:pPr>
        <w:pStyle w:val="Paragraphe"/>
      </w:pPr>
      <w:r>
        <w:t>Te</w:t>
      </w:r>
      <w:r w:rsidR="00EF77D7">
        <w:t xml:space="preserve">nant compte de ce qui précède, </w:t>
      </w:r>
      <w:r>
        <w:t>une peine d’emprisonnement de 90 jours à ê</w:t>
      </w:r>
      <w:r w:rsidR="007E5AEA">
        <w:t>tre purgée de façon discontinue,</w:t>
      </w:r>
      <w:r w:rsidR="003E68D7">
        <w:t xml:space="preserve"> </w:t>
      </w:r>
      <w:r>
        <w:t>l’obligation</w:t>
      </w:r>
      <w:r w:rsidR="005D291B">
        <w:t xml:space="preserve"> d’effectuer 240 heures </w:t>
      </w:r>
      <w:r>
        <w:t>de service communautaire</w:t>
      </w:r>
      <w:r w:rsidR="005D291B">
        <w:t xml:space="preserve"> et</w:t>
      </w:r>
      <w:r>
        <w:t xml:space="preserve"> </w:t>
      </w:r>
      <w:r w:rsidR="00544E11">
        <w:t xml:space="preserve">de </w:t>
      </w:r>
      <w:r>
        <w:t xml:space="preserve">verser </w:t>
      </w:r>
      <w:r w:rsidR="007E5AEA">
        <w:t xml:space="preserve">la somme de </w:t>
      </w:r>
      <w:r>
        <w:t>1 000 $ à un organisme de charité, ainsi qu’un suivi probatoire</w:t>
      </w:r>
      <w:r w:rsidR="005D291B">
        <w:t>,</w:t>
      </w:r>
      <w:r>
        <w:t xml:space="preserve"> rencontrent les objectifs de dénonciation et de dissuasion tout en n’occultant pas ceux de </w:t>
      </w:r>
      <w:r w:rsidRPr="003E75D9">
        <w:t>réinsertion,</w:t>
      </w:r>
      <w:r>
        <w:rPr>
          <w:i/>
        </w:rPr>
        <w:t xml:space="preserve"> </w:t>
      </w:r>
      <w:r w:rsidRPr="003E75D9">
        <w:t>réparation et prise de responsabilité</w:t>
      </w:r>
      <w:r w:rsidR="007E5AEA">
        <w:t>.</w:t>
      </w:r>
    </w:p>
    <w:p w:rsidR="004A7E84" w:rsidRPr="00444CC7" w:rsidRDefault="00B77A4A" w:rsidP="00D41BA5">
      <w:pPr>
        <w:pStyle w:val="Paragraphe"/>
        <w:numPr>
          <w:ilvl w:val="0"/>
          <w:numId w:val="0"/>
        </w:numPr>
        <w:spacing w:before="240" w:after="240"/>
        <w:rPr>
          <w:b/>
        </w:rPr>
      </w:pPr>
      <w:r w:rsidRPr="00FC3001">
        <w:rPr>
          <w:b/>
        </w:rPr>
        <w:t>PAR CES MOTIFS, LE TRIBUNAL :</w:t>
      </w:r>
      <w:r w:rsidR="00700007">
        <w:rPr>
          <w:b/>
        </w:rPr>
        <w:t xml:space="preserve"> </w:t>
      </w:r>
    </w:p>
    <w:p w:rsidR="00700007" w:rsidRPr="003E75D9" w:rsidRDefault="00B77A4A" w:rsidP="003E75D9">
      <w:pPr>
        <w:pStyle w:val="Paragraphe"/>
        <w:numPr>
          <w:ilvl w:val="0"/>
          <w:numId w:val="0"/>
        </w:numPr>
        <w:spacing w:before="240" w:after="240"/>
        <w:rPr>
          <w:b/>
        </w:rPr>
      </w:pPr>
      <w:r w:rsidRPr="00F52DAF">
        <w:rPr>
          <w:b/>
        </w:rPr>
        <w:t>CONDAMNE</w:t>
      </w:r>
      <w:r>
        <w:rPr>
          <w:b/>
        </w:rPr>
        <w:t xml:space="preserve"> </w:t>
      </w:r>
      <w:r w:rsidR="003E75D9">
        <w:t>l’accusé à une peine d’emprisonnement de 90 jours à être purgée de façon discontinue du samedi matin 9</w:t>
      </w:r>
      <w:r w:rsidR="00F1201E">
        <w:t xml:space="preserve"> </w:t>
      </w:r>
      <w:r w:rsidR="003E75D9">
        <w:t>h</w:t>
      </w:r>
      <w:r w:rsidR="00F1201E">
        <w:t xml:space="preserve"> </w:t>
      </w:r>
      <w:r w:rsidR="003E75D9">
        <w:t>00 au dimanche soir 16</w:t>
      </w:r>
      <w:r w:rsidR="00F1201E">
        <w:t xml:space="preserve"> </w:t>
      </w:r>
      <w:r w:rsidR="003E75D9">
        <w:t>h</w:t>
      </w:r>
      <w:r w:rsidR="00F1201E">
        <w:t xml:space="preserve"> </w:t>
      </w:r>
      <w:r w:rsidR="003E75D9">
        <w:t>00, et ce, à compter du</w:t>
      </w:r>
      <w:r w:rsidR="00F1201E">
        <w:t xml:space="preserve"> </w:t>
      </w:r>
      <w:r w:rsidR="00E80B8A">
        <w:t>16 avril</w:t>
      </w:r>
      <w:r w:rsidR="003E68D7">
        <w:t xml:space="preserve"> 2022.</w:t>
      </w:r>
    </w:p>
    <w:p w:rsidR="000F094C" w:rsidRDefault="00B77A4A" w:rsidP="000D240B">
      <w:pPr>
        <w:pStyle w:val="Paragraphe"/>
        <w:numPr>
          <w:ilvl w:val="0"/>
          <w:numId w:val="0"/>
        </w:numPr>
      </w:pPr>
      <w:r w:rsidRPr="00461CF4">
        <w:rPr>
          <w:b/>
        </w:rPr>
        <w:t>ORDONNE</w:t>
      </w:r>
      <w:r>
        <w:t xml:space="preserve"> que l’accusé se conforme aux conditions suivantes d’une ordonnance </w:t>
      </w:r>
      <w:r w:rsidR="00700007">
        <w:t>de probation d’une durée de trois ans</w:t>
      </w:r>
      <w:r w:rsidR="00D41BA5">
        <w:t> :</w:t>
      </w:r>
    </w:p>
    <w:p w:rsidR="000F094C" w:rsidRPr="00ED52F8" w:rsidRDefault="00B77A4A" w:rsidP="000F094C">
      <w:pPr>
        <w:pStyle w:val="Paragraphe"/>
        <w:numPr>
          <w:ilvl w:val="0"/>
          <w:numId w:val="18"/>
        </w:numPr>
        <w:ind w:left="1440" w:hanging="720"/>
      </w:pPr>
      <w:r>
        <w:t>N</w:t>
      </w:r>
      <w:r w:rsidRPr="00ED52F8">
        <w:t>e pas troubler l’ordre public et avoir une bonne conduite</w:t>
      </w:r>
      <w:r w:rsidR="00456209">
        <w:t> </w:t>
      </w:r>
      <w:r w:rsidRPr="00ED52F8">
        <w:t>;</w:t>
      </w:r>
    </w:p>
    <w:p w:rsidR="000F094C" w:rsidRPr="00ED52F8" w:rsidRDefault="00B77A4A" w:rsidP="000F094C">
      <w:pPr>
        <w:pStyle w:val="Paragraphe"/>
        <w:numPr>
          <w:ilvl w:val="0"/>
          <w:numId w:val="18"/>
        </w:numPr>
        <w:ind w:left="1440" w:hanging="720"/>
      </w:pPr>
      <w:r>
        <w:t>R</w:t>
      </w:r>
      <w:r w:rsidRPr="00ED52F8">
        <w:t>épondre aux convocations du tribunal</w:t>
      </w:r>
      <w:r w:rsidR="00456209">
        <w:t> </w:t>
      </w:r>
      <w:r w:rsidRPr="00ED52F8">
        <w:t>;</w:t>
      </w:r>
    </w:p>
    <w:p w:rsidR="000F094C" w:rsidRDefault="00B77A4A" w:rsidP="000F094C">
      <w:pPr>
        <w:pStyle w:val="Paragraphe"/>
        <w:numPr>
          <w:ilvl w:val="0"/>
          <w:numId w:val="18"/>
        </w:numPr>
        <w:ind w:left="1440" w:hanging="720"/>
      </w:pPr>
      <w:r>
        <w:t>S</w:t>
      </w:r>
      <w:r w:rsidRPr="00ED52F8">
        <w:t xml:space="preserve">e présenter à un agent </w:t>
      </w:r>
      <w:r w:rsidR="009D221D">
        <w:t>de probation dans les deux jours ouvrables suivant</w:t>
      </w:r>
      <w:r w:rsidR="00D34775">
        <w:t xml:space="preserve"> </w:t>
      </w:r>
      <w:r w:rsidRPr="00ED52F8">
        <w:t>l’entrée en</w:t>
      </w:r>
      <w:r w:rsidR="009D221D">
        <w:t xml:space="preserve"> vigueur de la probation et</w:t>
      </w:r>
      <w:r w:rsidR="00D41BA5">
        <w:t>,</w:t>
      </w:r>
      <w:r w:rsidR="009D221D">
        <w:t xml:space="preserve"> par la suite</w:t>
      </w:r>
      <w:r w:rsidR="00D41BA5">
        <w:t>,</w:t>
      </w:r>
      <w:r w:rsidR="009D221D">
        <w:t xml:space="preserve"> selon les modalités de temps et de forme fixées par l’agent de probation, et ce, pour une</w:t>
      </w:r>
      <w:r w:rsidR="00D34775">
        <w:t xml:space="preserve"> </w:t>
      </w:r>
      <w:r w:rsidR="009D221D">
        <w:t>période d’un an</w:t>
      </w:r>
      <w:r w:rsidR="00456209">
        <w:t> </w:t>
      </w:r>
      <w:r w:rsidR="00D41BA5">
        <w:t>;</w:t>
      </w:r>
    </w:p>
    <w:p w:rsidR="009D221D" w:rsidRDefault="00B77A4A" w:rsidP="000F094C">
      <w:pPr>
        <w:pStyle w:val="Paragraphe"/>
        <w:numPr>
          <w:ilvl w:val="0"/>
          <w:numId w:val="18"/>
        </w:numPr>
        <w:ind w:left="1440" w:hanging="720"/>
      </w:pPr>
      <w:r>
        <w:t>Suivre</w:t>
      </w:r>
      <w:r w:rsidR="000E464F">
        <w:t xml:space="preserve"> les directives de l’agent de probation ou tout autre intervenant désigné par celui-ci relativem</w:t>
      </w:r>
      <w:r w:rsidR="00700007">
        <w:t>ent à son pro</w:t>
      </w:r>
      <w:r w:rsidR="003E75D9">
        <w:t>blème de gestion financière et de consommation d’alcool</w:t>
      </w:r>
      <w:r w:rsidR="00EF77D7">
        <w:t> ;</w:t>
      </w:r>
    </w:p>
    <w:p w:rsidR="00763B26" w:rsidRPr="00763B26" w:rsidRDefault="00B77A4A" w:rsidP="00763B26">
      <w:pPr>
        <w:pStyle w:val="Paragraphe"/>
        <w:numPr>
          <w:ilvl w:val="0"/>
          <w:numId w:val="18"/>
        </w:numPr>
        <w:ind w:left="1440" w:hanging="720"/>
      </w:pPr>
      <w:r>
        <w:t>Effectuer 240 heures de service communautaire</w:t>
      </w:r>
      <w:r w:rsidRPr="00763B26">
        <w:t xml:space="preserve"> </w:t>
      </w:r>
      <w:r>
        <w:t xml:space="preserve">dans un délai de 12 mois </w:t>
      </w:r>
      <w:r w:rsidRPr="00763B26">
        <w:t>et suivre les directives de l’agent de probation ou tout autre intervenant désigné par celui-ci quant aux modalités d’exécution ;</w:t>
      </w:r>
    </w:p>
    <w:p w:rsidR="00700007" w:rsidRDefault="00B77A4A" w:rsidP="0032121C">
      <w:pPr>
        <w:pStyle w:val="Paragraphe"/>
        <w:numPr>
          <w:ilvl w:val="0"/>
          <w:numId w:val="18"/>
        </w:numPr>
        <w:ind w:left="1440" w:hanging="720"/>
      </w:pPr>
      <w:r>
        <w:t>P</w:t>
      </w:r>
      <w:r w:rsidRPr="00ED52F8">
        <w:t>révenir l’agent de probation de ses changements d’adresse ou de nom et l’aviser rapidement de ses changements d’emploi ou d’occupation</w:t>
      </w:r>
      <w:r w:rsidR="00456209">
        <w:t> </w:t>
      </w:r>
      <w:r w:rsidRPr="00ED52F8">
        <w:t>;</w:t>
      </w:r>
    </w:p>
    <w:p w:rsidR="000E464F" w:rsidRPr="00ED52F8" w:rsidRDefault="00B77A4A" w:rsidP="000F094C">
      <w:pPr>
        <w:pStyle w:val="Paragraphe"/>
        <w:numPr>
          <w:ilvl w:val="0"/>
          <w:numId w:val="18"/>
        </w:numPr>
        <w:ind w:left="1440" w:hanging="720"/>
      </w:pPr>
      <w:r>
        <w:t>Ne pas se trouver dans des endroits où on fait l’usage, la vente, le trafic ou la distribution de drogues illégales</w:t>
      </w:r>
      <w:r w:rsidR="00456209">
        <w:t> </w:t>
      </w:r>
      <w:r w:rsidR="00E76C9B">
        <w:t>;</w:t>
      </w:r>
    </w:p>
    <w:p w:rsidR="000F094C" w:rsidRDefault="00B77A4A" w:rsidP="000F094C">
      <w:pPr>
        <w:pStyle w:val="Paragraphe"/>
        <w:numPr>
          <w:ilvl w:val="0"/>
          <w:numId w:val="18"/>
        </w:numPr>
        <w:ind w:left="1440" w:hanging="720"/>
      </w:pPr>
      <w:r>
        <w:t>N</w:t>
      </w:r>
      <w:r w:rsidRPr="00ED52F8">
        <w:t>e pas se trouver en présence de gens qui, à sa connaissance, illégalement consomment, possèdent ou trafiquent des drogues</w:t>
      </w:r>
      <w:r w:rsidR="00456209">
        <w:t> </w:t>
      </w:r>
      <w:r w:rsidR="00E76C9B">
        <w:t>;</w:t>
      </w:r>
    </w:p>
    <w:p w:rsidR="00A76247" w:rsidRDefault="00B77A4A" w:rsidP="00A76247">
      <w:pPr>
        <w:pStyle w:val="Paragraphe"/>
        <w:numPr>
          <w:ilvl w:val="0"/>
          <w:numId w:val="18"/>
        </w:numPr>
        <w:ind w:left="1440" w:hanging="720"/>
      </w:pPr>
      <w:r w:rsidRPr="001E7C80">
        <w:t>Ne pas communiquer</w:t>
      </w:r>
      <w:r w:rsidR="00852AD5" w:rsidRPr="001E7C80">
        <w:t xml:space="preserve">, </w:t>
      </w:r>
      <w:r w:rsidR="005D291B" w:rsidRPr="001E7C80">
        <w:t xml:space="preserve">ne pas </w:t>
      </w:r>
      <w:r w:rsidR="00852AD5" w:rsidRPr="001E7C80">
        <w:t>être en présence physique</w:t>
      </w:r>
      <w:r w:rsidR="005D291B" w:rsidRPr="001E7C80">
        <w:t xml:space="preserve">, ne pas </w:t>
      </w:r>
      <w:r w:rsidRPr="001E7C80">
        <w:t xml:space="preserve">être </w:t>
      </w:r>
      <w:r w:rsidR="005D291B" w:rsidRPr="001E7C80">
        <w:t>sur le lieu de travail ni</w:t>
      </w:r>
      <w:r w:rsidR="00852AD5" w:rsidRPr="001E7C80">
        <w:t xml:space="preserve"> être </w:t>
      </w:r>
      <w:r w:rsidRPr="001E7C80">
        <w:t>à tout endroit où pourrait résider :</w:t>
      </w:r>
      <w:r w:rsidR="003E75D9">
        <w:t xml:space="preserve"> </w:t>
      </w:r>
      <w:r w:rsidR="007E5AEA">
        <w:t xml:space="preserve">Jérémie Vallée-Paquette, Joël Beauregard-Rousseau, Jonathan Gagné, Kelly Fortier, Maxime Leclerc, Alex Rodrigue, Anne-Marie Rodrigue, Isabelle Perras, Jonathan Lortie, </w:t>
      </w:r>
      <w:r w:rsidR="00977C03">
        <w:t>Mili Brkovic, Nicky Raîche et Sammy Dorman-Labrecque</w:t>
      </w:r>
      <w:r w:rsidR="00E67B57">
        <w:t xml:space="preserve"> ;</w:t>
      </w:r>
      <w:r w:rsidR="00977C03">
        <w:t xml:space="preserve"> </w:t>
      </w:r>
    </w:p>
    <w:p w:rsidR="00D16A52" w:rsidRDefault="00B77A4A" w:rsidP="00A76247">
      <w:pPr>
        <w:pStyle w:val="Paragraphe"/>
        <w:numPr>
          <w:ilvl w:val="0"/>
          <w:numId w:val="18"/>
        </w:numPr>
        <w:ind w:left="1440" w:hanging="720"/>
      </w:pPr>
      <w:r>
        <w:t>Dans un délai de 9 mois, verser la somme de 1 000 $ au greffe de la cour au bénéfice du centre Estrie-Aide ;</w:t>
      </w:r>
    </w:p>
    <w:p w:rsidR="000F094C" w:rsidRDefault="00B77A4A" w:rsidP="000D240B">
      <w:pPr>
        <w:pStyle w:val="Paragraphe"/>
        <w:numPr>
          <w:ilvl w:val="0"/>
          <w:numId w:val="0"/>
        </w:numPr>
      </w:pPr>
      <w:r w:rsidRPr="008C2B26">
        <w:rPr>
          <w:b/>
        </w:rPr>
        <w:t>INTERDIT</w:t>
      </w:r>
      <w:r>
        <w:rPr>
          <w:b/>
        </w:rPr>
        <w:t xml:space="preserve"> </w:t>
      </w:r>
      <w:r>
        <w:t>à l’accusé d’avoir en sa possession des armes à feu, arbalètes, armes à autorisation restreinte, munitions et substances explosives, et ce, pour une période de 10 ans</w:t>
      </w:r>
      <w:r w:rsidR="00456209">
        <w:t> </w:t>
      </w:r>
      <w:r>
        <w:t>;</w:t>
      </w:r>
    </w:p>
    <w:p w:rsidR="000F094C" w:rsidRDefault="00B77A4A" w:rsidP="000D240B">
      <w:pPr>
        <w:pStyle w:val="Paragraphe"/>
        <w:numPr>
          <w:ilvl w:val="0"/>
          <w:numId w:val="0"/>
        </w:numPr>
      </w:pPr>
      <w:r w:rsidRPr="008C2B26">
        <w:rPr>
          <w:b/>
        </w:rPr>
        <w:t>INTERDIT</w:t>
      </w:r>
      <w:r>
        <w:rPr>
          <w:b/>
        </w:rPr>
        <w:t xml:space="preserve"> </w:t>
      </w:r>
      <w:r>
        <w:t>à perpétuité à l’accusé d’avoir en sa possession des armes à feu prohibées, armes à feu à autorisations restreintes, armes prohibées, des dispositifs prohibés et des munitions prohibées</w:t>
      </w:r>
      <w:r w:rsidR="00456209">
        <w:t> </w:t>
      </w:r>
      <w:r>
        <w:t>;</w:t>
      </w:r>
    </w:p>
    <w:p w:rsidR="000F094C" w:rsidRPr="00E939F8" w:rsidRDefault="00B77A4A" w:rsidP="000D240B">
      <w:pPr>
        <w:pStyle w:val="Paragraphe"/>
        <w:numPr>
          <w:ilvl w:val="0"/>
          <w:numId w:val="0"/>
        </w:numPr>
      </w:pPr>
      <w:r w:rsidRPr="00E939F8">
        <w:rPr>
          <w:b/>
        </w:rPr>
        <w:t xml:space="preserve">DISPENSE </w:t>
      </w:r>
      <w:r>
        <w:t>du paiement de la suramende compensatoire.</w:t>
      </w:r>
    </w:p>
    <w:tbl>
      <w:tblPr>
        <w:tblW w:w="9505" w:type="dxa"/>
        <w:tblLayout w:type="fixed"/>
        <w:tblCellMar>
          <w:left w:w="70" w:type="dxa"/>
          <w:right w:w="70" w:type="dxa"/>
        </w:tblCellMar>
        <w:tblLook w:val="0000" w:firstRow="0" w:lastRow="0" w:firstColumn="0" w:lastColumn="0" w:noHBand="0" w:noVBand="0"/>
      </w:tblPr>
      <w:tblGrid>
        <w:gridCol w:w="4867"/>
        <w:gridCol w:w="4638"/>
      </w:tblGrid>
      <w:tr w:rsidR="00514970" w:rsidTr="00F52E2D">
        <w:trPr>
          <w:trHeight w:val="576"/>
        </w:trPr>
        <w:tc>
          <w:tcPr>
            <w:tcW w:w="9505" w:type="dxa"/>
            <w:gridSpan w:val="2"/>
          </w:tcPr>
          <w:p w:rsidR="000B2721" w:rsidRDefault="000B2721">
            <w:pPr>
              <w:keepNext/>
              <w:keepLines/>
            </w:pPr>
          </w:p>
          <w:p w:rsidR="007216E2" w:rsidRDefault="007216E2">
            <w:pPr>
              <w:keepNext/>
              <w:keepLines/>
            </w:pPr>
          </w:p>
          <w:p w:rsidR="007216E2" w:rsidRDefault="007216E2">
            <w:pPr>
              <w:keepNext/>
              <w:keepLines/>
            </w:pPr>
          </w:p>
          <w:p w:rsidR="007216E2" w:rsidRDefault="007216E2">
            <w:pPr>
              <w:keepNext/>
              <w:keepLines/>
            </w:pPr>
          </w:p>
        </w:tc>
      </w:tr>
      <w:tr w:rsidR="00514970" w:rsidTr="00F52E2D">
        <w:tblPrEx>
          <w:tblCellMar>
            <w:left w:w="0" w:type="dxa"/>
            <w:right w:w="0" w:type="dxa"/>
          </w:tblCellMar>
        </w:tblPrEx>
        <w:trPr>
          <w:cantSplit/>
        </w:trPr>
        <w:tc>
          <w:tcPr>
            <w:tcW w:w="4867" w:type="dxa"/>
          </w:tcPr>
          <w:p w:rsidR="000B2721" w:rsidRDefault="000B2721"/>
        </w:tc>
        <w:tc>
          <w:tcPr>
            <w:tcW w:w="4638" w:type="dxa"/>
            <w:tcBorders>
              <w:top w:val="single" w:sz="12" w:space="0" w:color="auto"/>
            </w:tcBorders>
          </w:tcPr>
          <w:p w:rsidR="000B2721" w:rsidRPr="00D823D1" w:rsidRDefault="00B77A4A" w:rsidP="00D823D1">
            <w:pPr>
              <w:pStyle w:val="zSoquijdatSignature3Juge"/>
              <w:spacing w:before="120" w:after="120"/>
              <w:rPr>
                <w:b/>
              </w:rPr>
            </w:pPr>
            <w:r w:rsidRPr="00D823D1">
              <w:rPr>
                <w:b/>
              </w:rPr>
              <w:t>DANIELLE CÔTÉ, J.C.Q.</w:t>
            </w:r>
          </w:p>
        </w:tc>
      </w:tr>
      <w:tr w:rsidR="00514970" w:rsidTr="00F52E2D">
        <w:tc>
          <w:tcPr>
            <w:tcW w:w="9505" w:type="dxa"/>
            <w:gridSpan w:val="2"/>
          </w:tcPr>
          <w:p w:rsidR="000B2721" w:rsidRDefault="000B2721"/>
        </w:tc>
      </w:tr>
      <w:tr w:rsidR="00514970" w:rsidTr="00F52E2D">
        <w:trPr>
          <w:cantSplit/>
        </w:trPr>
        <w:tc>
          <w:tcPr>
            <w:tcW w:w="9505" w:type="dxa"/>
            <w:gridSpan w:val="2"/>
          </w:tcPr>
          <w:p w:rsidR="000B2721" w:rsidRDefault="00B77A4A" w:rsidP="0032121C">
            <w:pPr>
              <w:pStyle w:val="zSoquijdatCabinetProcureurDem"/>
              <w:keepNext/>
            </w:pPr>
            <w:r>
              <w:t>M</w:t>
            </w:r>
            <w:r w:rsidRPr="00F52E2D">
              <w:rPr>
                <w:vertAlign w:val="superscript"/>
              </w:rPr>
              <w:t>e</w:t>
            </w:r>
            <w:r>
              <w:t xml:space="preserve"> </w:t>
            </w:r>
            <w:r w:rsidR="0032121C">
              <w:t xml:space="preserve">Émilie </w:t>
            </w:r>
            <w:r w:rsidR="00700007">
              <w:t>Baril</w:t>
            </w:r>
            <w:r w:rsidR="0032121C">
              <w:t>-Cô</w:t>
            </w:r>
            <w:r w:rsidR="00700007">
              <w:t>té</w:t>
            </w:r>
          </w:p>
        </w:tc>
      </w:tr>
      <w:tr w:rsidR="00514970" w:rsidTr="00F52E2D">
        <w:trPr>
          <w:cantSplit/>
        </w:trPr>
        <w:tc>
          <w:tcPr>
            <w:tcW w:w="9505" w:type="dxa"/>
            <w:gridSpan w:val="2"/>
          </w:tcPr>
          <w:p w:rsidR="000B2721" w:rsidRDefault="00B77A4A" w:rsidP="00EC683B">
            <w:pPr>
              <w:pStyle w:val="zSoquijlblProcureurDem"/>
            </w:pPr>
            <w:r>
              <w:t>Procureur</w:t>
            </w:r>
            <w:r w:rsidR="00EC683B">
              <w:t>e</w:t>
            </w:r>
            <w:r>
              <w:t xml:space="preserve"> de la p</w:t>
            </w:r>
            <w:r w:rsidR="00160FD7">
              <w:t>oursuivante</w:t>
            </w:r>
          </w:p>
        </w:tc>
      </w:tr>
      <w:tr w:rsidR="00514970" w:rsidTr="00F52E2D">
        <w:trPr>
          <w:cantSplit/>
        </w:trPr>
        <w:tc>
          <w:tcPr>
            <w:tcW w:w="9505" w:type="dxa"/>
            <w:gridSpan w:val="2"/>
          </w:tcPr>
          <w:p w:rsidR="000B2721" w:rsidRDefault="000B2721"/>
        </w:tc>
      </w:tr>
      <w:tr w:rsidR="00514970" w:rsidTr="00F52E2D">
        <w:trPr>
          <w:cantSplit/>
        </w:trPr>
        <w:tc>
          <w:tcPr>
            <w:tcW w:w="9505" w:type="dxa"/>
            <w:gridSpan w:val="2"/>
          </w:tcPr>
          <w:p w:rsidR="000B2721" w:rsidRDefault="00B77A4A" w:rsidP="0032121C">
            <w:pPr>
              <w:pStyle w:val="zSoquijdatCabinetProcureurDef"/>
            </w:pPr>
            <w:r>
              <w:t>M</w:t>
            </w:r>
            <w:r w:rsidRPr="00F52E2D">
              <w:rPr>
                <w:vertAlign w:val="superscript"/>
              </w:rPr>
              <w:t>e</w:t>
            </w:r>
            <w:r>
              <w:t xml:space="preserve"> </w:t>
            </w:r>
            <w:r w:rsidR="0032121C">
              <w:t>Christian R</w:t>
            </w:r>
            <w:r w:rsidR="00700007">
              <w:t>aymond</w:t>
            </w:r>
          </w:p>
        </w:tc>
      </w:tr>
      <w:tr w:rsidR="00514970" w:rsidTr="00F52E2D">
        <w:trPr>
          <w:cantSplit/>
        </w:trPr>
        <w:tc>
          <w:tcPr>
            <w:tcW w:w="9505" w:type="dxa"/>
            <w:gridSpan w:val="2"/>
          </w:tcPr>
          <w:p w:rsidR="000B2721" w:rsidRDefault="00B77A4A" w:rsidP="0032121C">
            <w:pPr>
              <w:pStyle w:val="zSoquijlblProcureurDef"/>
            </w:pPr>
            <w:r>
              <w:t>Procureur de l</w:t>
            </w:r>
            <w:r w:rsidR="00F52E2D">
              <w:t>’</w:t>
            </w:r>
            <w:r w:rsidR="00D83585">
              <w:t>accusé</w:t>
            </w:r>
          </w:p>
        </w:tc>
      </w:tr>
    </w:tbl>
    <w:p w:rsidR="00D7363F" w:rsidRDefault="00D7363F" w:rsidP="00A76247"/>
    <w:sectPr w:rsidR="00D7363F" w:rsidSect="007216E2">
      <w:headerReference w:type="default" r:id="rId8"/>
      <w:footerReference w:type="even" r:id="rId9"/>
      <w:footnotePr>
        <w:numRestart w:val="eachSect"/>
      </w:footnotePr>
      <w:pgSz w:w="12242" w:h="15842" w:code="1"/>
      <w:pgMar w:top="1440" w:right="1008" w:bottom="1260" w:left="1872" w:header="1440" w:footer="7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585" w:rsidRDefault="00B77A4A">
      <w:r>
        <w:separator/>
      </w:r>
    </w:p>
  </w:endnote>
  <w:endnote w:type="continuationSeparator" w:id="0">
    <w:p w:rsidR="004D7585" w:rsidRDefault="00B7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001" w:rsidRDefault="00B77A4A">
    <w:pPr>
      <w:framePr w:wrap="around" w:vAnchor="text" w:hAnchor="margin" w:xAlign="right" w:y="1"/>
    </w:pPr>
    <w:r>
      <w:fldChar w:fldCharType="begin"/>
    </w:r>
    <w:r>
      <w:instrText xml:space="preserve">PAGE  </w:instrText>
    </w:r>
    <w:r>
      <w:fldChar w:fldCharType="end"/>
    </w:r>
  </w:p>
  <w:p w:rsidR="00FC3001" w:rsidRDefault="00FC3001">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BBB" w:rsidRDefault="00B77A4A">
      <w:r>
        <w:separator/>
      </w:r>
    </w:p>
  </w:footnote>
  <w:footnote w:type="continuationSeparator" w:id="0">
    <w:p w:rsidR="00CF6BBB" w:rsidRDefault="00B77A4A">
      <w:r>
        <w:continuationSeparator/>
      </w:r>
    </w:p>
  </w:footnote>
  <w:footnote w:id="1">
    <w:p w:rsidR="00557B5B" w:rsidRDefault="00B77A4A">
      <w:pPr>
        <w:pStyle w:val="Notedebasdepage"/>
      </w:pPr>
      <w:r>
        <w:rPr>
          <w:rStyle w:val="Appelnotedebasdep"/>
        </w:rPr>
        <w:footnoteRef/>
      </w:r>
      <w:r>
        <w:t xml:space="preserve"> </w:t>
      </w:r>
      <w:r w:rsidR="00A367B3">
        <w:t xml:space="preserve">  </w:t>
      </w:r>
      <w:r w:rsidR="001B31A8">
        <w:t>Rapport présentenciel, page 6</w:t>
      </w:r>
      <w:r>
        <w:t>.</w:t>
      </w:r>
    </w:p>
  </w:footnote>
  <w:footnote w:id="2">
    <w:p w:rsidR="00F376BF" w:rsidRDefault="00B77A4A">
      <w:pPr>
        <w:pStyle w:val="Notedebasdepage"/>
      </w:pPr>
      <w:r>
        <w:rPr>
          <w:rStyle w:val="Appelnotedebasdep"/>
        </w:rPr>
        <w:footnoteRef/>
      </w:r>
      <w:r>
        <w:t xml:space="preserve">   </w:t>
      </w:r>
      <w:r w:rsidRPr="00F376BF">
        <w:rPr>
          <w:i/>
        </w:rPr>
        <w:t>Id.</w:t>
      </w:r>
    </w:p>
  </w:footnote>
  <w:footnote w:id="3">
    <w:p w:rsidR="00B63945" w:rsidRPr="006A3E2B" w:rsidRDefault="00B77A4A" w:rsidP="00B63945">
      <w:pPr>
        <w:pStyle w:val="Notedebasdepage"/>
      </w:pPr>
      <w:r>
        <w:rPr>
          <w:rStyle w:val="Appelnotedebasdep"/>
        </w:rPr>
        <w:footnoteRef/>
      </w:r>
      <w:r w:rsidRPr="006A3E2B">
        <w:t xml:space="preserve"> </w:t>
      </w:r>
      <w:r w:rsidRPr="006A3E2B">
        <w:tab/>
        <w:t>L.C. 1996, c. 19.</w:t>
      </w:r>
    </w:p>
  </w:footnote>
  <w:footnote w:id="4">
    <w:p w:rsidR="003B689F" w:rsidRPr="006A3E2B" w:rsidRDefault="00B77A4A" w:rsidP="003B689F">
      <w:pPr>
        <w:pStyle w:val="Notedebasdepage"/>
      </w:pPr>
      <w:r>
        <w:rPr>
          <w:rStyle w:val="Appelnotedebasdep"/>
        </w:rPr>
        <w:footnoteRef/>
      </w:r>
      <w:r w:rsidRPr="006A3E2B">
        <w:t xml:space="preserve"> </w:t>
      </w:r>
      <w:r w:rsidRPr="006A3E2B">
        <w:tab/>
      </w:r>
      <w:r w:rsidR="002A53D2">
        <w:t>Art. 718 Code criminel</w:t>
      </w:r>
      <w:r w:rsidR="001724F5">
        <w:t>.</w:t>
      </w:r>
    </w:p>
  </w:footnote>
  <w:footnote w:id="5">
    <w:p w:rsidR="00B63945" w:rsidRDefault="00B77A4A" w:rsidP="00B63945">
      <w:pPr>
        <w:pStyle w:val="Notedebasdepage"/>
      </w:pPr>
      <w:r>
        <w:rPr>
          <w:rStyle w:val="Appelnotedebasdep"/>
        </w:rPr>
        <w:footnoteRef/>
      </w:r>
      <w:r>
        <w:t xml:space="preserve"> </w:t>
      </w:r>
      <w:r>
        <w:tab/>
      </w:r>
      <w:r>
        <w:rPr>
          <w:i/>
        </w:rPr>
        <w:t xml:space="preserve">Harbour </w:t>
      </w:r>
      <w:r w:rsidRPr="00114380">
        <w:rPr>
          <w:iCs/>
        </w:rPr>
        <w:t>c</w:t>
      </w:r>
      <w:r w:rsidRPr="00552157">
        <w:rPr>
          <w:i/>
          <w:iCs/>
        </w:rPr>
        <w:t xml:space="preserve">. </w:t>
      </w:r>
      <w:r>
        <w:rPr>
          <w:i/>
          <w:iCs/>
        </w:rPr>
        <w:t>R.</w:t>
      </w:r>
      <w:r>
        <w:t>,</w:t>
      </w:r>
      <w:r w:rsidRPr="00552157">
        <w:t xml:space="preserve"> </w:t>
      </w:r>
      <w:r>
        <w:t>2017 QCCA 204, référence aux articles du Code criminel omise.</w:t>
      </w:r>
    </w:p>
  </w:footnote>
  <w:footnote w:id="6">
    <w:p w:rsidR="00B63945" w:rsidRPr="007343E0" w:rsidRDefault="00B77A4A" w:rsidP="00B63945">
      <w:pPr>
        <w:pStyle w:val="Notedebasdepage"/>
        <w:rPr>
          <w:lang w:val="en-CA"/>
        </w:rPr>
      </w:pPr>
      <w:r>
        <w:rPr>
          <w:rStyle w:val="Appelnotedebasdep"/>
        </w:rPr>
        <w:footnoteRef/>
      </w:r>
      <w:r w:rsidRPr="009D61E7">
        <w:rPr>
          <w:lang w:val="en-CA"/>
        </w:rPr>
        <w:t xml:space="preserve"> </w:t>
      </w:r>
      <w:r w:rsidRPr="009D61E7">
        <w:rPr>
          <w:lang w:val="en-CA"/>
        </w:rPr>
        <w:tab/>
        <w:t xml:space="preserve">Art. </w:t>
      </w:r>
      <w:r w:rsidRPr="007343E0">
        <w:rPr>
          <w:lang w:val="en-CA"/>
        </w:rPr>
        <w:t>718.1 C.cr.</w:t>
      </w:r>
    </w:p>
  </w:footnote>
  <w:footnote w:id="7">
    <w:p w:rsidR="00B63945" w:rsidRPr="007343E0" w:rsidRDefault="00B77A4A" w:rsidP="00B63945">
      <w:pPr>
        <w:pStyle w:val="Notedebasdepage"/>
        <w:rPr>
          <w:lang w:val="en-CA"/>
        </w:rPr>
      </w:pPr>
      <w:r>
        <w:rPr>
          <w:rStyle w:val="Appelnotedebasdep"/>
        </w:rPr>
        <w:footnoteRef/>
      </w:r>
      <w:r w:rsidRPr="007343E0">
        <w:rPr>
          <w:lang w:val="en-CA"/>
        </w:rPr>
        <w:t xml:space="preserve"> </w:t>
      </w:r>
      <w:r w:rsidRPr="007343E0">
        <w:rPr>
          <w:lang w:val="en-CA"/>
        </w:rPr>
        <w:tab/>
        <w:t>Art</w:t>
      </w:r>
      <w:r>
        <w:rPr>
          <w:lang w:val="en-CA"/>
        </w:rPr>
        <w:t xml:space="preserve">. </w:t>
      </w:r>
      <w:r w:rsidRPr="007343E0">
        <w:rPr>
          <w:lang w:val="en-CA"/>
        </w:rPr>
        <w:t>718.2 a</w:t>
      </w:r>
      <w:r>
        <w:rPr>
          <w:lang w:val="en-CA"/>
        </w:rPr>
        <w:t>)</w:t>
      </w:r>
      <w:r w:rsidRPr="007343E0">
        <w:rPr>
          <w:lang w:val="en-CA"/>
        </w:rPr>
        <w:t>, b</w:t>
      </w:r>
      <w:r>
        <w:rPr>
          <w:lang w:val="en-CA"/>
        </w:rPr>
        <w:t>) et</w:t>
      </w:r>
      <w:r w:rsidRPr="007343E0">
        <w:rPr>
          <w:lang w:val="en-CA"/>
        </w:rPr>
        <w:t xml:space="preserve"> c</w:t>
      </w:r>
      <w:r>
        <w:rPr>
          <w:lang w:val="en-CA"/>
        </w:rPr>
        <w:t>)</w:t>
      </w:r>
      <w:r w:rsidRPr="007343E0">
        <w:rPr>
          <w:lang w:val="en-CA"/>
        </w:rPr>
        <w:t xml:space="preserve"> C.cr.</w:t>
      </w:r>
    </w:p>
  </w:footnote>
  <w:footnote w:id="8">
    <w:p w:rsidR="00B63945" w:rsidRPr="00DC1BF9" w:rsidRDefault="00B77A4A" w:rsidP="00B63945">
      <w:pPr>
        <w:pStyle w:val="Notedebasdepage"/>
        <w:rPr>
          <w:lang w:val="en-CA"/>
        </w:rPr>
      </w:pPr>
      <w:r>
        <w:rPr>
          <w:rStyle w:val="Appelnotedebasdep"/>
        </w:rPr>
        <w:footnoteRef/>
      </w:r>
      <w:r w:rsidRPr="00DC1BF9">
        <w:rPr>
          <w:lang w:val="en-CA"/>
        </w:rPr>
        <w:t xml:space="preserve"> </w:t>
      </w:r>
      <w:r w:rsidRPr="00DC1BF9">
        <w:rPr>
          <w:lang w:val="en-CA"/>
        </w:rPr>
        <w:tab/>
        <w:t>Art.</w:t>
      </w:r>
      <w:r>
        <w:rPr>
          <w:lang w:val="en-CA"/>
        </w:rPr>
        <w:t xml:space="preserve"> </w:t>
      </w:r>
      <w:r w:rsidRPr="00DC1BF9">
        <w:rPr>
          <w:lang w:val="en-CA"/>
        </w:rPr>
        <w:t>718.2 d) C.cr.</w:t>
      </w:r>
    </w:p>
  </w:footnote>
  <w:footnote w:id="9">
    <w:p w:rsidR="00B63945" w:rsidRPr="008D7F4F" w:rsidRDefault="00B77A4A" w:rsidP="00B63945">
      <w:pPr>
        <w:pStyle w:val="Notedebasdepage"/>
        <w:rPr>
          <w:lang w:val="en-CA"/>
        </w:rPr>
      </w:pPr>
      <w:r>
        <w:rPr>
          <w:rStyle w:val="Appelnotedebasdep"/>
        </w:rPr>
        <w:footnoteRef/>
      </w:r>
      <w:r w:rsidRPr="008D7F4F">
        <w:rPr>
          <w:lang w:val="en-CA"/>
        </w:rPr>
        <w:t xml:space="preserve"> </w:t>
      </w:r>
      <w:r w:rsidRPr="008D7F4F">
        <w:rPr>
          <w:lang w:val="en-CA"/>
        </w:rPr>
        <w:tab/>
      </w:r>
      <w:r w:rsidRPr="008D7F4F">
        <w:rPr>
          <w:i/>
          <w:iCs/>
          <w:lang w:val="en-CA"/>
        </w:rPr>
        <w:t xml:space="preserve">R. </w:t>
      </w:r>
      <w:r w:rsidRPr="008D7F4F">
        <w:rPr>
          <w:iCs/>
          <w:lang w:val="en-CA"/>
        </w:rPr>
        <w:t>c</w:t>
      </w:r>
      <w:r w:rsidRPr="008D7F4F">
        <w:rPr>
          <w:i/>
          <w:iCs/>
          <w:lang w:val="en-CA"/>
        </w:rPr>
        <w:t>. Nguyen</w:t>
      </w:r>
      <w:r w:rsidRPr="008D7F4F">
        <w:rPr>
          <w:lang w:val="en-CA"/>
        </w:rPr>
        <w:t>, 2018 QCCS 3070.</w:t>
      </w:r>
    </w:p>
  </w:footnote>
  <w:footnote w:id="10">
    <w:p w:rsidR="007A2F5D" w:rsidRPr="007A2F5D" w:rsidRDefault="00B77A4A" w:rsidP="007A2F5D">
      <w:pPr>
        <w:pStyle w:val="Notedebasdepage"/>
      </w:pPr>
      <w:r>
        <w:rPr>
          <w:rStyle w:val="Appelnotedebasdep"/>
        </w:rPr>
        <w:footnoteRef/>
      </w:r>
      <w:r w:rsidRPr="007A2F5D">
        <w:t xml:space="preserve"> </w:t>
      </w:r>
      <w:r w:rsidRPr="007A2F5D">
        <w:tab/>
      </w:r>
      <w:r w:rsidRPr="007A2F5D">
        <w:rPr>
          <w:i/>
        </w:rPr>
        <w:t>R.</w:t>
      </w:r>
      <w:r w:rsidRPr="007A2F5D">
        <w:t xml:space="preserve"> c. </w:t>
      </w:r>
      <w:r w:rsidRPr="007A2F5D">
        <w:rPr>
          <w:i/>
        </w:rPr>
        <w:t>Duhaime</w:t>
      </w:r>
      <w:r w:rsidRPr="007A2F5D">
        <w:t>, 2015 QCCA 685.</w:t>
      </w:r>
    </w:p>
  </w:footnote>
  <w:footnote w:id="11">
    <w:p w:rsidR="007A2F5D" w:rsidRDefault="00B77A4A" w:rsidP="007A2F5D">
      <w:pPr>
        <w:pStyle w:val="Notedebasdepage"/>
      </w:pPr>
      <w:r>
        <w:rPr>
          <w:rStyle w:val="Appelnotedebasdep"/>
        </w:rPr>
        <w:footnoteRef/>
      </w:r>
      <w:r>
        <w:t xml:space="preserve"> </w:t>
      </w:r>
      <w:r>
        <w:tab/>
      </w:r>
      <w:r w:rsidRPr="00552902">
        <w:rPr>
          <w:i/>
        </w:rPr>
        <w:t>R.</w:t>
      </w:r>
      <w:r>
        <w:t xml:space="preserve"> c. </w:t>
      </w:r>
      <w:r w:rsidRPr="00552902">
        <w:rPr>
          <w:i/>
        </w:rPr>
        <w:t>Lacasse</w:t>
      </w:r>
      <w:r>
        <w:t xml:space="preserve">, 2015 CSC 64, principe réitéré dans </w:t>
      </w:r>
      <w:r w:rsidRPr="00506AE2">
        <w:rPr>
          <w:i/>
        </w:rPr>
        <w:t>R.</w:t>
      </w:r>
      <w:r>
        <w:t xml:space="preserve"> c. </w:t>
      </w:r>
      <w:r w:rsidRPr="00506AE2">
        <w:rPr>
          <w:i/>
        </w:rPr>
        <w:t>Friesen</w:t>
      </w:r>
      <w:r>
        <w:t>, 2020 CSC 9.</w:t>
      </w:r>
    </w:p>
  </w:footnote>
  <w:footnote w:id="12">
    <w:p w:rsidR="00680908" w:rsidRDefault="00B77A4A" w:rsidP="00680908">
      <w:pPr>
        <w:pStyle w:val="Notedebasdepage"/>
      </w:pPr>
      <w:r>
        <w:rPr>
          <w:rStyle w:val="Appelnotedebasdep"/>
        </w:rPr>
        <w:footnoteRef/>
      </w:r>
      <w:r>
        <w:t xml:space="preserve"> </w:t>
      </w:r>
      <w:r>
        <w:tab/>
      </w:r>
      <w:r w:rsidRPr="00922247">
        <w:rPr>
          <w:i/>
        </w:rPr>
        <w:t>R.</w:t>
      </w:r>
      <w:r>
        <w:t xml:space="preserve"> c. </w:t>
      </w:r>
      <w:r w:rsidRPr="00922247">
        <w:rPr>
          <w:i/>
        </w:rPr>
        <w:t>Bernier</w:t>
      </w:r>
      <w:r>
        <w:t>, 2015 QCCA 963.</w:t>
      </w:r>
    </w:p>
  </w:footnote>
  <w:footnote w:id="13">
    <w:p w:rsidR="00A77293" w:rsidRPr="00535896" w:rsidRDefault="00B77A4A">
      <w:pPr>
        <w:pStyle w:val="Notedebasdepage"/>
      </w:pPr>
      <w:r>
        <w:rPr>
          <w:rStyle w:val="Appelnotedebasdep"/>
        </w:rPr>
        <w:footnoteRef/>
      </w:r>
      <w:r w:rsidRPr="00535896">
        <w:t xml:space="preserve"> </w:t>
      </w:r>
      <w:r w:rsidR="009F5901">
        <w:t xml:space="preserve">  </w:t>
      </w:r>
      <w:r w:rsidR="004D2BFC">
        <w:t>2020 QCCA 1138</w:t>
      </w:r>
      <w:r w:rsidR="00915091">
        <w:t>.</w:t>
      </w:r>
    </w:p>
  </w:footnote>
  <w:footnote w:id="14">
    <w:p w:rsidR="00A77293" w:rsidRPr="00B0358E" w:rsidRDefault="00B77A4A">
      <w:pPr>
        <w:pStyle w:val="Notedebasdepage"/>
        <w:rPr>
          <w:lang w:val="en-CA"/>
        </w:rPr>
      </w:pPr>
      <w:r>
        <w:rPr>
          <w:rStyle w:val="Appelnotedebasdep"/>
        </w:rPr>
        <w:footnoteRef/>
      </w:r>
      <w:r w:rsidRPr="00B0358E">
        <w:rPr>
          <w:lang w:val="en-CA"/>
        </w:rPr>
        <w:t xml:space="preserve"> </w:t>
      </w:r>
      <w:r w:rsidR="004D2BFC" w:rsidRPr="00B0358E">
        <w:rPr>
          <w:lang w:val="en-CA"/>
        </w:rPr>
        <w:t xml:space="preserve">  </w:t>
      </w:r>
      <w:r w:rsidR="001B31A8" w:rsidRPr="00B0358E">
        <w:rPr>
          <w:i/>
          <w:lang w:val="en-CA"/>
        </w:rPr>
        <w:t xml:space="preserve">Supra, </w:t>
      </w:r>
      <w:r w:rsidR="001B31A8" w:rsidRPr="00B0358E">
        <w:rPr>
          <w:lang w:val="en-CA"/>
        </w:rPr>
        <w:t>note</w:t>
      </w:r>
      <w:r w:rsidR="001B31A8" w:rsidRPr="00B0358E">
        <w:rPr>
          <w:i/>
          <w:lang w:val="en-CA"/>
        </w:rPr>
        <w:t xml:space="preserve"> </w:t>
      </w:r>
      <w:r w:rsidR="001B31A8" w:rsidRPr="00B0358E">
        <w:rPr>
          <w:lang w:val="en-CA"/>
        </w:rPr>
        <w:t>10</w:t>
      </w:r>
      <w:r w:rsidR="001B31A8" w:rsidRPr="00B0358E">
        <w:rPr>
          <w:i/>
          <w:lang w:val="en-CA"/>
        </w:rPr>
        <w:t>.</w:t>
      </w:r>
    </w:p>
  </w:footnote>
  <w:footnote w:id="15">
    <w:p w:rsidR="00680908" w:rsidRPr="00B0358E" w:rsidRDefault="00B77A4A">
      <w:pPr>
        <w:pStyle w:val="Notedebasdepage"/>
        <w:rPr>
          <w:lang w:val="en-CA"/>
        </w:rPr>
      </w:pPr>
      <w:r>
        <w:rPr>
          <w:rStyle w:val="Appelnotedebasdep"/>
        </w:rPr>
        <w:footnoteRef/>
      </w:r>
      <w:r w:rsidRPr="00B0358E">
        <w:rPr>
          <w:lang w:val="en-CA"/>
        </w:rPr>
        <w:t xml:space="preserve"> </w:t>
      </w:r>
      <w:r w:rsidR="009F5901" w:rsidRPr="00B0358E">
        <w:rPr>
          <w:lang w:val="en-CA"/>
        </w:rPr>
        <w:t xml:space="preserve">  </w:t>
      </w:r>
      <w:r w:rsidR="00114380" w:rsidRPr="00B0358E">
        <w:rPr>
          <w:lang w:val="en-CA"/>
        </w:rPr>
        <w:t xml:space="preserve">Art. </w:t>
      </w:r>
      <w:r w:rsidR="004E58DD" w:rsidRPr="00B0358E">
        <w:rPr>
          <w:lang w:val="en-CA"/>
        </w:rPr>
        <w:t>724 (3) (</w:t>
      </w:r>
      <w:r w:rsidR="004D2BFC" w:rsidRPr="00B0358E">
        <w:rPr>
          <w:lang w:val="en-CA"/>
        </w:rPr>
        <w:t>e) C</w:t>
      </w:r>
      <w:r w:rsidR="00915091" w:rsidRPr="00B0358E">
        <w:rPr>
          <w:lang w:val="en-CA"/>
        </w:rPr>
        <w:t>.cr.</w:t>
      </w:r>
    </w:p>
  </w:footnote>
  <w:footnote w:id="16">
    <w:p w:rsidR="00432781" w:rsidRPr="00535896" w:rsidRDefault="00B77A4A" w:rsidP="00432781">
      <w:pPr>
        <w:pStyle w:val="Notedebasdepage"/>
      </w:pPr>
      <w:r>
        <w:rPr>
          <w:rStyle w:val="Appelnotedebasdep"/>
        </w:rPr>
        <w:footnoteRef/>
      </w:r>
      <w:r w:rsidRPr="00535896">
        <w:t xml:space="preserve">   </w:t>
      </w:r>
      <w:r w:rsidRPr="00535896">
        <w:rPr>
          <w:i/>
        </w:rPr>
        <w:t xml:space="preserve">Lacelle Belec </w:t>
      </w:r>
      <w:r w:rsidRPr="00535896">
        <w:t>c</w:t>
      </w:r>
      <w:r w:rsidRPr="00535896">
        <w:rPr>
          <w:i/>
        </w:rPr>
        <w:t>. R</w:t>
      </w:r>
      <w:r w:rsidRPr="00535896">
        <w:t>., 2019 QCCA 711.</w:t>
      </w:r>
    </w:p>
  </w:footnote>
  <w:footnote w:id="17">
    <w:p w:rsidR="00C23FEF" w:rsidRPr="004E3892" w:rsidRDefault="00B77A4A" w:rsidP="00F1201E">
      <w:pPr>
        <w:pStyle w:val="Notedebasdepage"/>
      </w:pPr>
      <w:r>
        <w:rPr>
          <w:rStyle w:val="Appelnotedebasdep"/>
        </w:rPr>
        <w:footnoteRef/>
      </w:r>
      <w:r w:rsidR="00F1201E">
        <w:t xml:space="preserve">    </w:t>
      </w:r>
      <w:r w:rsidRPr="004E3892">
        <w:t xml:space="preserve"> Rapport présentenciel</w:t>
      </w:r>
      <w:r w:rsidR="005B1842">
        <w:t>,</w:t>
      </w:r>
      <w:r w:rsidRPr="004E3892">
        <w:t xml:space="preserve"> page 6</w:t>
      </w:r>
      <w:r w:rsidR="003E68D7">
        <w:t>.</w:t>
      </w:r>
    </w:p>
  </w:footnote>
  <w:footnote w:id="18">
    <w:p w:rsidR="008B125C" w:rsidRDefault="00B77A4A">
      <w:pPr>
        <w:pStyle w:val="Notedebasdepage"/>
      </w:pPr>
      <w:r>
        <w:rPr>
          <w:rStyle w:val="Appelnotedebasdep"/>
        </w:rPr>
        <w:footnoteRef/>
      </w:r>
      <w:r>
        <w:t xml:space="preserve">     </w:t>
      </w:r>
      <w:r w:rsidRPr="00485C8E">
        <w:t>Art. 718.2 d) C.cr.</w:t>
      </w:r>
    </w:p>
  </w:footnote>
  <w:footnote w:id="19">
    <w:p w:rsidR="004E3892" w:rsidRPr="004E58DD" w:rsidRDefault="00B77A4A">
      <w:pPr>
        <w:pStyle w:val="Notedebasdepage"/>
        <w:rPr>
          <w:lang w:val="en-CA"/>
        </w:rPr>
      </w:pPr>
      <w:r>
        <w:rPr>
          <w:rStyle w:val="Appelnotedebasdep"/>
        </w:rPr>
        <w:footnoteRef/>
      </w:r>
      <w:r w:rsidRPr="004E58DD">
        <w:rPr>
          <w:lang w:val="en-CA"/>
        </w:rPr>
        <w:t xml:space="preserve"> </w:t>
      </w:r>
      <w:r w:rsidR="001E7C80">
        <w:rPr>
          <w:lang w:val="en-CA"/>
        </w:rPr>
        <w:t xml:space="preserve">   </w:t>
      </w:r>
      <w:r w:rsidR="009F5901" w:rsidRPr="001E7C80">
        <w:rPr>
          <w:lang w:val="en-CA"/>
        </w:rPr>
        <w:t xml:space="preserve"> </w:t>
      </w:r>
      <w:r w:rsidR="005B1842" w:rsidRPr="005B1842">
        <w:rPr>
          <w:i/>
          <w:lang w:val="en-CA"/>
        </w:rPr>
        <w:t>Fournier</w:t>
      </w:r>
      <w:r w:rsidR="005B1842">
        <w:rPr>
          <w:lang w:val="en-CA"/>
        </w:rPr>
        <w:t xml:space="preserve"> c. </w:t>
      </w:r>
      <w:r w:rsidR="005B1842" w:rsidRPr="005B1842">
        <w:rPr>
          <w:i/>
          <w:lang w:val="en-CA"/>
        </w:rPr>
        <w:t>R</w:t>
      </w:r>
      <w:r w:rsidR="005B1842">
        <w:rPr>
          <w:lang w:val="en-CA"/>
        </w:rPr>
        <w:t>. 2021 QCCA 1330.</w:t>
      </w:r>
    </w:p>
  </w:footnote>
  <w:footnote w:id="20">
    <w:p w:rsidR="004E3892" w:rsidRPr="00485C8E" w:rsidRDefault="00B77A4A" w:rsidP="00485C8E">
      <w:pPr>
        <w:pStyle w:val="Notedebasdepage"/>
        <w:rPr>
          <w:rFonts w:cs="Arial"/>
          <w:color w:val="000000"/>
          <w:shd w:val="clear" w:color="auto" w:fill="FFFFFF"/>
          <w:lang w:val="en-CA"/>
        </w:rPr>
      </w:pPr>
      <w:r>
        <w:rPr>
          <w:rStyle w:val="Appelnotedebasdep"/>
        </w:rPr>
        <w:footnoteRef/>
      </w:r>
      <w:r w:rsidRPr="004E58DD">
        <w:rPr>
          <w:lang w:val="en-CA"/>
        </w:rPr>
        <w:t xml:space="preserve"> </w:t>
      </w:r>
      <w:r w:rsidR="004E58DD">
        <w:rPr>
          <w:lang w:val="en-CA"/>
        </w:rPr>
        <w:t xml:space="preserve"> </w:t>
      </w:r>
      <w:r w:rsidR="00EF41C4">
        <w:rPr>
          <w:lang w:val="en-CA"/>
        </w:rPr>
        <w:t xml:space="preserve">   </w:t>
      </w:r>
      <w:r w:rsidR="004E58DD" w:rsidRPr="005A5AB3">
        <w:rPr>
          <w:lang w:val="en-CA"/>
        </w:rPr>
        <w:t>C</w:t>
      </w:r>
      <w:r w:rsidR="004E58DD">
        <w:rPr>
          <w:lang w:val="en-CA"/>
        </w:rPr>
        <w:t>layton</w:t>
      </w:r>
      <w:r w:rsidR="004E58DD" w:rsidRPr="005A5AB3">
        <w:rPr>
          <w:lang w:val="en-CA"/>
        </w:rPr>
        <w:t xml:space="preserve"> </w:t>
      </w:r>
      <w:r w:rsidR="004E58DD" w:rsidRPr="005A5AB3">
        <w:rPr>
          <w:sz w:val="18"/>
          <w:szCs w:val="18"/>
          <w:lang w:val="en-CA"/>
        </w:rPr>
        <w:t>RUBY</w:t>
      </w:r>
      <w:r w:rsidR="004E58DD" w:rsidRPr="005A5AB3">
        <w:rPr>
          <w:lang w:val="en-CA"/>
        </w:rPr>
        <w:t xml:space="preserve">, </w:t>
      </w:r>
      <w:r w:rsidR="004E58DD" w:rsidRPr="005A5AB3">
        <w:rPr>
          <w:i/>
          <w:lang w:val="en-CA"/>
        </w:rPr>
        <w:t>Sentencing</w:t>
      </w:r>
      <w:r w:rsidR="004E58DD" w:rsidRPr="005A5AB3">
        <w:rPr>
          <w:lang w:val="en-CA"/>
        </w:rPr>
        <w:t>, 10</w:t>
      </w:r>
      <w:r w:rsidR="004E58DD">
        <w:rPr>
          <w:vertAlign w:val="superscript"/>
          <w:lang w:val="en-CA"/>
        </w:rPr>
        <w:t xml:space="preserve">th </w:t>
      </w:r>
      <w:r w:rsidR="00B934AC">
        <w:rPr>
          <w:lang w:val="en-CA"/>
        </w:rPr>
        <w:t xml:space="preserve">ed., </w:t>
      </w:r>
      <w:r w:rsidR="004E58DD">
        <w:rPr>
          <w:lang w:val="en-CA"/>
        </w:rPr>
        <w:t xml:space="preserve">Toronto, LexisNexis Canada; voir </w:t>
      </w:r>
      <w:r w:rsidR="00485C8E">
        <w:rPr>
          <w:rFonts w:cs="Arial"/>
          <w:i/>
          <w:iCs/>
          <w:color w:val="000000"/>
          <w:shd w:val="clear" w:color="auto" w:fill="FFFFFF"/>
          <w:lang w:val="en-CA"/>
        </w:rPr>
        <w:t xml:space="preserve">R. </w:t>
      </w:r>
      <w:r w:rsidR="00485C8E" w:rsidRPr="00547CB2">
        <w:rPr>
          <w:rFonts w:cs="Arial"/>
          <w:iCs/>
          <w:color w:val="000000"/>
          <w:shd w:val="clear" w:color="auto" w:fill="FFFFFF"/>
          <w:lang w:val="en-CA"/>
        </w:rPr>
        <w:t>c</w:t>
      </w:r>
      <w:r w:rsidR="00485C8E">
        <w:rPr>
          <w:rFonts w:cs="Arial"/>
          <w:i/>
          <w:iCs/>
          <w:color w:val="000000"/>
          <w:shd w:val="clear" w:color="auto" w:fill="FFFFFF"/>
          <w:lang w:val="en-CA"/>
        </w:rPr>
        <w:t xml:space="preserve">. Lahaie, </w:t>
      </w:r>
      <w:r w:rsidR="00485C8E" w:rsidRPr="00485C8E">
        <w:rPr>
          <w:rFonts w:cs="Arial"/>
          <w:iCs/>
          <w:color w:val="000000"/>
          <w:shd w:val="clear" w:color="auto" w:fill="FFFFFF"/>
          <w:lang w:val="en-CA"/>
        </w:rPr>
        <w:t>2020 QCCA 52</w:t>
      </w:r>
      <w:r w:rsidR="00485C8E">
        <w:rPr>
          <w:rFonts w:cs="Arial"/>
          <w:i/>
          <w:iCs/>
          <w:color w:val="000000"/>
          <w:shd w:val="clear" w:color="auto" w:fill="FFFFFF"/>
          <w:lang w:val="en-CA"/>
        </w:rPr>
        <w:t>.</w:t>
      </w:r>
      <w:r w:rsidR="00EF41C4">
        <w:rPr>
          <w:rStyle w:val="reflex3-missing"/>
          <w:rFonts w:cs="Arial"/>
          <w:color w:val="000000"/>
          <w:shd w:val="clear" w:color="auto" w:fill="FFFFFF"/>
          <w:lang w:val="en-CA"/>
        </w:rPr>
        <w:t xml:space="preserve">  </w:t>
      </w:r>
    </w:p>
  </w:footnote>
  <w:footnote w:id="21">
    <w:p w:rsidR="006F778B" w:rsidRPr="00A367B3" w:rsidRDefault="00B77A4A" w:rsidP="006F778B">
      <w:pPr>
        <w:pStyle w:val="Notedebasdepage"/>
      </w:pPr>
      <w:r>
        <w:rPr>
          <w:rStyle w:val="Appelnotedebasdep"/>
        </w:rPr>
        <w:footnoteRef/>
      </w:r>
      <w:r w:rsidRPr="00A367B3">
        <w:t xml:space="preserve"> </w:t>
      </w:r>
      <w:r w:rsidRPr="00A367B3">
        <w:tab/>
      </w:r>
      <w:r w:rsidR="00EF41C4" w:rsidRPr="00A367B3">
        <w:t xml:space="preserve"> </w:t>
      </w:r>
      <w:r w:rsidRPr="00A367B3">
        <w:rPr>
          <w:i/>
        </w:rPr>
        <w:t>R</w:t>
      </w:r>
      <w:r w:rsidRPr="00A367B3">
        <w:t xml:space="preserve">. c. </w:t>
      </w:r>
      <w:r w:rsidRPr="00A367B3">
        <w:rPr>
          <w:i/>
        </w:rPr>
        <w:t>Quirion</w:t>
      </w:r>
      <w:r w:rsidRPr="00A367B3">
        <w:t>, 1993 CanLII 3603 (QCCA)</w:t>
      </w:r>
    </w:p>
  </w:footnote>
  <w:footnote w:id="22">
    <w:p w:rsidR="00680908" w:rsidRPr="00FC7E56" w:rsidRDefault="00B77A4A" w:rsidP="00680908">
      <w:pPr>
        <w:pStyle w:val="Notedebasdepage"/>
      </w:pPr>
      <w:r>
        <w:rPr>
          <w:rStyle w:val="Appelnotedebasdep"/>
        </w:rPr>
        <w:footnoteRef/>
      </w:r>
      <w:r w:rsidRPr="00FC7E56">
        <w:t xml:space="preserve"> </w:t>
      </w:r>
      <w:r w:rsidRPr="00FC7E56">
        <w:tab/>
      </w:r>
      <w:r w:rsidR="00EF41C4" w:rsidRPr="00FC7E56">
        <w:t xml:space="preserve"> </w:t>
      </w:r>
      <w:r w:rsidR="00FC7E56" w:rsidRPr="00E7598C">
        <w:t xml:space="preserve">Hugues </w:t>
      </w:r>
      <w:r w:rsidR="00FC7E56" w:rsidRPr="00E7598C">
        <w:rPr>
          <w:smallCaps/>
        </w:rPr>
        <w:t>Parent</w:t>
      </w:r>
      <w:r w:rsidR="00FC7E56" w:rsidRPr="00E7598C">
        <w:t xml:space="preserve"> et Julie </w:t>
      </w:r>
      <w:r w:rsidR="00FC7E56" w:rsidRPr="00E7598C">
        <w:rPr>
          <w:smallCaps/>
        </w:rPr>
        <w:t>Desrosiers</w:t>
      </w:r>
      <w:r w:rsidR="00FC7E56">
        <w:rPr>
          <w:smallCaps/>
        </w:rPr>
        <w:t>,</w:t>
      </w:r>
      <w:r w:rsidR="00FC7E56" w:rsidRPr="00E7598C">
        <w:rPr>
          <w:i/>
        </w:rPr>
        <w:t xml:space="preserve"> Traité de droit criminel : la </w:t>
      </w:r>
      <w:r w:rsidR="00FC7E56" w:rsidRPr="00915B88">
        <w:rPr>
          <w:i/>
        </w:rPr>
        <w:t>peine</w:t>
      </w:r>
      <w:r w:rsidR="00FC7E56" w:rsidRPr="00E7598C">
        <w:t>, 2</w:t>
      </w:r>
      <w:r w:rsidR="00FC7E56" w:rsidRPr="00E7598C">
        <w:rPr>
          <w:vertAlign w:val="superscript"/>
        </w:rPr>
        <w:t>e</w:t>
      </w:r>
      <w:r w:rsidR="00FC7E56" w:rsidRPr="00E7598C">
        <w:t xml:space="preserve"> éd., tome 3, Montréal, Les </w:t>
      </w:r>
      <w:r w:rsidR="00FC7E56">
        <w:t xml:space="preserve">  </w:t>
      </w:r>
      <w:r w:rsidR="003E68D7">
        <w:t xml:space="preserve">         É</w:t>
      </w:r>
      <w:r w:rsidR="00FC7E56" w:rsidRPr="00E7598C">
        <w:t xml:space="preserve">ditions Thémis, 2016, </w:t>
      </w:r>
      <w:r w:rsidR="00FC7E56">
        <w:rPr>
          <w:rFonts w:cs="Arial"/>
        </w:rPr>
        <w:t>p. 294.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001" w:rsidRDefault="00B77A4A">
    <w:pPr>
      <w:tabs>
        <w:tab w:val="center" w:pos="4709"/>
        <w:tab w:val="right" w:pos="9360"/>
      </w:tabs>
      <w:ind w:right="524"/>
    </w:pPr>
    <w:r>
      <w:t>450-01-121010-214,  450-01-121011-212</w:t>
    </w:r>
    <w:r>
      <w:tab/>
    </w:r>
    <w:r>
      <w:tab/>
      <w:t xml:space="preserve">PAGE : </w:t>
    </w:r>
    <w:r>
      <w:fldChar w:fldCharType="begin"/>
    </w:r>
    <w:r>
      <w:instrText xml:space="preserve"> PAGE </w:instrText>
    </w:r>
    <w:r>
      <w:fldChar w:fldCharType="separate"/>
    </w:r>
    <w:r w:rsidR="00137C52">
      <w:rPr>
        <w:noProof/>
      </w:rPr>
      <w:t>9</w:t>
    </w:r>
    <w:r>
      <w:fldChar w:fldCharType="end"/>
    </w:r>
  </w:p>
  <w:p w:rsidR="00FC3001" w:rsidRDefault="00FC3001">
    <w:pPr>
      <w:tabs>
        <w:tab w:val="center" w:pos="4709"/>
        <w:tab w:val="right" w:pos="9090"/>
      </w:tabs>
      <w:ind w:right="524"/>
    </w:pPr>
  </w:p>
  <w:p w:rsidR="00FC3001" w:rsidRDefault="00FC3001">
    <w:pPr>
      <w:tabs>
        <w:tab w:val="center" w:pos="4709"/>
        <w:tab w:val="right" w:pos="9090"/>
      </w:tabs>
      <w:ind w:right="52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5C8E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6EA15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5247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300ED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84BF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7A90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5652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F01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346F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0CF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095C0B"/>
    <w:multiLevelType w:val="hybridMultilevel"/>
    <w:tmpl w:val="39ACDE1C"/>
    <w:lvl w:ilvl="0" w:tplc="09F68D80">
      <w:start w:val="1"/>
      <w:numFmt w:val="lowerLetter"/>
      <w:lvlText w:val="%1."/>
      <w:lvlJc w:val="left"/>
      <w:pPr>
        <w:ind w:left="1828" w:hanging="360"/>
      </w:pPr>
      <w:rPr>
        <w:rFonts w:hint="default"/>
      </w:rPr>
    </w:lvl>
    <w:lvl w:ilvl="1" w:tplc="147EA922" w:tentative="1">
      <w:start w:val="1"/>
      <w:numFmt w:val="lowerLetter"/>
      <w:lvlText w:val="%2."/>
      <w:lvlJc w:val="left"/>
      <w:pPr>
        <w:ind w:left="2548" w:hanging="360"/>
      </w:pPr>
    </w:lvl>
    <w:lvl w:ilvl="2" w:tplc="FAA65CE6" w:tentative="1">
      <w:start w:val="1"/>
      <w:numFmt w:val="lowerRoman"/>
      <w:lvlText w:val="%3."/>
      <w:lvlJc w:val="right"/>
      <w:pPr>
        <w:ind w:left="3268" w:hanging="180"/>
      </w:pPr>
    </w:lvl>
    <w:lvl w:ilvl="3" w:tplc="6622B8A6" w:tentative="1">
      <w:start w:val="1"/>
      <w:numFmt w:val="decimal"/>
      <w:lvlText w:val="%4."/>
      <w:lvlJc w:val="left"/>
      <w:pPr>
        <w:ind w:left="3988" w:hanging="360"/>
      </w:pPr>
    </w:lvl>
    <w:lvl w:ilvl="4" w:tplc="4FE2199E" w:tentative="1">
      <w:start w:val="1"/>
      <w:numFmt w:val="lowerLetter"/>
      <w:lvlText w:val="%5."/>
      <w:lvlJc w:val="left"/>
      <w:pPr>
        <w:ind w:left="4708" w:hanging="360"/>
      </w:pPr>
    </w:lvl>
    <w:lvl w:ilvl="5" w:tplc="33360602" w:tentative="1">
      <w:start w:val="1"/>
      <w:numFmt w:val="lowerRoman"/>
      <w:lvlText w:val="%6."/>
      <w:lvlJc w:val="right"/>
      <w:pPr>
        <w:ind w:left="5428" w:hanging="180"/>
      </w:pPr>
    </w:lvl>
    <w:lvl w:ilvl="6" w:tplc="E2A0D550" w:tentative="1">
      <w:start w:val="1"/>
      <w:numFmt w:val="decimal"/>
      <w:lvlText w:val="%7."/>
      <w:lvlJc w:val="left"/>
      <w:pPr>
        <w:ind w:left="6148" w:hanging="360"/>
      </w:pPr>
    </w:lvl>
    <w:lvl w:ilvl="7" w:tplc="19A4EC8A" w:tentative="1">
      <w:start w:val="1"/>
      <w:numFmt w:val="lowerLetter"/>
      <w:lvlText w:val="%8."/>
      <w:lvlJc w:val="left"/>
      <w:pPr>
        <w:ind w:left="6868" w:hanging="360"/>
      </w:pPr>
    </w:lvl>
    <w:lvl w:ilvl="8" w:tplc="206E73B0" w:tentative="1">
      <w:start w:val="1"/>
      <w:numFmt w:val="lowerRoman"/>
      <w:lvlText w:val="%9."/>
      <w:lvlJc w:val="right"/>
      <w:pPr>
        <w:ind w:left="7588" w:hanging="180"/>
      </w:pPr>
    </w:lvl>
  </w:abstractNum>
  <w:abstractNum w:abstractNumId="11" w15:restartNumberingAfterBreak="0">
    <w:nsid w:val="1A3C3150"/>
    <w:multiLevelType w:val="hybridMultilevel"/>
    <w:tmpl w:val="0CC2D914"/>
    <w:lvl w:ilvl="0" w:tplc="0002CEB4">
      <w:start w:val="1"/>
      <w:numFmt w:val="lowerLetter"/>
      <w:lvlText w:val="%1)"/>
      <w:lvlJc w:val="left"/>
      <w:pPr>
        <w:ind w:left="1454" w:hanging="360"/>
      </w:pPr>
    </w:lvl>
    <w:lvl w:ilvl="1" w:tplc="8C5C4BB6" w:tentative="1">
      <w:start w:val="1"/>
      <w:numFmt w:val="lowerLetter"/>
      <w:lvlText w:val="%2."/>
      <w:lvlJc w:val="left"/>
      <w:pPr>
        <w:ind w:left="2174" w:hanging="360"/>
      </w:pPr>
    </w:lvl>
    <w:lvl w:ilvl="2" w:tplc="EDEE70CC" w:tentative="1">
      <w:start w:val="1"/>
      <w:numFmt w:val="lowerRoman"/>
      <w:lvlText w:val="%3."/>
      <w:lvlJc w:val="right"/>
      <w:pPr>
        <w:ind w:left="2894" w:hanging="180"/>
      </w:pPr>
    </w:lvl>
    <w:lvl w:ilvl="3" w:tplc="C48A5BCE" w:tentative="1">
      <w:start w:val="1"/>
      <w:numFmt w:val="decimal"/>
      <w:lvlText w:val="%4."/>
      <w:lvlJc w:val="left"/>
      <w:pPr>
        <w:ind w:left="3614" w:hanging="360"/>
      </w:pPr>
    </w:lvl>
    <w:lvl w:ilvl="4" w:tplc="79BEFE30" w:tentative="1">
      <w:start w:val="1"/>
      <w:numFmt w:val="lowerLetter"/>
      <w:lvlText w:val="%5."/>
      <w:lvlJc w:val="left"/>
      <w:pPr>
        <w:ind w:left="4334" w:hanging="360"/>
      </w:pPr>
    </w:lvl>
    <w:lvl w:ilvl="5" w:tplc="32461560" w:tentative="1">
      <w:start w:val="1"/>
      <w:numFmt w:val="lowerRoman"/>
      <w:lvlText w:val="%6."/>
      <w:lvlJc w:val="right"/>
      <w:pPr>
        <w:ind w:left="5054" w:hanging="180"/>
      </w:pPr>
    </w:lvl>
    <w:lvl w:ilvl="6" w:tplc="490CC960" w:tentative="1">
      <w:start w:val="1"/>
      <w:numFmt w:val="decimal"/>
      <w:lvlText w:val="%7."/>
      <w:lvlJc w:val="left"/>
      <w:pPr>
        <w:ind w:left="5774" w:hanging="360"/>
      </w:pPr>
    </w:lvl>
    <w:lvl w:ilvl="7" w:tplc="027A7BE4" w:tentative="1">
      <w:start w:val="1"/>
      <w:numFmt w:val="lowerLetter"/>
      <w:lvlText w:val="%8."/>
      <w:lvlJc w:val="left"/>
      <w:pPr>
        <w:ind w:left="6494" w:hanging="360"/>
      </w:pPr>
    </w:lvl>
    <w:lvl w:ilvl="8" w:tplc="71125428" w:tentative="1">
      <w:start w:val="1"/>
      <w:numFmt w:val="lowerRoman"/>
      <w:lvlText w:val="%9."/>
      <w:lvlJc w:val="right"/>
      <w:pPr>
        <w:ind w:left="7214" w:hanging="180"/>
      </w:pPr>
    </w:lvl>
  </w:abstractNum>
  <w:abstractNum w:abstractNumId="12" w15:restartNumberingAfterBreak="0">
    <w:nsid w:val="249B0F0A"/>
    <w:multiLevelType w:val="hybridMultilevel"/>
    <w:tmpl w:val="32FEC422"/>
    <w:lvl w:ilvl="0" w:tplc="4D72752E">
      <w:start w:val="1"/>
      <w:numFmt w:val="decimal"/>
      <w:lvlText w:val="[%1]"/>
      <w:lvlJc w:val="left"/>
      <w:pPr>
        <w:ind w:left="720" w:hanging="360"/>
      </w:pPr>
      <w:rPr>
        <w:rFonts w:hint="default"/>
      </w:rPr>
    </w:lvl>
    <w:lvl w:ilvl="1" w:tplc="DE807EA8" w:tentative="1">
      <w:start w:val="1"/>
      <w:numFmt w:val="lowerLetter"/>
      <w:lvlText w:val="%2."/>
      <w:lvlJc w:val="left"/>
      <w:pPr>
        <w:ind w:left="1440" w:hanging="360"/>
      </w:pPr>
    </w:lvl>
    <w:lvl w:ilvl="2" w:tplc="5B764FA8" w:tentative="1">
      <w:start w:val="1"/>
      <w:numFmt w:val="lowerRoman"/>
      <w:lvlText w:val="%3."/>
      <w:lvlJc w:val="right"/>
      <w:pPr>
        <w:ind w:left="2160" w:hanging="180"/>
      </w:pPr>
    </w:lvl>
    <w:lvl w:ilvl="3" w:tplc="714C1292" w:tentative="1">
      <w:start w:val="1"/>
      <w:numFmt w:val="decimal"/>
      <w:lvlText w:val="%4."/>
      <w:lvlJc w:val="left"/>
      <w:pPr>
        <w:ind w:left="2880" w:hanging="360"/>
      </w:pPr>
    </w:lvl>
    <w:lvl w:ilvl="4" w:tplc="DE4A414E" w:tentative="1">
      <w:start w:val="1"/>
      <w:numFmt w:val="lowerLetter"/>
      <w:lvlText w:val="%5."/>
      <w:lvlJc w:val="left"/>
      <w:pPr>
        <w:ind w:left="3600" w:hanging="360"/>
      </w:pPr>
    </w:lvl>
    <w:lvl w:ilvl="5" w:tplc="A8B00192" w:tentative="1">
      <w:start w:val="1"/>
      <w:numFmt w:val="lowerRoman"/>
      <w:lvlText w:val="%6."/>
      <w:lvlJc w:val="right"/>
      <w:pPr>
        <w:ind w:left="4320" w:hanging="180"/>
      </w:pPr>
    </w:lvl>
    <w:lvl w:ilvl="6" w:tplc="8D50B834" w:tentative="1">
      <w:start w:val="1"/>
      <w:numFmt w:val="decimal"/>
      <w:lvlText w:val="%7."/>
      <w:lvlJc w:val="left"/>
      <w:pPr>
        <w:ind w:left="5040" w:hanging="360"/>
      </w:pPr>
    </w:lvl>
    <w:lvl w:ilvl="7" w:tplc="255A59B0" w:tentative="1">
      <w:start w:val="1"/>
      <w:numFmt w:val="lowerLetter"/>
      <w:lvlText w:val="%8."/>
      <w:lvlJc w:val="left"/>
      <w:pPr>
        <w:ind w:left="5760" w:hanging="360"/>
      </w:pPr>
    </w:lvl>
    <w:lvl w:ilvl="8" w:tplc="098490A6" w:tentative="1">
      <w:start w:val="1"/>
      <w:numFmt w:val="lowerRoman"/>
      <w:lvlText w:val="%9."/>
      <w:lvlJc w:val="right"/>
      <w:pPr>
        <w:ind w:left="6480" w:hanging="180"/>
      </w:pPr>
    </w:lvl>
  </w:abstractNum>
  <w:abstractNum w:abstractNumId="13" w15:restartNumberingAfterBreak="0">
    <w:nsid w:val="28C12DC0"/>
    <w:multiLevelType w:val="multilevel"/>
    <w:tmpl w:val="C196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64895"/>
    <w:multiLevelType w:val="hybridMultilevel"/>
    <w:tmpl w:val="D9F2BC74"/>
    <w:lvl w:ilvl="0" w:tplc="CDFE0496">
      <w:start w:val="1"/>
      <w:numFmt w:val="lowerLetter"/>
      <w:lvlText w:val="%1)"/>
      <w:lvlJc w:val="left"/>
      <w:pPr>
        <w:ind w:left="1454" w:hanging="360"/>
      </w:pPr>
    </w:lvl>
    <w:lvl w:ilvl="1" w:tplc="3B5ECF0A" w:tentative="1">
      <w:start w:val="1"/>
      <w:numFmt w:val="lowerLetter"/>
      <w:lvlText w:val="%2."/>
      <w:lvlJc w:val="left"/>
      <w:pPr>
        <w:ind w:left="2174" w:hanging="360"/>
      </w:pPr>
    </w:lvl>
    <w:lvl w:ilvl="2" w:tplc="49E09EA8" w:tentative="1">
      <w:start w:val="1"/>
      <w:numFmt w:val="lowerRoman"/>
      <w:lvlText w:val="%3."/>
      <w:lvlJc w:val="right"/>
      <w:pPr>
        <w:ind w:left="2894" w:hanging="180"/>
      </w:pPr>
    </w:lvl>
    <w:lvl w:ilvl="3" w:tplc="3B50D5E8" w:tentative="1">
      <w:start w:val="1"/>
      <w:numFmt w:val="decimal"/>
      <w:lvlText w:val="%4."/>
      <w:lvlJc w:val="left"/>
      <w:pPr>
        <w:ind w:left="3614" w:hanging="360"/>
      </w:pPr>
    </w:lvl>
    <w:lvl w:ilvl="4" w:tplc="D08C0108" w:tentative="1">
      <w:start w:val="1"/>
      <w:numFmt w:val="lowerLetter"/>
      <w:lvlText w:val="%5."/>
      <w:lvlJc w:val="left"/>
      <w:pPr>
        <w:ind w:left="4334" w:hanging="360"/>
      </w:pPr>
    </w:lvl>
    <w:lvl w:ilvl="5" w:tplc="F968A610" w:tentative="1">
      <w:start w:val="1"/>
      <w:numFmt w:val="lowerRoman"/>
      <w:lvlText w:val="%6."/>
      <w:lvlJc w:val="right"/>
      <w:pPr>
        <w:ind w:left="5054" w:hanging="180"/>
      </w:pPr>
    </w:lvl>
    <w:lvl w:ilvl="6" w:tplc="5470A136" w:tentative="1">
      <w:start w:val="1"/>
      <w:numFmt w:val="decimal"/>
      <w:lvlText w:val="%7."/>
      <w:lvlJc w:val="left"/>
      <w:pPr>
        <w:ind w:left="5774" w:hanging="360"/>
      </w:pPr>
    </w:lvl>
    <w:lvl w:ilvl="7" w:tplc="02E69D38" w:tentative="1">
      <w:start w:val="1"/>
      <w:numFmt w:val="lowerLetter"/>
      <w:lvlText w:val="%8."/>
      <w:lvlJc w:val="left"/>
      <w:pPr>
        <w:ind w:left="6494" w:hanging="360"/>
      </w:pPr>
    </w:lvl>
    <w:lvl w:ilvl="8" w:tplc="054EC012" w:tentative="1">
      <w:start w:val="1"/>
      <w:numFmt w:val="lowerRoman"/>
      <w:lvlText w:val="%9."/>
      <w:lvlJc w:val="right"/>
      <w:pPr>
        <w:ind w:left="7214" w:hanging="180"/>
      </w:pPr>
    </w:lvl>
  </w:abstractNum>
  <w:abstractNum w:abstractNumId="15" w15:restartNumberingAfterBreak="0">
    <w:nsid w:val="3FAC6809"/>
    <w:multiLevelType w:val="hybridMultilevel"/>
    <w:tmpl w:val="FB347F6E"/>
    <w:lvl w:ilvl="0" w:tplc="CCA46562">
      <w:start w:val="1"/>
      <w:numFmt w:val="decimal"/>
      <w:lvlText w:val="%1."/>
      <w:lvlJc w:val="left"/>
      <w:pPr>
        <w:ind w:left="1090" w:hanging="360"/>
      </w:pPr>
      <w:rPr>
        <w:rFonts w:hint="default"/>
      </w:rPr>
    </w:lvl>
    <w:lvl w:ilvl="1" w:tplc="C3702B1A" w:tentative="1">
      <w:start w:val="1"/>
      <w:numFmt w:val="lowerLetter"/>
      <w:lvlText w:val="%2."/>
      <w:lvlJc w:val="left"/>
      <w:pPr>
        <w:ind w:left="1810" w:hanging="360"/>
      </w:pPr>
    </w:lvl>
    <w:lvl w:ilvl="2" w:tplc="D8CEFB44" w:tentative="1">
      <w:start w:val="1"/>
      <w:numFmt w:val="lowerRoman"/>
      <w:lvlText w:val="%3."/>
      <w:lvlJc w:val="right"/>
      <w:pPr>
        <w:ind w:left="2530" w:hanging="180"/>
      </w:pPr>
    </w:lvl>
    <w:lvl w:ilvl="3" w:tplc="23CE1B96" w:tentative="1">
      <w:start w:val="1"/>
      <w:numFmt w:val="decimal"/>
      <w:lvlText w:val="%4."/>
      <w:lvlJc w:val="left"/>
      <w:pPr>
        <w:ind w:left="3250" w:hanging="360"/>
      </w:pPr>
    </w:lvl>
    <w:lvl w:ilvl="4" w:tplc="899A77CA" w:tentative="1">
      <w:start w:val="1"/>
      <w:numFmt w:val="lowerLetter"/>
      <w:lvlText w:val="%5."/>
      <w:lvlJc w:val="left"/>
      <w:pPr>
        <w:ind w:left="3970" w:hanging="360"/>
      </w:pPr>
    </w:lvl>
    <w:lvl w:ilvl="5" w:tplc="207822F8" w:tentative="1">
      <w:start w:val="1"/>
      <w:numFmt w:val="lowerRoman"/>
      <w:lvlText w:val="%6."/>
      <w:lvlJc w:val="right"/>
      <w:pPr>
        <w:ind w:left="4690" w:hanging="180"/>
      </w:pPr>
    </w:lvl>
    <w:lvl w:ilvl="6" w:tplc="F81AB542" w:tentative="1">
      <w:start w:val="1"/>
      <w:numFmt w:val="decimal"/>
      <w:lvlText w:val="%7."/>
      <w:lvlJc w:val="left"/>
      <w:pPr>
        <w:ind w:left="5410" w:hanging="360"/>
      </w:pPr>
    </w:lvl>
    <w:lvl w:ilvl="7" w:tplc="50AEA75C" w:tentative="1">
      <w:start w:val="1"/>
      <w:numFmt w:val="lowerLetter"/>
      <w:lvlText w:val="%8."/>
      <w:lvlJc w:val="left"/>
      <w:pPr>
        <w:ind w:left="6130" w:hanging="360"/>
      </w:pPr>
    </w:lvl>
    <w:lvl w:ilvl="8" w:tplc="E0304150" w:tentative="1">
      <w:start w:val="1"/>
      <w:numFmt w:val="lowerRoman"/>
      <w:lvlText w:val="%9."/>
      <w:lvlJc w:val="right"/>
      <w:pPr>
        <w:ind w:left="6850" w:hanging="180"/>
      </w:pPr>
    </w:lvl>
  </w:abstractNum>
  <w:abstractNum w:abstractNumId="16" w15:restartNumberingAfterBreak="0">
    <w:nsid w:val="609C0DCC"/>
    <w:multiLevelType w:val="multilevel"/>
    <w:tmpl w:val="C1848992"/>
    <w:lvl w:ilvl="0">
      <w:start w:val="1"/>
      <w:numFmt w:val="decimal"/>
      <w:pStyle w:val="Paragraphe"/>
      <w:lvlText w:val="[%1]"/>
      <w:lvlJc w:val="left"/>
      <w:pPr>
        <w:tabs>
          <w:tab w:val="num" w:pos="360"/>
        </w:tabs>
        <w:ind w:left="0" w:firstLine="0"/>
      </w:pPr>
      <w:rPr>
        <w:rFonts w:ascii="Arial" w:hAnsi="Arial" w:hint="default"/>
        <w:b w:val="0"/>
        <w:i w:val="0"/>
        <w:sz w:val="24"/>
      </w:rPr>
    </w:lvl>
    <w:lvl w:ilvl="1">
      <w:start w:val="1"/>
      <w:numFmt w:val="decimal"/>
      <w:pStyle w:val="Sous-paragraphe"/>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6E707F7B"/>
    <w:multiLevelType w:val="hybridMultilevel"/>
    <w:tmpl w:val="BA04A8E8"/>
    <w:lvl w:ilvl="0" w:tplc="31807EB2">
      <w:start w:val="1"/>
      <w:numFmt w:val="decimal"/>
      <w:lvlText w:val="%1."/>
      <w:lvlJc w:val="left"/>
      <w:pPr>
        <w:ind w:left="1834" w:hanging="360"/>
      </w:pPr>
      <w:rPr>
        <w:rFonts w:ascii="Arial" w:hAnsi="Arial" w:hint="default"/>
        <w:b w:val="0"/>
        <w:i w:val="0"/>
        <w:caps w:val="0"/>
        <w:strike w:val="0"/>
        <w:dstrike w:val="0"/>
        <w:vanish w:val="0"/>
        <w:sz w:val="24"/>
        <w:vertAlign w:val="baseline"/>
      </w:rPr>
    </w:lvl>
    <w:lvl w:ilvl="1" w:tplc="03B44BE4">
      <w:start w:val="1"/>
      <w:numFmt w:val="bullet"/>
      <w:lvlText w:val="o"/>
      <w:lvlJc w:val="left"/>
      <w:pPr>
        <w:ind w:left="2554" w:hanging="360"/>
      </w:pPr>
      <w:rPr>
        <w:rFonts w:ascii="Courier New" w:hAnsi="Courier New" w:cs="Courier New" w:hint="default"/>
      </w:rPr>
    </w:lvl>
    <w:lvl w:ilvl="2" w:tplc="D23E262A" w:tentative="1">
      <w:start w:val="1"/>
      <w:numFmt w:val="bullet"/>
      <w:lvlText w:val=""/>
      <w:lvlJc w:val="left"/>
      <w:pPr>
        <w:ind w:left="3274" w:hanging="360"/>
      </w:pPr>
      <w:rPr>
        <w:rFonts w:ascii="Wingdings" w:hAnsi="Wingdings" w:hint="default"/>
      </w:rPr>
    </w:lvl>
    <w:lvl w:ilvl="3" w:tplc="87A40372" w:tentative="1">
      <w:start w:val="1"/>
      <w:numFmt w:val="bullet"/>
      <w:lvlText w:val=""/>
      <w:lvlJc w:val="left"/>
      <w:pPr>
        <w:ind w:left="3994" w:hanging="360"/>
      </w:pPr>
      <w:rPr>
        <w:rFonts w:ascii="Symbol" w:hAnsi="Symbol" w:hint="default"/>
      </w:rPr>
    </w:lvl>
    <w:lvl w:ilvl="4" w:tplc="A4EA1958" w:tentative="1">
      <w:start w:val="1"/>
      <w:numFmt w:val="bullet"/>
      <w:lvlText w:val="o"/>
      <w:lvlJc w:val="left"/>
      <w:pPr>
        <w:ind w:left="4714" w:hanging="360"/>
      </w:pPr>
      <w:rPr>
        <w:rFonts w:ascii="Courier New" w:hAnsi="Courier New" w:cs="Courier New" w:hint="default"/>
      </w:rPr>
    </w:lvl>
    <w:lvl w:ilvl="5" w:tplc="8304D942" w:tentative="1">
      <w:start w:val="1"/>
      <w:numFmt w:val="bullet"/>
      <w:lvlText w:val=""/>
      <w:lvlJc w:val="left"/>
      <w:pPr>
        <w:ind w:left="5434" w:hanging="360"/>
      </w:pPr>
      <w:rPr>
        <w:rFonts w:ascii="Wingdings" w:hAnsi="Wingdings" w:hint="default"/>
      </w:rPr>
    </w:lvl>
    <w:lvl w:ilvl="6" w:tplc="4AC6F2F6" w:tentative="1">
      <w:start w:val="1"/>
      <w:numFmt w:val="bullet"/>
      <w:lvlText w:val=""/>
      <w:lvlJc w:val="left"/>
      <w:pPr>
        <w:ind w:left="6154" w:hanging="360"/>
      </w:pPr>
      <w:rPr>
        <w:rFonts w:ascii="Symbol" w:hAnsi="Symbol" w:hint="default"/>
      </w:rPr>
    </w:lvl>
    <w:lvl w:ilvl="7" w:tplc="8794CB14" w:tentative="1">
      <w:start w:val="1"/>
      <w:numFmt w:val="bullet"/>
      <w:lvlText w:val="o"/>
      <w:lvlJc w:val="left"/>
      <w:pPr>
        <w:ind w:left="6874" w:hanging="360"/>
      </w:pPr>
      <w:rPr>
        <w:rFonts w:ascii="Courier New" w:hAnsi="Courier New" w:cs="Courier New" w:hint="default"/>
      </w:rPr>
    </w:lvl>
    <w:lvl w:ilvl="8" w:tplc="7C0432E8" w:tentative="1">
      <w:start w:val="1"/>
      <w:numFmt w:val="bullet"/>
      <w:lvlText w:val=""/>
      <w:lvlJc w:val="left"/>
      <w:pPr>
        <w:ind w:left="7594" w:hanging="360"/>
      </w:pPr>
      <w:rPr>
        <w:rFonts w:ascii="Wingdings" w:hAnsi="Wingdings" w:hint="default"/>
      </w:rPr>
    </w:lvl>
  </w:abstractNum>
  <w:num w:numId="1">
    <w:abstractNumId w:val="16"/>
  </w:num>
  <w:num w:numId="2">
    <w:abstractNumId w:val="16"/>
  </w:num>
  <w:num w:numId="3">
    <w:abstractNumId w:val="16"/>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4"/>
  </w:num>
  <w:num w:numId="16">
    <w:abstractNumId w:val="15"/>
  </w:num>
  <w:num w:numId="17">
    <w:abstractNumId w:val="10"/>
  </w:num>
  <w:num w:numId="18">
    <w:abstractNumId w:val="17"/>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PersonalInformation/>
  <w:removeDateAndTime/>
  <w:defaultTabStop w:val="73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75"/>
    <w:rsid w:val="00007668"/>
    <w:rsid w:val="000125E9"/>
    <w:rsid w:val="00016366"/>
    <w:rsid w:val="00020BD3"/>
    <w:rsid w:val="00033E70"/>
    <w:rsid w:val="00043668"/>
    <w:rsid w:val="00046A0C"/>
    <w:rsid w:val="00047325"/>
    <w:rsid w:val="00060369"/>
    <w:rsid w:val="00063134"/>
    <w:rsid w:val="000634F9"/>
    <w:rsid w:val="00066EB8"/>
    <w:rsid w:val="00087431"/>
    <w:rsid w:val="00090541"/>
    <w:rsid w:val="00091883"/>
    <w:rsid w:val="000A6A91"/>
    <w:rsid w:val="000B2721"/>
    <w:rsid w:val="000B526F"/>
    <w:rsid w:val="000C4202"/>
    <w:rsid w:val="000D240B"/>
    <w:rsid w:val="000E464F"/>
    <w:rsid w:val="000F094C"/>
    <w:rsid w:val="000F6C03"/>
    <w:rsid w:val="00104181"/>
    <w:rsid w:val="001115C8"/>
    <w:rsid w:val="00114380"/>
    <w:rsid w:val="001176D7"/>
    <w:rsid w:val="00137C52"/>
    <w:rsid w:val="00145F26"/>
    <w:rsid w:val="00150DF9"/>
    <w:rsid w:val="00160FD7"/>
    <w:rsid w:val="0016487A"/>
    <w:rsid w:val="001724F5"/>
    <w:rsid w:val="00172CD6"/>
    <w:rsid w:val="001742B2"/>
    <w:rsid w:val="00175E5D"/>
    <w:rsid w:val="00177E85"/>
    <w:rsid w:val="0019012E"/>
    <w:rsid w:val="00192D42"/>
    <w:rsid w:val="001967E9"/>
    <w:rsid w:val="001974A2"/>
    <w:rsid w:val="001A2748"/>
    <w:rsid w:val="001A2EDE"/>
    <w:rsid w:val="001B31A8"/>
    <w:rsid w:val="001B4D43"/>
    <w:rsid w:val="001C74D1"/>
    <w:rsid w:val="001E7C80"/>
    <w:rsid w:val="001F7882"/>
    <w:rsid w:val="00205899"/>
    <w:rsid w:val="00206605"/>
    <w:rsid w:val="00215721"/>
    <w:rsid w:val="00215A0F"/>
    <w:rsid w:val="00230BCB"/>
    <w:rsid w:val="00233B5F"/>
    <w:rsid w:val="002521DC"/>
    <w:rsid w:val="0025234E"/>
    <w:rsid w:val="00260A4D"/>
    <w:rsid w:val="00277B07"/>
    <w:rsid w:val="00290E77"/>
    <w:rsid w:val="00297798"/>
    <w:rsid w:val="002A53D2"/>
    <w:rsid w:val="002B0AA9"/>
    <w:rsid w:val="002C53A9"/>
    <w:rsid w:val="002C7E29"/>
    <w:rsid w:val="002E2D4A"/>
    <w:rsid w:val="002E301F"/>
    <w:rsid w:val="002E626C"/>
    <w:rsid w:val="0030546F"/>
    <w:rsid w:val="00316A1C"/>
    <w:rsid w:val="00320DB7"/>
    <w:rsid w:val="0032121C"/>
    <w:rsid w:val="003356A8"/>
    <w:rsid w:val="00355406"/>
    <w:rsid w:val="00363715"/>
    <w:rsid w:val="00363BD8"/>
    <w:rsid w:val="00367DCA"/>
    <w:rsid w:val="003974AB"/>
    <w:rsid w:val="003A0349"/>
    <w:rsid w:val="003B689F"/>
    <w:rsid w:val="003C421B"/>
    <w:rsid w:val="003D4AE1"/>
    <w:rsid w:val="003E4B14"/>
    <w:rsid w:val="003E51AB"/>
    <w:rsid w:val="003E68D7"/>
    <w:rsid w:val="003E75D9"/>
    <w:rsid w:val="003F7250"/>
    <w:rsid w:val="00400E7A"/>
    <w:rsid w:val="00403940"/>
    <w:rsid w:val="00403D4F"/>
    <w:rsid w:val="00412003"/>
    <w:rsid w:val="00432781"/>
    <w:rsid w:val="00435127"/>
    <w:rsid w:val="00441564"/>
    <w:rsid w:val="00441EAB"/>
    <w:rsid w:val="004444CA"/>
    <w:rsid w:val="00444CC7"/>
    <w:rsid w:val="0044730F"/>
    <w:rsid w:val="00451027"/>
    <w:rsid w:val="00455978"/>
    <w:rsid w:val="00456209"/>
    <w:rsid w:val="00461CF4"/>
    <w:rsid w:val="00475BDC"/>
    <w:rsid w:val="00475DD4"/>
    <w:rsid w:val="00485C8E"/>
    <w:rsid w:val="00491C63"/>
    <w:rsid w:val="004A084B"/>
    <w:rsid w:val="004A5AD2"/>
    <w:rsid w:val="004A6A9D"/>
    <w:rsid w:val="004A7E84"/>
    <w:rsid w:val="004B1D23"/>
    <w:rsid w:val="004D2BFC"/>
    <w:rsid w:val="004D7585"/>
    <w:rsid w:val="004E055D"/>
    <w:rsid w:val="004E3892"/>
    <w:rsid w:val="004E58DD"/>
    <w:rsid w:val="004F3340"/>
    <w:rsid w:val="005022DD"/>
    <w:rsid w:val="00506AE2"/>
    <w:rsid w:val="00513CB3"/>
    <w:rsid w:val="00514970"/>
    <w:rsid w:val="00514995"/>
    <w:rsid w:val="00526230"/>
    <w:rsid w:val="005347B4"/>
    <w:rsid w:val="00534B65"/>
    <w:rsid w:val="00535896"/>
    <w:rsid w:val="00544E11"/>
    <w:rsid w:val="00547CB2"/>
    <w:rsid w:val="005509DC"/>
    <w:rsid w:val="00552157"/>
    <w:rsid w:val="00552902"/>
    <w:rsid w:val="00557531"/>
    <w:rsid w:val="00557B5B"/>
    <w:rsid w:val="005705C8"/>
    <w:rsid w:val="005802F6"/>
    <w:rsid w:val="005840D4"/>
    <w:rsid w:val="00584195"/>
    <w:rsid w:val="005A5AB3"/>
    <w:rsid w:val="005B1842"/>
    <w:rsid w:val="005B7F7F"/>
    <w:rsid w:val="005C46CA"/>
    <w:rsid w:val="005C7E09"/>
    <w:rsid w:val="005D291B"/>
    <w:rsid w:val="005D588D"/>
    <w:rsid w:val="005D7840"/>
    <w:rsid w:val="005F3486"/>
    <w:rsid w:val="006008C2"/>
    <w:rsid w:val="006254E7"/>
    <w:rsid w:val="0064400A"/>
    <w:rsid w:val="0064558E"/>
    <w:rsid w:val="00655266"/>
    <w:rsid w:val="00665824"/>
    <w:rsid w:val="00680908"/>
    <w:rsid w:val="0069578C"/>
    <w:rsid w:val="00696CB2"/>
    <w:rsid w:val="006A3E2B"/>
    <w:rsid w:val="006B059F"/>
    <w:rsid w:val="006B607D"/>
    <w:rsid w:val="006F778B"/>
    <w:rsid w:val="00700007"/>
    <w:rsid w:val="007027F3"/>
    <w:rsid w:val="00716A71"/>
    <w:rsid w:val="007216E2"/>
    <w:rsid w:val="00725061"/>
    <w:rsid w:val="00731B2E"/>
    <w:rsid w:val="007343E0"/>
    <w:rsid w:val="00740606"/>
    <w:rsid w:val="00755011"/>
    <w:rsid w:val="00760DB5"/>
    <w:rsid w:val="007633DE"/>
    <w:rsid w:val="00763B26"/>
    <w:rsid w:val="00771614"/>
    <w:rsid w:val="007729C1"/>
    <w:rsid w:val="007738A9"/>
    <w:rsid w:val="007800E5"/>
    <w:rsid w:val="00783F99"/>
    <w:rsid w:val="00797C36"/>
    <w:rsid w:val="007A2F5D"/>
    <w:rsid w:val="007A7FB0"/>
    <w:rsid w:val="007C34CE"/>
    <w:rsid w:val="007D1390"/>
    <w:rsid w:val="007D1A10"/>
    <w:rsid w:val="007D4BE1"/>
    <w:rsid w:val="007E02B6"/>
    <w:rsid w:val="007E29EA"/>
    <w:rsid w:val="007E5AEA"/>
    <w:rsid w:val="007F6B8E"/>
    <w:rsid w:val="0081048A"/>
    <w:rsid w:val="00821614"/>
    <w:rsid w:val="008319F0"/>
    <w:rsid w:val="00847651"/>
    <w:rsid w:val="00850C2E"/>
    <w:rsid w:val="00852AD5"/>
    <w:rsid w:val="00862B0A"/>
    <w:rsid w:val="00870613"/>
    <w:rsid w:val="00882BAF"/>
    <w:rsid w:val="00883544"/>
    <w:rsid w:val="008840A9"/>
    <w:rsid w:val="008875F8"/>
    <w:rsid w:val="008B125C"/>
    <w:rsid w:val="008B2442"/>
    <w:rsid w:val="008B57C1"/>
    <w:rsid w:val="008C080C"/>
    <w:rsid w:val="008C2B26"/>
    <w:rsid w:val="008D7F4F"/>
    <w:rsid w:val="008F5F35"/>
    <w:rsid w:val="00901C1F"/>
    <w:rsid w:val="00904E5B"/>
    <w:rsid w:val="00915091"/>
    <w:rsid w:val="00915B88"/>
    <w:rsid w:val="00922203"/>
    <w:rsid w:val="00922247"/>
    <w:rsid w:val="00924B13"/>
    <w:rsid w:val="00926BA0"/>
    <w:rsid w:val="00957915"/>
    <w:rsid w:val="00977C03"/>
    <w:rsid w:val="00977E53"/>
    <w:rsid w:val="009959E8"/>
    <w:rsid w:val="009A03D2"/>
    <w:rsid w:val="009A1D54"/>
    <w:rsid w:val="009B29FD"/>
    <w:rsid w:val="009C7500"/>
    <w:rsid w:val="009D221D"/>
    <w:rsid w:val="009D61E7"/>
    <w:rsid w:val="009E4B53"/>
    <w:rsid w:val="009E66E0"/>
    <w:rsid w:val="009F5901"/>
    <w:rsid w:val="009F6D98"/>
    <w:rsid w:val="009F7513"/>
    <w:rsid w:val="00A1746F"/>
    <w:rsid w:val="00A367B3"/>
    <w:rsid w:val="00A36950"/>
    <w:rsid w:val="00A4169F"/>
    <w:rsid w:val="00A52138"/>
    <w:rsid w:val="00A54408"/>
    <w:rsid w:val="00A550E2"/>
    <w:rsid w:val="00A64FDE"/>
    <w:rsid w:val="00A76247"/>
    <w:rsid w:val="00A77293"/>
    <w:rsid w:val="00A9208C"/>
    <w:rsid w:val="00A94552"/>
    <w:rsid w:val="00AD0F88"/>
    <w:rsid w:val="00AD77EE"/>
    <w:rsid w:val="00AF138E"/>
    <w:rsid w:val="00AF4C04"/>
    <w:rsid w:val="00B0358E"/>
    <w:rsid w:val="00B13DF5"/>
    <w:rsid w:val="00B44D1E"/>
    <w:rsid w:val="00B4614A"/>
    <w:rsid w:val="00B5049A"/>
    <w:rsid w:val="00B53C69"/>
    <w:rsid w:val="00B63945"/>
    <w:rsid w:val="00B71062"/>
    <w:rsid w:val="00B77A4A"/>
    <w:rsid w:val="00B934AC"/>
    <w:rsid w:val="00BA24BD"/>
    <w:rsid w:val="00BA6A4E"/>
    <w:rsid w:val="00BA6BC8"/>
    <w:rsid w:val="00BB6837"/>
    <w:rsid w:val="00BC43FA"/>
    <w:rsid w:val="00BD0B3A"/>
    <w:rsid w:val="00BD7159"/>
    <w:rsid w:val="00BF51AC"/>
    <w:rsid w:val="00BF5619"/>
    <w:rsid w:val="00C01EA4"/>
    <w:rsid w:val="00C06BC0"/>
    <w:rsid w:val="00C124B1"/>
    <w:rsid w:val="00C173B8"/>
    <w:rsid w:val="00C23FEF"/>
    <w:rsid w:val="00C24D75"/>
    <w:rsid w:val="00C27F46"/>
    <w:rsid w:val="00C47524"/>
    <w:rsid w:val="00C47FB7"/>
    <w:rsid w:val="00C572A5"/>
    <w:rsid w:val="00C61E62"/>
    <w:rsid w:val="00C6368F"/>
    <w:rsid w:val="00C64361"/>
    <w:rsid w:val="00C675AE"/>
    <w:rsid w:val="00C772C7"/>
    <w:rsid w:val="00C779E2"/>
    <w:rsid w:val="00C86E93"/>
    <w:rsid w:val="00C94F16"/>
    <w:rsid w:val="00CA72AC"/>
    <w:rsid w:val="00CD6E43"/>
    <w:rsid w:val="00CE07CF"/>
    <w:rsid w:val="00CF6BBB"/>
    <w:rsid w:val="00D13722"/>
    <w:rsid w:val="00D144BB"/>
    <w:rsid w:val="00D16A52"/>
    <w:rsid w:val="00D20B9E"/>
    <w:rsid w:val="00D22007"/>
    <w:rsid w:val="00D30D12"/>
    <w:rsid w:val="00D32A99"/>
    <w:rsid w:val="00D34775"/>
    <w:rsid w:val="00D35E4B"/>
    <w:rsid w:val="00D41BA5"/>
    <w:rsid w:val="00D47650"/>
    <w:rsid w:val="00D51C2A"/>
    <w:rsid w:val="00D5440E"/>
    <w:rsid w:val="00D646EA"/>
    <w:rsid w:val="00D7363F"/>
    <w:rsid w:val="00D823D1"/>
    <w:rsid w:val="00D83585"/>
    <w:rsid w:val="00D84DE2"/>
    <w:rsid w:val="00DA0329"/>
    <w:rsid w:val="00DA48BF"/>
    <w:rsid w:val="00DA5332"/>
    <w:rsid w:val="00DC1BF9"/>
    <w:rsid w:val="00DC67BA"/>
    <w:rsid w:val="00DD6FBE"/>
    <w:rsid w:val="00E0357E"/>
    <w:rsid w:val="00E064AC"/>
    <w:rsid w:val="00E205EC"/>
    <w:rsid w:val="00E21D91"/>
    <w:rsid w:val="00E2747F"/>
    <w:rsid w:val="00E358E3"/>
    <w:rsid w:val="00E40982"/>
    <w:rsid w:val="00E42E7A"/>
    <w:rsid w:val="00E5322F"/>
    <w:rsid w:val="00E53CA2"/>
    <w:rsid w:val="00E67B57"/>
    <w:rsid w:val="00E7598C"/>
    <w:rsid w:val="00E76C9B"/>
    <w:rsid w:val="00E809C7"/>
    <w:rsid w:val="00E80B8A"/>
    <w:rsid w:val="00E8776D"/>
    <w:rsid w:val="00E901B0"/>
    <w:rsid w:val="00E93360"/>
    <w:rsid w:val="00E939F8"/>
    <w:rsid w:val="00E96CB8"/>
    <w:rsid w:val="00EA3E8D"/>
    <w:rsid w:val="00EB15C6"/>
    <w:rsid w:val="00EC4CF3"/>
    <w:rsid w:val="00EC683B"/>
    <w:rsid w:val="00ED52F8"/>
    <w:rsid w:val="00EE154F"/>
    <w:rsid w:val="00EF34AF"/>
    <w:rsid w:val="00EF41C4"/>
    <w:rsid w:val="00EF77D7"/>
    <w:rsid w:val="00F031A9"/>
    <w:rsid w:val="00F05D2F"/>
    <w:rsid w:val="00F10554"/>
    <w:rsid w:val="00F1201E"/>
    <w:rsid w:val="00F17414"/>
    <w:rsid w:val="00F21726"/>
    <w:rsid w:val="00F3230F"/>
    <w:rsid w:val="00F332A5"/>
    <w:rsid w:val="00F33E1E"/>
    <w:rsid w:val="00F376BF"/>
    <w:rsid w:val="00F4042E"/>
    <w:rsid w:val="00F41032"/>
    <w:rsid w:val="00F44C89"/>
    <w:rsid w:val="00F52DAF"/>
    <w:rsid w:val="00F52E2D"/>
    <w:rsid w:val="00F5447C"/>
    <w:rsid w:val="00F64770"/>
    <w:rsid w:val="00F834F8"/>
    <w:rsid w:val="00F83A5C"/>
    <w:rsid w:val="00F9066E"/>
    <w:rsid w:val="00FB1FF4"/>
    <w:rsid w:val="00FC3001"/>
    <w:rsid w:val="00FC7E56"/>
    <w:rsid w:val="00FE464E"/>
    <w:rsid w:val="00FE502F"/>
    <w:rsid w:val="00FF09C4"/>
    <w:rsid w:val="00FF3DA7"/>
    <w:rsid w:val="00FF69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eastAsia="fr-FR"/>
    </w:rPr>
  </w:style>
  <w:style w:type="paragraph" w:styleId="Titre1">
    <w:name w:val="heading 1"/>
    <w:basedOn w:val="Normal"/>
    <w:next w:val="Normal"/>
    <w:qFormat/>
    <w:pPr>
      <w:keepNext/>
      <w:spacing w:before="240" w:after="60"/>
      <w:outlineLvl w:val="0"/>
    </w:pPr>
    <w:rPr>
      <w:b/>
      <w:kern w:val="28"/>
      <w:sz w:val="28"/>
    </w:rPr>
  </w:style>
  <w:style w:type="paragraph" w:styleId="Titre2">
    <w:name w:val="heading 2"/>
    <w:basedOn w:val="Normal"/>
    <w:next w:val="Normal"/>
    <w:qFormat/>
    <w:pPr>
      <w:keepNext/>
      <w:spacing w:before="240" w:after="60"/>
      <w:outlineLvl w:val="1"/>
    </w:pPr>
    <w:rPr>
      <w:b/>
      <w:i/>
    </w:rPr>
  </w:style>
  <w:style w:type="paragraph" w:styleId="Titre3">
    <w:name w:val="heading 3"/>
    <w:basedOn w:val="Normal"/>
    <w:next w:val="Normal"/>
    <w:qFormat/>
    <w:pPr>
      <w:keepNext/>
      <w:spacing w:before="240" w:after="60"/>
      <w:outlineLvl w:val="2"/>
    </w:pPr>
  </w:style>
  <w:style w:type="paragraph" w:styleId="Titre4">
    <w:name w:val="heading 4"/>
    <w:basedOn w:val="Normal"/>
    <w:next w:val="Normal"/>
    <w:qFormat/>
    <w:pPr>
      <w:keepNext/>
      <w:spacing w:before="240" w:after="60"/>
      <w:outlineLvl w:val="3"/>
    </w:pPr>
    <w:rPr>
      <w:b/>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i/>
      <w:sz w:val="22"/>
    </w:rPr>
  </w:style>
  <w:style w:type="paragraph" w:styleId="Titre7">
    <w:name w:val="heading 7"/>
    <w:basedOn w:val="Normal"/>
    <w:next w:val="Normal"/>
    <w:qFormat/>
    <w:pPr>
      <w:spacing w:before="240" w:after="60"/>
      <w:outlineLvl w:val="6"/>
    </w:pPr>
    <w:rPr>
      <w:sz w:val="20"/>
    </w:rPr>
  </w:style>
  <w:style w:type="paragraph" w:styleId="Titre8">
    <w:name w:val="heading 8"/>
    <w:basedOn w:val="Normal"/>
    <w:next w:val="Normal"/>
    <w:qFormat/>
    <w:pPr>
      <w:spacing w:before="240" w:after="60"/>
      <w:outlineLvl w:val="7"/>
    </w:pPr>
    <w:rPr>
      <w:i/>
      <w:sz w:val="2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rsid w:val="00EC683B"/>
    <w:pPr>
      <w:numPr>
        <w:numId w:val="2"/>
      </w:numPr>
      <w:tabs>
        <w:tab w:val="clear" w:pos="360"/>
      </w:tabs>
      <w:spacing w:before="120" w:after="120"/>
      <w:jc w:val="both"/>
    </w:pPr>
    <w:rPr>
      <w:kern w:val="28"/>
    </w:rPr>
  </w:style>
  <w:style w:type="paragraph" w:customStyle="1" w:styleId="Citationenretrait">
    <w:name w:val="Citation en retrait"/>
    <w:basedOn w:val="Normal"/>
    <w:pPr>
      <w:spacing w:before="120" w:after="120"/>
      <w:ind w:left="720" w:right="720"/>
      <w:jc w:val="both"/>
    </w:pPr>
    <w:rPr>
      <w:kern w:val="24"/>
      <w:sz w:val="22"/>
    </w:rPr>
  </w:style>
  <w:style w:type="character" w:customStyle="1" w:styleId="Citationintgre">
    <w:name w:val="Citation intégrée"/>
    <w:basedOn w:val="Policepardfaut"/>
    <w:rPr>
      <w:rFonts w:ascii="Arial" w:hAnsi="Arial"/>
      <w:i/>
      <w:noProof w:val="0"/>
      <w:sz w:val="22"/>
      <w:lang w:val="fr-CA"/>
    </w:rPr>
  </w:style>
  <w:style w:type="paragraph" w:styleId="Corpsdetexte">
    <w:name w:val="Body Text"/>
    <w:basedOn w:val="Normal"/>
    <w:semiHidden/>
    <w:pPr>
      <w:spacing w:after="120"/>
    </w:pPr>
  </w:style>
  <w:style w:type="paragraph" w:styleId="Notedebasdepage">
    <w:name w:val="footnote text"/>
    <w:basedOn w:val="Normal"/>
    <w:link w:val="NotedebasdepageCar"/>
    <w:pPr>
      <w:ind w:left="360" w:hanging="360"/>
      <w:jc w:val="both"/>
    </w:pPr>
    <w:rPr>
      <w:sz w:val="20"/>
    </w:rPr>
  </w:style>
  <w:style w:type="paragraph" w:styleId="Notedefin">
    <w:name w:val="endnote text"/>
    <w:basedOn w:val="Normal"/>
    <w:semiHidden/>
    <w:pPr>
      <w:ind w:left="-360"/>
      <w:jc w:val="both"/>
    </w:pPr>
    <w:rPr>
      <w:sz w:val="20"/>
    </w:rPr>
  </w:style>
  <w:style w:type="paragraph" w:customStyle="1" w:styleId="zSoquijlblCour">
    <w:name w:val="zSoquij_lblCour"/>
    <w:basedOn w:val="Normal"/>
    <w:pPr>
      <w:jc w:val="center"/>
    </w:pPr>
    <w:rPr>
      <w:b/>
      <w:sz w:val="36"/>
    </w:rPr>
  </w:style>
  <w:style w:type="paragraph" w:customStyle="1" w:styleId="zSoquijlblPays">
    <w:name w:val="zSoquij_lblPays"/>
    <w:basedOn w:val="Normal"/>
  </w:style>
  <w:style w:type="paragraph" w:customStyle="1" w:styleId="zSoquijlblProvince">
    <w:name w:val="zSoquij_lblProvince"/>
    <w:basedOn w:val="Normal"/>
  </w:style>
  <w:style w:type="paragraph" w:customStyle="1" w:styleId="zSoquijlblGreffe">
    <w:name w:val="zSoquij_lblGreffe"/>
    <w:basedOn w:val="Normal"/>
    <w:pPr>
      <w:ind w:left="70"/>
    </w:pPr>
  </w:style>
  <w:style w:type="paragraph" w:customStyle="1" w:styleId="zSoquijdatGreffe">
    <w:name w:val="zSoquij_datGreffe"/>
    <w:basedOn w:val="Normal"/>
    <w:pPr>
      <w:ind w:left="29"/>
    </w:pPr>
  </w:style>
  <w:style w:type="paragraph" w:customStyle="1" w:styleId="zSoquijdatDivision">
    <w:name w:val="zSoquij_datDivision"/>
    <w:basedOn w:val="Normal"/>
    <w:pPr>
      <w:jc w:val="center"/>
    </w:pPr>
    <w:rPr>
      <w:sz w:val="22"/>
    </w:rPr>
  </w:style>
  <w:style w:type="paragraph" w:customStyle="1" w:styleId="zSoquijlblNoDossier">
    <w:name w:val="zSoquij_lblNoDossier"/>
    <w:basedOn w:val="Normal"/>
  </w:style>
  <w:style w:type="paragraph" w:customStyle="1" w:styleId="zSoquijdatNoDossier">
    <w:name w:val="zSoquij_datNoDossier"/>
    <w:basedOn w:val="Normal"/>
  </w:style>
  <w:style w:type="paragraph" w:customStyle="1" w:styleId="zSoquijdatNoDossierAnt">
    <w:name w:val="zSoquij_datNoDossierAnt"/>
    <w:basedOn w:val="Normal"/>
  </w:style>
  <w:style w:type="paragraph" w:customStyle="1" w:styleId="zSoquijdatDateJugement">
    <w:name w:val="zSoquij_datDateJugement"/>
    <w:basedOn w:val="Normal"/>
  </w:style>
  <w:style w:type="paragraph" w:customStyle="1" w:styleId="zSoquijlblDateJugement">
    <w:name w:val="zSoquij_lblDateJugement"/>
    <w:basedOn w:val="Normal"/>
  </w:style>
  <w:style w:type="paragraph" w:customStyle="1" w:styleId="zSoquijlblJuge">
    <w:name w:val="zSoquij_lblJuge"/>
    <w:basedOn w:val="Normal"/>
    <w:pPr>
      <w:ind w:left="70"/>
    </w:pPr>
    <w:rPr>
      <w:b/>
    </w:rPr>
  </w:style>
  <w:style w:type="paragraph" w:customStyle="1" w:styleId="zSoquijdatQteJuge">
    <w:name w:val="zSoquij_datQteJuge"/>
    <w:basedOn w:val="Normal"/>
    <w:pPr>
      <w:ind w:left="29"/>
    </w:pPr>
    <w:rPr>
      <w:b/>
    </w:rPr>
  </w:style>
  <w:style w:type="paragraph" w:customStyle="1" w:styleId="zSoquijdatJuge">
    <w:name w:val="zSoquij_datJuge"/>
    <w:basedOn w:val="Normal"/>
    <w:pPr>
      <w:ind w:left="52"/>
    </w:pPr>
    <w:rPr>
      <w:b/>
    </w:rPr>
  </w:style>
  <w:style w:type="paragraph" w:customStyle="1" w:styleId="zSoquijdatNomPartieDem">
    <w:name w:val="zSoquij_datNomPartieDem"/>
    <w:basedOn w:val="Normal"/>
    <w:rPr>
      <w:b/>
      <w:bCs/>
    </w:rPr>
  </w:style>
  <w:style w:type="paragraph" w:customStyle="1" w:styleId="zSoquijdatQtePartieDem">
    <w:name w:val="zSoquij_datQtePartieDem"/>
    <w:basedOn w:val="Normal"/>
    <w:pPr>
      <w:ind w:left="708"/>
    </w:pPr>
  </w:style>
  <w:style w:type="paragraph" w:customStyle="1" w:styleId="zSoquijlblLienParties">
    <w:name w:val="zSoquij_lblLienParties"/>
    <w:basedOn w:val="Normal"/>
  </w:style>
  <w:style w:type="paragraph" w:customStyle="1" w:styleId="zSoquijdatNomPartieDef">
    <w:name w:val="zSoquij_datNomPartieDef"/>
    <w:basedOn w:val="Normal"/>
    <w:rPr>
      <w:b/>
      <w:bCs/>
    </w:rPr>
  </w:style>
  <w:style w:type="paragraph" w:customStyle="1" w:styleId="zSoquijdatQtePartieDef">
    <w:name w:val="zSoquij_datQtePartieDef"/>
    <w:basedOn w:val="Normal"/>
    <w:pPr>
      <w:ind w:left="708"/>
    </w:pPr>
  </w:style>
  <w:style w:type="paragraph" w:customStyle="1" w:styleId="zSoquijlblTypeDocument">
    <w:name w:val="zSoquij_lblTypeDocument"/>
    <w:basedOn w:val="Normal"/>
    <w:pPr>
      <w:jc w:val="center"/>
    </w:pPr>
  </w:style>
  <w:style w:type="paragraph" w:customStyle="1" w:styleId="zSoquijlblProcureurDem">
    <w:name w:val="zSoquij_lblProcureurDem"/>
    <w:basedOn w:val="Normal"/>
  </w:style>
  <w:style w:type="paragraph" w:customStyle="1" w:styleId="zSoquijlblProcureurDef">
    <w:name w:val="zSoquij_lblProcureurDef"/>
    <w:basedOn w:val="Normal"/>
  </w:style>
  <w:style w:type="paragraph" w:customStyle="1" w:styleId="zSoquijlblDateAudience">
    <w:name w:val="zSoquij_lblDateAudience"/>
    <w:basedOn w:val="Normal"/>
  </w:style>
  <w:style w:type="paragraph" w:customStyle="1" w:styleId="zSoquijdatDateAudience">
    <w:name w:val="zSoquij_datDateAudience"/>
    <w:basedOn w:val="Normal"/>
  </w:style>
  <w:style w:type="paragraph" w:customStyle="1" w:styleId="zSoquijlblNomChambre">
    <w:name w:val="zSoquij_lblNomChambre"/>
    <w:basedOn w:val="Normal"/>
  </w:style>
  <w:style w:type="paragraph" w:customStyle="1" w:styleId="zSoquijlblOpinionJuge">
    <w:name w:val="zSoquij_lblOpinionJuge"/>
    <w:basedOn w:val="Normal"/>
    <w:pPr>
      <w:tabs>
        <w:tab w:val="left" w:pos="720"/>
      </w:tabs>
      <w:jc w:val="center"/>
    </w:pPr>
  </w:style>
  <w:style w:type="character" w:customStyle="1" w:styleId="zSoquijlblEntNoDossier">
    <w:name w:val="zSoquij_lblEntNoDossier"/>
    <w:basedOn w:val="Policepardfaut"/>
    <w:rPr>
      <w:lang w:val="fr-CA"/>
    </w:rPr>
  </w:style>
  <w:style w:type="paragraph" w:customStyle="1" w:styleId="zSoquijlblTitrePartie">
    <w:name w:val="zSoquij_lblTitrePartie"/>
    <w:basedOn w:val="Normal"/>
  </w:style>
  <w:style w:type="paragraph" w:customStyle="1" w:styleId="zSoquijdatSignature3Juge">
    <w:name w:val="zSoquij_datSignature3Juge"/>
    <w:basedOn w:val="Normal"/>
  </w:style>
  <w:style w:type="paragraph" w:customStyle="1" w:styleId="ParagNonNum">
    <w:name w:val="ParagNonNum"/>
    <w:basedOn w:val="Paragraphe"/>
    <w:rsid w:val="00104181"/>
    <w:pPr>
      <w:keepNext/>
      <w:numPr>
        <w:numId w:val="0"/>
      </w:numPr>
      <w:ind w:firstLine="734"/>
    </w:pPr>
  </w:style>
  <w:style w:type="paragraph" w:customStyle="1" w:styleId="zSoquijdatIdJuge">
    <w:name w:val="zSoquij_datIdJuge"/>
    <w:basedOn w:val="Normal"/>
    <w:pPr>
      <w:jc w:val="center"/>
    </w:pPr>
    <w:rPr>
      <w:sz w:val="20"/>
    </w:rPr>
  </w:style>
  <w:style w:type="paragraph" w:customStyle="1" w:styleId="Sous-paragraphe">
    <w:name w:val="Sous-paragraphe"/>
    <w:basedOn w:val="Normal"/>
    <w:pPr>
      <w:widowControl w:val="0"/>
      <w:numPr>
        <w:ilvl w:val="1"/>
        <w:numId w:val="2"/>
      </w:numPr>
      <w:spacing w:after="120"/>
      <w:jc w:val="both"/>
    </w:pPr>
    <w:rPr>
      <w:kern w:val="28"/>
    </w:rPr>
  </w:style>
  <w:style w:type="paragraph" w:customStyle="1" w:styleId="zSoquijdatNomProcureurDem">
    <w:name w:val="zSoquij_datNomProcureurDem"/>
    <w:basedOn w:val="zSoquijlblProcureurDem"/>
  </w:style>
  <w:style w:type="paragraph" w:customStyle="1" w:styleId="zSoquijdatNomProcureurDef">
    <w:name w:val="zSoquij_datNomProcureurDef"/>
    <w:basedOn w:val="zSoquijlblProcureurDef"/>
  </w:style>
  <w:style w:type="paragraph" w:customStyle="1" w:styleId="zSoquijdatCabinetProcureurDem">
    <w:name w:val="zSoquij_datCabinetProcureurDem"/>
    <w:basedOn w:val="Normal"/>
  </w:style>
  <w:style w:type="paragraph" w:customStyle="1" w:styleId="zSoquijdatCabinetProcureurDef">
    <w:name w:val="zSoquij_datCabinetProcureurDef"/>
    <w:basedOn w:val="zSoquijlblProcureurDef"/>
  </w:style>
  <w:style w:type="paragraph" w:customStyle="1" w:styleId="zSoquijdatSignatureJuge1">
    <w:name w:val="zSoquij_datSignatureJuge1"/>
    <w:basedOn w:val="Normal"/>
  </w:style>
  <w:style w:type="paragraph" w:customStyle="1" w:styleId="zSoquijdatSignatureJuge2">
    <w:name w:val="zSoquij_datSignatureJuge2"/>
    <w:basedOn w:val="Normal"/>
  </w:style>
  <w:style w:type="paragraph" w:customStyle="1" w:styleId="zSoquijdatSignatureJuge3">
    <w:name w:val="zSoquij_datSignatureJuge3"/>
    <w:basedOn w:val="Normal"/>
  </w:style>
  <w:style w:type="paragraph" w:customStyle="1" w:styleId="zSoquijdatRepertorie">
    <w:name w:val="zSoquij_datRepertorie"/>
    <w:basedOn w:val="zSoquijlblCour"/>
    <w:pPr>
      <w:jc w:val="left"/>
    </w:pPr>
    <w:rPr>
      <w:noProof/>
      <w:sz w:val="22"/>
    </w:rPr>
  </w:style>
  <w:style w:type="paragraph" w:customStyle="1" w:styleId="zSoquijdatRefNeutre">
    <w:name w:val="zSoquij_datRefNeutre"/>
    <w:basedOn w:val="zSoquijlblCour"/>
    <w:pPr>
      <w:jc w:val="left"/>
    </w:pPr>
    <w:rPr>
      <w:noProof/>
      <w:sz w:val="22"/>
    </w:rPr>
  </w:style>
  <w:style w:type="paragraph" w:customStyle="1" w:styleId="zSoquijdatSignature2Juge">
    <w:name w:val="zSoquij_datSignature2Juge"/>
    <w:basedOn w:val="zSoquijdatSignatureJuge3"/>
  </w:style>
  <w:style w:type="paragraph" w:customStyle="1" w:styleId="ParagAlaMarge">
    <w:name w:val="ParagAlaMarge"/>
    <w:basedOn w:val="ParagNonNum"/>
    <w:rsid w:val="00104181"/>
    <w:pPr>
      <w:spacing w:before="360"/>
      <w:ind w:firstLine="0"/>
    </w:pPr>
    <w:rPr>
      <w:b/>
    </w:rPr>
  </w:style>
  <w:style w:type="paragraph" w:customStyle="1" w:styleId="zSoquijlblAssesseurs">
    <w:name w:val="zSoquij_lblAssesseurs"/>
    <w:basedOn w:val="Normal"/>
    <w:pPr>
      <w:ind w:left="14" w:right="-67"/>
    </w:pPr>
  </w:style>
  <w:style w:type="paragraph" w:customStyle="1" w:styleId="zSoquijdatAssesseurs">
    <w:name w:val="zSoquij_datAssesseurs"/>
    <w:basedOn w:val="Normal"/>
    <w:pPr>
      <w:ind w:left="14" w:right="-67"/>
    </w:pPr>
  </w:style>
  <w:style w:type="paragraph" w:customStyle="1" w:styleId="zSoquijlblLocalite">
    <w:name w:val="zSoquij_lblLocalite"/>
    <w:basedOn w:val="zSoquijlblGreffe"/>
  </w:style>
  <w:style w:type="paragraph" w:customStyle="1" w:styleId="zSoquijdatLocalite">
    <w:name w:val="zSoquij_datLocalite"/>
    <w:basedOn w:val="zSoquijdatGreffe"/>
  </w:style>
  <w:style w:type="paragraph" w:styleId="En-tte">
    <w:name w:val="header"/>
    <w:basedOn w:val="Normal"/>
    <w:link w:val="En-tteCar"/>
    <w:uiPriority w:val="99"/>
    <w:unhideWhenUsed/>
    <w:rsid w:val="004B1D23"/>
    <w:pPr>
      <w:tabs>
        <w:tab w:val="center" w:pos="4320"/>
        <w:tab w:val="right" w:pos="8640"/>
      </w:tabs>
    </w:pPr>
  </w:style>
  <w:style w:type="character" w:customStyle="1" w:styleId="En-tteCar">
    <w:name w:val="En-tête Car"/>
    <w:basedOn w:val="Policepardfaut"/>
    <w:link w:val="En-tte"/>
    <w:uiPriority w:val="99"/>
    <w:rsid w:val="004B1D23"/>
    <w:rPr>
      <w:rFonts w:ascii="Arial" w:hAnsi="Arial"/>
      <w:sz w:val="24"/>
      <w:lang w:val="fr-CA" w:eastAsia="fr-FR"/>
    </w:rPr>
  </w:style>
  <w:style w:type="paragraph" w:styleId="Pieddepage">
    <w:name w:val="footer"/>
    <w:basedOn w:val="Normal"/>
    <w:link w:val="PieddepageCar"/>
    <w:uiPriority w:val="99"/>
    <w:unhideWhenUsed/>
    <w:rsid w:val="004B1D23"/>
    <w:pPr>
      <w:tabs>
        <w:tab w:val="center" w:pos="4320"/>
        <w:tab w:val="right" w:pos="8640"/>
      </w:tabs>
    </w:pPr>
  </w:style>
  <w:style w:type="character" w:customStyle="1" w:styleId="PieddepageCar">
    <w:name w:val="Pied de page Car"/>
    <w:basedOn w:val="Policepardfaut"/>
    <w:link w:val="Pieddepage"/>
    <w:uiPriority w:val="99"/>
    <w:rsid w:val="004B1D23"/>
    <w:rPr>
      <w:rFonts w:ascii="Arial" w:hAnsi="Arial"/>
      <w:sz w:val="24"/>
      <w:lang w:val="fr-CA" w:eastAsia="fr-FR"/>
    </w:rPr>
  </w:style>
  <w:style w:type="character" w:styleId="Appelnotedebasdep">
    <w:name w:val="footnote reference"/>
    <w:basedOn w:val="Policepardfaut"/>
    <w:uiPriority w:val="99"/>
    <w:rsid w:val="00E0357E"/>
    <w:rPr>
      <w:vertAlign w:val="superscript"/>
      <w:lang w:val="fr-CA"/>
    </w:rPr>
  </w:style>
  <w:style w:type="character" w:customStyle="1" w:styleId="NotedebasdepageCar">
    <w:name w:val="Note de bas de page Car"/>
    <w:link w:val="Notedebasdepage"/>
    <w:rsid w:val="00087431"/>
    <w:rPr>
      <w:rFonts w:ascii="Arial" w:hAnsi="Arial"/>
      <w:lang w:eastAsia="fr-FR"/>
    </w:rPr>
  </w:style>
  <w:style w:type="paragraph" w:customStyle="1" w:styleId="Default">
    <w:name w:val="Default"/>
    <w:rsid w:val="009F7513"/>
    <w:pPr>
      <w:autoSpaceDE w:val="0"/>
      <w:autoSpaceDN w:val="0"/>
      <w:adjustRightInd w:val="0"/>
    </w:pPr>
    <w:rPr>
      <w:rFonts w:ascii="Arial" w:hAnsi="Arial" w:cs="Arial"/>
      <w:color w:val="000000"/>
      <w:sz w:val="24"/>
      <w:szCs w:val="24"/>
    </w:rPr>
  </w:style>
  <w:style w:type="character" w:styleId="Lienhypertexte">
    <w:name w:val="Hyperlink"/>
    <w:basedOn w:val="Policepardfaut"/>
    <w:uiPriority w:val="99"/>
    <w:unhideWhenUsed/>
    <w:rsid w:val="008840A9"/>
    <w:rPr>
      <w:color w:val="0563C1" w:themeColor="hyperlink"/>
      <w:u w:val="single"/>
    </w:rPr>
  </w:style>
  <w:style w:type="character" w:styleId="Marquedecommentaire">
    <w:name w:val="annotation reference"/>
    <w:basedOn w:val="Policepardfaut"/>
    <w:uiPriority w:val="99"/>
    <w:semiHidden/>
    <w:unhideWhenUsed/>
    <w:rsid w:val="0019012E"/>
    <w:rPr>
      <w:sz w:val="16"/>
      <w:szCs w:val="16"/>
    </w:rPr>
  </w:style>
  <w:style w:type="paragraph" w:styleId="Commentaire">
    <w:name w:val="annotation text"/>
    <w:basedOn w:val="Normal"/>
    <w:link w:val="CommentaireCar"/>
    <w:uiPriority w:val="99"/>
    <w:semiHidden/>
    <w:unhideWhenUsed/>
    <w:rsid w:val="0019012E"/>
    <w:rPr>
      <w:sz w:val="20"/>
    </w:rPr>
  </w:style>
  <w:style w:type="character" w:customStyle="1" w:styleId="CommentaireCar">
    <w:name w:val="Commentaire Car"/>
    <w:basedOn w:val="Policepardfaut"/>
    <w:link w:val="Commentaire"/>
    <w:uiPriority w:val="99"/>
    <w:semiHidden/>
    <w:rsid w:val="0019012E"/>
    <w:rPr>
      <w:rFonts w:ascii="Arial" w:hAnsi="Arial"/>
      <w:lang w:eastAsia="fr-FR"/>
    </w:rPr>
  </w:style>
  <w:style w:type="paragraph" w:styleId="Objetducommentaire">
    <w:name w:val="annotation subject"/>
    <w:basedOn w:val="Commentaire"/>
    <w:next w:val="Commentaire"/>
    <w:link w:val="ObjetducommentaireCar"/>
    <w:uiPriority w:val="99"/>
    <w:semiHidden/>
    <w:unhideWhenUsed/>
    <w:rsid w:val="0019012E"/>
    <w:rPr>
      <w:b/>
      <w:bCs/>
    </w:rPr>
  </w:style>
  <w:style w:type="character" w:customStyle="1" w:styleId="ObjetducommentaireCar">
    <w:name w:val="Objet du commentaire Car"/>
    <w:basedOn w:val="CommentaireCar"/>
    <w:link w:val="Objetducommentaire"/>
    <w:uiPriority w:val="99"/>
    <w:semiHidden/>
    <w:rsid w:val="0019012E"/>
    <w:rPr>
      <w:rFonts w:ascii="Arial" w:hAnsi="Arial"/>
      <w:b/>
      <w:bCs/>
      <w:lang w:eastAsia="fr-FR"/>
    </w:rPr>
  </w:style>
  <w:style w:type="paragraph" w:styleId="Textedebulles">
    <w:name w:val="Balloon Text"/>
    <w:basedOn w:val="Normal"/>
    <w:link w:val="TextedebullesCar"/>
    <w:uiPriority w:val="99"/>
    <w:semiHidden/>
    <w:unhideWhenUsed/>
    <w:rsid w:val="0019012E"/>
    <w:rPr>
      <w:rFonts w:ascii="Segoe UI" w:hAnsi="Segoe UI" w:cs="Segoe UI"/>
      <w:sz w:val="18"/>
      <w:szCs w:val="18"/>
    </w:rPr>
  </w:style>
  <w:style w:type="character" w:customStyle="1" w:styleId="TextedebullesCar">
    <w:name w:val="Texte de bulles Car"/>
    <w:basedOn w:val="Policepardfaut"/>
    <w:link w:val="Textedebulles"/>
    <w:uiPriority w:val="99"/>
    <w:semiHidden/>
    <w:rsid w:val="0019012E"/>
    <w:rPr>
      <w:rFonts w:ascii="Segoe UI" w:hAnsi="Segoe UI" w:cs="Segoe UI"/>
      <w:sz w:val="18"/>
      <w:szCs w:val="18"/>
      <w:lang w:eastAsia="fr-FR"/>
    </w:rPr>
  </w:style>
  <w:style w:type="character" w:customStyle="1" w:styleId="reidselectedtext">
    <w:name w:val="reidselectedtext"/>
    <w:basedOn w:val="Policepardfaut"/>
    <w:rsid w:val="009F5901"/>
  </w:style>
  <w:style w:type="character" w:customStyle="1" w:styleId="reflex3-missing">
    <w:name w:val="reflex3-missing"/>
    <w:basedOn w:val="Policepardfaut"/>
    <w:rsid w:val="00755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D5C12-6982-4BEC-8884-71D35A43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2633</Words>
  <Characters>13474</Characters>
  <Application>Microsoft Office Word</Application>
  <DocSecurity>0</DocSecurity>
  <Lines>112</Lines>
  <Paragraphs>32</Paragraphs>
  <ScaleCrop>false</ScaleCrop>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2022-04-13T19:56:00Z</dcterms:created>
  <dcterms:modified xsi:type="dcterms:W3CDTF">2022-04-13T19:56:00Z</dcterms:modified>
</cp:coreProperties>
</file>