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05" w:type="dxa"/>
        <w:tblLayout w:type="fixed"/>
        <w:tblCellMar>
          <w:left w:w="70" w:type="dxa"/>
          <w:right w:w="70" w:type="dxa"/>
        </w:tblCellMar>
        <w:tblLook w:val="0000" w:firstRow="0" w:lastRow="0" w:firstColumn="0" w:lastColumn="0" w:noHBand="0" w:noVBand="0"/>
      </w:tblPr>
      <w:tblGrid>
        <w:gridCol w:w="1036"/>
        <w:gridCol w:w="69"/>
        <w:gridCol w:w="520"/>
        <w:gridCol w:w="1575"/>
        <w:gridCol w:w="1826"/>
        <w:gridCol w:w="2059"/>
        <w:gridCol w:w="2420"/>
      </w:tblGrid>
      <w:tr w:rsidR="000B2721" w14:paraId="65AEC41F" w14:textId="77777777">
        <w:trPr>
          <w:trHeight w:val="360"/>
        </w:trPr>
        <w:tc>
          <w:tcPr>
            <w:tcW w:w="7085" w:type="dxa"/>
            <w:gridSpan w:val="6"/>
          </w:tcPr>
          <w:p w14:paraId="4685ADDB" w14:textId="382097A1" w:rsidR="000B2721" w:rsidRPr="009E5F27" w:rsidRDefault="009E5F27" w:rsidP="009E5F27">
            <w:pPr>
              <w:pStyle w:val="zSoquijdatRepertorie"/>
              <w:rPr>
                <w:rFonts w:cs="Arial"/>
              </w:rPr>
            </w:pPr>
            <w:bookmarkStart w:id="0" w:name="_GoBack"/>
            <w:bookmarkEnd w:id="0"/>
            <w:r>
              <w:rPr>
                <w:rFonts w:cs="Arial"/>
              </w:rPr>
              <w:t>R. c. Simon</w:t>
            </w:r>
          </w:p>
        </w:tc>
        <w:tc>
          <w:tcPr>
            <w:tcW w:w="2420" w:type="dxa"/>
          </w:tcPr>
          <w:p w14:paraId="116B8A8B" w14:textId="426D2B9A" w:rsidR="000B2721" w:rsidRPr="00197D24" w:rsidRDefault="00197D24" w:rsidP="00197D24">
            <w:pPr>
              <w:pStyle w:val="zSoquijdatRefNeutre"/>
              <w:jc w:val="right"/>
              <w:rPr>
                <w:rFonts w:cs="Arial"/>
              </w:rPr>
            </w:pPr>
            <w:r w:rsidRPr="00197D24">
              <w:rPr>
                <w:rFonts w:cs="Arial"/>
              </w:rPr>
              <w:t>2023 QCCQ 436</w:t>
            </w:r>
          </w:p>
        </w:tc>
      </w:tr>
      <w:tr w:rsidR="000B2721" w14:paraId="233A3239" w14:textId="77777777">
        <w:trPr>
          <w:trHeight w:val="900"/>
        </w:trPr>
        <w:tc>
          <w:tcPr>
            <w:tcW w:w="9505" w:type="dxa"/>
            <w:gridSpan w:val="7"/>
            <w:vAlign w:val="bottom"/>
          </w:tcPr>
          <w:p w14:paraId="7CA6B9FE" w14:textId="77777777" w:rsidR="000B2721" w:rsidRDefault="000B2721">
            <w:pPr>
              <w:pStyle w:val="zSoquijlblCour"/>
            </w:pPr>
            <w:r>
              <w:t>COUR DU QUÉBEC</w:t>
            </w:r>
          </w:p>
        </w:tc>
      </w:tr>
      <w:tr w:rsidR="000B2721" w14:paraId="073B9D82" w14:textId="77777777">
        <w:trPr>
          <w:trHeight w:val="540"/>
        </w:trPr>
        <w:tc>
          <w:tcPr>
            <w:tcW w:w="9505" w:type="dxa"/>
            <w:gridSpan w:val="7"/>
          </w:tcPr>
          <w:p w14:paraId="0AA56C62" w14:textId="77777777" w:rsidR="000B2721" w:rsidRDefault="005F0159">
            <w:pPr>
              <w:pStyle w:val="zSoquijdatDivision"/>
            </w:pPr>
            <w:r>
              <w:t>Chambre criminelle et pénale</w:t>
            </w:r>
          </w:p>
        </w:tc>
      </w:tr>
      <w:tr w:rsidR="000B2721" w14:paraId="103B87E0" w14:textId="77777777">
        <w:tc>
          <w:tcPr>
            <w:tcW w:w="9505" w:type="dxa"/>
            <w:gridSpan w:val="7"/>
          </w:tcPr>
          <w:p w14:paraId="151636A8" w14:textId="77777777" w:rsidR="000B2721" w:rsidRDefault="000B2721">
            <w:pPr>
              <w:pStyle w:val="zSoquijlblPays"/>
            </w:pPr>
            <w:r>
              <w:t>CANADA</w:t>
            </w:r>
          </w:p>
        </w:tc>
      </w:tr>
      <w:tr w:rsidR="000B2721" w14:paraId="46508F47" w14:textId="77777777">
        <w:tc>
          <w:tcPr>
            <w:tcW w:w="9505" w:type="dxa"/>
            <w:gridSpan w:val="7"/>
          </w:tcPr>
          <w:p w14:paraId="56D862BB" w14:textId="77777777" w:rsidR="000B2721" w:rsidRDefault="000B2721">
            <w:pPr>
              <w:pStyle w:val="zSoquijlblProvince"/>
            </w:pPr>
            <w:r>
              <w:t>PROVINCE DE QUÉBEC</w:t>
            </w:r>
          </w:p>
        </w:tc>
      </w:tr>
      <w:tr w:rsidR="000B2721" w14:paraId="6DA236A9" w14:textId="77777777">
        <w:tblPrEx>
          <w:tblCellMar>
            <w:left w:w="0" w:type="dxa"/>
            <w:right w:w="0" w:type="dxa"/>
          </w:tblCellMar>
        </w:tblPrEx>
        <w:trPr>
          <w:cantSplit/>
        </w:trPr>
        <w:tc>
          <w:tcPr>
            <w:tcW w:w="1625" w:type="dxa"/>
            <w:gridSpan w:val="3"/>
          </w:tcPr>
          <w:p w14:paraId="1B956D7D" w14:textId="77777777" w:rsidR="000B2721" w:rsidRDefault="000B2721">
            <w:pPr>
              <w:pStyle w:val="zSoquijlblGreffe"/>
            </w:pPr>
            <w:r>
              <w:t>DISTRICT DE</w:t>
            </w:r>
          </w:p>
        </w:tc>
        <w:tc>
          <w:tcPr>
            <w:tcW w:w="7880" w:type="dxa"/>
            <w:gridSpan w:val="4"/>
          </w:tcPr>
          <w:p w14:paraId="4E960DF4" w14:textId="77777777" w:rsidR="000B2721" w:rsidRDefault="005F0159" w:rsidP="005F0159">
            <w:pPr>
              <w:pStyle w:val="zSoquijdatGreffe"/>
            </w:pPr>
            <w:r>
              <w:t>MONTRÉAL</w:t>
            </w:r>
          </w:p>
        </w:tc>
      </w:tr>
      <w:tr w:rsidR="000B2721" w14:paraId="44831B9C" w14:textId="77777777">
        <w:trPr>
          <w:trHeight w:val="540"/>
        </w:trPr>
        <w:tc>
          <w:tcPr>
            <w:tcW w:w="9505" w:type="dxa"/>
            <w:gridSpan w:val="7"/>
          </w:tcPr>
          <w:p w14:paraId="0317D641" w14:textId="77777777" w:rsidR="000B2721" w:rsidRDefault="000B2721">
            <w:pPr>
              <w:pStyle w:val="zSoquijlblNomChambre"/>
            </w:pPr>
          </w:p>
        </w:tc>
      </w:tr>
      <w:tr w:rsidR="000B2721" w14:paraId="66ADABDF" w14:textId="77777777">
        <w:tc>
          <w:tcPr>
            <w:tcW w:w="1105" w:type="dxa"/>
            <w:gridSpan w:val="2"/>
          </w:tcPr>
          <w:p w14:paraId="74C6F8A7" w14:textId="77777777" w:rsidR="000B2721" w:rsidRDefault="000B2721">
            <w:pPr>
              <w:pStyle w:val="zSoquijlblNoDossier"/>
            </w:pPr>
            <w:r>
              <w:t>N° :</w:t>
            </w:r>
          </w:p>
        </w:tc>
        <w:tc>
          <w:tcPr>
            <w:tcW w:w="8400" w:type="dxa"/>
            <w:gridSpan w:val="5"/>
          </w:tcPr>
          <w:p w14:paraId="103E0C5E" w14:textId="38113F2A" w:rsidR="00357681" w:rsidRDefault="00362D9F">
            <w:pPr>
              <w:pStyle w:val="zSoquijdatNoDossier"/>
              <w:rPr>
                <w:rFonts w:cs="Arial"/>
                <w:szCs w:val="24"/>
              </w:rPr>
            </w:pPr>
            <w:r>
              <w:rPr>
                <w:rFonts w:cs="Arial"/>
                <w:szCs w:val="24"/>
              </w:rPr>
              <w:t>500-01-217105-219</w:t>
            </w:r>
          </w:p>
          <w:p w14:paraId="376D22A1" w14:textId="77777777" w:rsidR="00F33E8C" w:rsidRDefault="00F33E8C">
            <w:pPr>
              <w:pStyle w:val="zSoquijdatNoDossier"/>
              <w:rPr>
                <w:rFonts w:cs="Arial"/>
                <w:szCs w:val="24"/>
              </w:rPr>
            </w:pPr>
          </w:p>
          <w:p w14:paraId="70D641F8" w14:textId="77777777" w:rsidR="005F0159" w:rsidRDefault="005F0159">
            <w:pPr>
              <w:pStyle w:val="zSoquijdatNoDossier"/>
            </w:pPr>
          </w:p>
        </w:tc>
      </w:tr>
      <w:tr w:rsidR="000B2721" w14:paraId="26153FC4" w14:textId="77777777">
        <w:tc>
          <w:tcPr>
            <w:tcW w:w="1036" w:type="dxa"/>
          </w:tcPr>
          <w:p w14:paraId="2FA76FB1" w14:textId="77777777" w:rsidR="000B2721" w:rsidRDefault="000B2721">
            <w:pPr>
              <w:pStyle w:val="zSoquijlblDateJugement"/>
            </w:pPr>
            <w:r>
              <w:t>DATE :</w:t>
            </w:r>
          </w:p>
        </w:tc>
        <w:tc>
          <w:tcPr>
            <w:tcW w:w="8469" w:type="dxa"/>
            <w:gridSpan w:val="6"/>
          </w:tcPr>
          <w:p w14:paraId="45749F6F" w14:textId="3DDD5003" w:rsidR="000B2721" w:rsidRPr="00A82093" w:rsidRDefault="00E63CA7" w:rsidP="00A90B02">
            <w:pPr>
              <w:pStyle w:val="zSoquijdatDateJugement"/>
            </w:pPr>
            <w:r>
              <w:t>15 février</w:t>
            </w:r>
            <w:r w:rsidR="00362D9F" w:rsidRPr="00EE4596">
              <w:t xml:space="preserve"> 202</w:t>
            </w:r>
            <w:r w:rsidR="00E209DB">
              <w:t>3</w:t>
            </w:r>
          </w:p>
        </w:tc>
      </w:tr>
      <w:tr w:rsidR="000B2721" w14:paraId="50AE75FA" w14:textId="77777777">
        <w:tc>
          <w:tcPr>
            <w:tcW w:w="9505" w:type="dxa"/>
            <w:gridSpan w:val="7"/>
          </w:tcPr>
          <w:p w14:paraId="183BFEE6" w14:textId="77777777" w:rsidR="000B2721" w:rsidRDefault="000B2721">
            <w:pPr>
              <w:ind w:left="14" w:right="-67"/>
            </w:pPr>
            <w:r>
              <w:t>______________________________________________________________________</w:t>
            </w:r>
          </w:p>
        </w:tc>
      </w:tr>
      <w:tr w:rsidR="000B2721" w14:paraId="635D80F0" w14:textId="77777777">
        <w:tc>
          <w:tcPr>
            <w:tcW w:w="9505" w:type="dxa"/>
            <w:gridSpan w:val="7"/>
          </w:tcPr>
          <w:p w14:paraId="4FF0C90B" w14:textId="77777777" w:rsidR="000B2721" w:rsidRDefault="000B2721"/>
        </w:tc>
      </w:tr>
      <w:tr w:rsidR="000B2721" w14:paraId="1D341C39" w14:textId="77777777">
        <w:tblPrEx>
          <w:tblCellMar>
            <w:left w:w="0" w:type="dxa"/>
            <w:right w:w="0" w:type="dxa"/>
          </w:tblCellMar>
        </w:tblPrEx>
        <w:tc>
          <w:tcPr>
            <w:tcW w:w="3200" w:type="dxa"/>
            <w:gridSpan w:val="4"/>
          </w:tcPr>
          <w:p w14:paraId="15285E24" w14:textId="77777777" w:rsidR="000B2721" w:rsidRDefault="000B2721">
            <w:pPr>
              <w:pStyle w:val="zSoquijlblJuge"/>
            </w:pPr>
            <w:r>
              <w:t>SOUS LA PRÉSIDENCE DE</w:t>
            </w:r>
          </w:p>
        </w:tc>
        <w:tc>
          <w:tcPr>
            <w:tcW w:w="1826" w:type="dxa"/>
          </w:tcPr>
          <w:p w14:paraId="48B05495" w14:textId="77777777" w:rsidR="000B2721" w:rsidRDefault="000B2721">
            <w:pPr>
              <w:pStyle w:val="zSoquijdatQteJuge"/>
            </w:pPr>
            <w:r>
              <w:t>L’HONORABLE</w:t>
            </w:r>
          </w:p>
        </w:tc>
        <w:tc>
          <w:tcPr>
            <w:tcW w:w="4479" w:type="dxa"/>
            <w:gridSpan w:val="2"/>
          </w:tcPr>
          <w:p w14:paraId="2FA9B93D" w14:textId="77777777" w:rsidR="000B2721" w:rsidRDefault="005F0159" w:rsidP="00F33E8C">
            <w:pPr>
              <w:pStyle w:val="zSoquijdatJuge"/>
            </w:pPr>
            <w:r>
              <w:t>D</w:t>
            </w:r>
            <w:r w:rsidR="00F33E8C">
              <w:t>ENNIS</w:t>
            </w:r>
            <w:r>
              <w:t xml:space="preserve"> GALIATSATOS, J.C.Q.</w:t>
            </w:r>
          </w:p>
        </w:tc>
      </w:tr>
      <w:tr w:rsidR="000B2721" w14:paraId="66D9D91C" w14:textId="77777777">
        <w:tc>
          <w:tcPr>
            <w:tcW w:w="9505" w:type="dxa"/>
            <w:gridSpan w:val="7"/>
          </w:tcPr>
          <w:p w14:paraId="732B7FFC" w14:textId="77777777" w:rsidR="000B2721" w:rsidRDefault="000B2721">
            <w:pPr>
              <w:ind w:left="14" w:right="-67"/>
            </w:pPr>
            <w:r>
              <w:t>______________________________________________________________________</w:t>
            </w:r>
          </w:p>
        </w:tc>
      </w:tr>
      <w:tr w:rsidR="000B2721" w14:paraId="797A1164" w14:textId="77777777">
        <w:tc>
          <w:tcPr>
            <w:tcW w:w="9505" w:type="dxa"/>
            <w:gridSpan w:val="7"/>
          </w:tcPr>
          <w:p w14:paraId="4E6AFD09" w14:textId="77777777" w:rsidR="000B2721" w:rsidRDefault="000B2721">
            <w:pPr>
              <w:pStyle w:val="zSoquijlblTitrePartie"/>
            </w:pPr>
          </w:p>
        </w:tc>
      </w:tr>
      <w:tr w:rsidR="000B2721" w14:paraId="49042491" w14:textId="77777777">
        <w:tc>
          <w:tcPr>
            <w:tcW w:w="9505" w:type="dxa"/>
            <w:gridSpan w:val="7"/>
          </w:tcPr>
          <w:p w14:paraId="5AFA2256" w14:textId="77777777" w:rsidR="000B2721" w:rsidRDefault="000B2721"/>
        </w:tc>
      </w:tr>
      <w:tr w:rsidR="000B2721" w14:paraId="5A42A1AE" w14:textId="77777777">
        <w:tc>
          <w:tcPr>
            <w:tcW w:w="9505" w:type="dxa"/>
            <w:gridSpan w:val="7"/>
          </w:tcPr>
          <w:p w14:paraId="3EFBBB06" w14:textId="5D40911D" w:rsidR="000B2721" w:rsidRDefault="005F0159" w:rsidP="008E096E">
            <w:pPr>
              <w:pStyle w:val="zSoquijdatNomPartieDem"/>
            </w:pPr>
            <w:r>
              <w:t xml:space="preserve">SA MAJESTÉ </w:t>
            </w:r>
            <w:r w:rsidR="008E096E">
              <w:t>LE ROI</w:t>
            </w:r>
          </w:p>
        </w:tc>
      </w:tr>
      <w:tr w:rsidR="000B2721" w14:paraId="702C0842" w14:textId="77777777">
        <w:tc>
          <w:tcPr>
            <w:tcW w:w="9505" w:type="dxa"/>
            <w:gridSpan w:val="7"/>
          </w:tcPr>
          <w:p w14:paraId="49417B82" w14:textId="0F4BC59A" w:rsidR="000B2721" w:rsidRDefault="008E096E" w:rsidP="00A90B02">
            <w:pPr>
              <w:pStyle w:val="zSoquijdatQtePartieDem"/>
            </w:pPr>
            <w:r>
              <w:t>Poursuivant</w:t>
            </w:r>
          </w:p>
        </w:tc>
      </w:tr>
      <w:tr w:rsidR="000B2721" w14:paraId="48F0E307" w14:textId="77777777">
        <w:tc>
          <w:tcPr>
            <w:tcW w:w="9505" w:type="dxa"/>
            <w:gridSpan w:val="7"/>
          </w:tcPr>
          <w:p w14:paraId="6445CA9A" w14:textId="77777777" w:rsidR="000B2721" w:rsidRDefault="000B2721">
            <w:pPr>
              <w:pStyle w:val="zSoquijlblLienParties"/>
            </w:pPr>
            <w:r>
              <w:t>c.</w:t>
            </w:r>
          </w:p>
          <w:p w14:paraId="647A753F" w14:textId="77777777" w:rsidR="005F0159" w:rsidRDefault="005F0159">
            <w:pPr>
              <w:pStyle w:val="zSoquijlblLienParties"/>
            </w:pPr>
          </w:p>
        </w:tc>
      </w:tr>
      <w:tr w:rsidR="000B2721" w14:paraId="7A9D77E8" w14:textId="77777777">
        <w:tc>
          <w:tcPr>
            <w:tcW w:w="9505" w:type="dxa"/>
            <w:gridSpan w:val="7"/>
          </w:tcPr>
          <w:p w14:paraId="5C426805" w14:textId="6DCD5B7E" w:rsidR="000B2721" w:rsidRDefault="00894062" w:rsidP="008F4833">
            <w:pPr>
              <w:pStyle w:val="zSoquijdatNomPartieDef"/>
            </w:pPr>
            <w:r>
              <w:t>KENSEY SIMON</w:t>
            </w:r>
          </w:p>
        </w:tc>
      </w:tr>
      <w:tr w:rsidR="000B2721" w14:paraId="60881B61" w14:textId="77777777">
        <w:tc>
          <w:tcPr>
            <w:tcW w:w="9505" w:type="dxa"/>
            <w:gridSpan w:val="7"/>
          </w:tcPr>
          <w:p w14:paraId="060DF54C" w14:textId="2C4ECB92" w:rsidR="000B2721" w:rsidRDefault="005F0159" w:rsidP="00A90B02">
            <w:pPr>
              <w:pStyle w:val="zSoquijdatQtePartieDef"/>
            </w:pPr>
            <w:r>
              <w:t>Accusé</w:t>
            </w:r>
          </w:p>
        </w:tc>
      </w:tr>
      <w:tr w:rsidR="000B2721" w14:paraId="74FBE755" w14:textId="77777777">
        <w:tc>
          <w:tcPr>
            <w:tcW w:w="9505" w:type="dxa"/>
            <w:gridSpan w:val="7"/>
          </w:tcPr>
          <w:p w14:paraId="608F4FF9" w14:textId="77777777" w:rsidR="000B2721" w:rsidRDefault="000B2721">
            <w:pPr>
              <w:ind w:left="14" w:right="-95"/>
            </w:pPr>
            <w:r>
              <w:t>______________________________________________________________________</w:t>
            </w:r>
          </w:p>
        </w:tc>
      </w:tr>
      <w:tr w:rsidR="000B2721" w14:paraId="7285D6E4" w14:textId="77777777">
        <w:tc>
          <w:tcPr>
            <w:tcW w:w="9505" w:type="dxa"/>
            <w:gridSpan w:val="7"/>
          </w:tcPr>
          <w:p w14:paraId="7EE6ACF3" w14:textId="77777777" w:rsidR="000B2721" w:rsidRDefault="000B2721">
            <w:pPr>
              <w:jc w:val="center"/>
            </w:pPr>
          </w:p>
        </w:tc>
      </w:tr>
      <w:tr w:rsidR="000B2721" w:rsidRPr="00A82093" w14:paraId="5FB12922" w14:textId="77777777">
        <w:tc>
          <w:tcPr>
            <w:tcW w:w="9505" w:type="dxa"/>
            <w:gridSpan w:val="7"/>
          </w:tcPr>
          <w:p w14:paraId="1391E955" w14:textId="250FE97B" w:rsidR="008F1A08" w:rsidRPr="00FF5768" w:rsidRDefault="000B2721" w:rsidP="00A90B02">
            <w:pPr>
              <w:pStyle w:val="zSoquijlblTypeDocument"/>
              <w:rPr>
                <w:b/>
              </w:rPr>
            </w:pPr>
            <w:r w:rsidRPr="00A82093">
              <w:rPr>
                <w:b/>
              </w:rPr>
              <w:t>JUGEMENT</w:t>
            </w:r>
            <w:r w:rsidR="00E209DB">
              <w:rPr>
                <w:b/>
              </w:rPr>
              <w:t xml:space="preserve"> SUR LA PEINE</w:t>
            </w:r>
          </w:p>
        </w:tc>
      </w:tr>
      <w:tr w:rsidR="000B2721" w14:paraId="2324B376" w14:textId="77777777">
        <w:tc>
          <w:tcPr>
            <w:tcW w:w="9505" w:type="dxa"/>
            <w:gridSpan w:val="7"/>
          </w:tcPr>
          <w:p w14:paraId="2A83F397" w14:textId="77777777" w:rsidR="000B2721" w:rsidRDefault="000B2721">
            <w:pPr>
              <w:ind w:left="14" w:right="-70"/>
            </w:pPr>
            <w:r>
              <w:t>______________________________________________________________________</w:t>
            </w:r>
          </w:p>
        </w:tc>
      </w:tr>
    </w:tbl>
    <w:p w14:paraId="55D5703D" w14:textId="77777777" w:rsidR="00195003" w:rsidRDefault="00195003" w:rsidP="00195003">
      <w:pPr>
        <w:pStyle w:val="Paragraphe"/>
        <w:numPr>
          <w:ilvl w:val="0"/>
          <w:numId w:val="0"/>
        </w:numPr>
        <w:spacing w:line="240" w:lineRule="auto"/>
      </w:pPr>
    </w:p>
    <w:p w14:paraId="4E8E8C97" w14:textId="752D84F9" w:rsidR="008E0F8B" w:rsidRDefault="00195003" w:rsidP="00F77442">
      <w:pPr>
        <w:pStyle w:val="Paragraphe"/>
        <w:spacing w:line="240" w:lineRule="auto"/>
      </w:pPr>
      <w:r>
        <w:t xml:space="preserve">Au terme d’un procès qui a duré 18 jours, Kensey Simon a été déclaré coupable de deux chefs d’accusation lui </w:t>
      </w:r>
      <w:r w:rsidRPr="00E25E61">
        <w:t>reprochant la possession en vue d’en faire le trafic de substances inscrites à l’</w:t>
      </w:r>
      <w:r w:rsidR="00E25E61" w:rsidRPr="00E25E61">
        <w:t>a</w:t>
      </w:r>
      <w:r w:rsidRPr="00E25E61">
        <w:t>nnexe</w:t>
      </w:r>
      <w:r w:rsidR="00DC1D8F" w:rsidRPr="00E25E61">
        <w:t xml:space="preserve"> </w:t>
      </w:r>
      <w:r>
        <w:t xml:space="preserve">1 (art. 5(2)(3)(a) </w:t>
      </w:r>
      <w:r>
        <w:rPr>
          <w:i/>
          <w:iCs/>
        </w:rPr>
        <w:t>L.r.c.d.a.s.</w:t>
      </w:r>
      <w:r>
        <w:rPr>
          <w:iCs/>
        </w:rPr>
        <w:t>), notamment du crack, de la cocaïne en poudre et de la méthamphétamine. Le Tribunal a également conclu qu’il était en possession de Clonazé</w:t>
      </w:r>
      <w:r w:rsidRPr="00E25E61">
        <w:rPr>
          <w:iCs/>
        </w:rPr>
        <w:t>pam (Xanax) pour fins de trafic, quoique cette substance soit plutôt inscrite à l’</w:t>
      </w:r>
      <w:r w:rsidR="00E25E61" w:rsidRPr="00E25E61">
        <w:rPr>
          <w:iCs/>
        </w:rPr>
        <w:t>a</w:t>
      </w:r>
      <w:r w:rsidRPr="00E25E61">
        <w:rPr>
          <w:iCs/>
        </w:rPr>
        <w:t>nnexe 4</w:t>
      </w:r>
      <w:r>
        <w:rPr>
          <w:iCs/>
        </w:rPr>
        <w:t xml:space="preserve"> de la </w:t>
      </w:r>
      <w:r>
        <w:rPr>
          <w:i/>
        </w:rPr>
        <w:t>Loi</w:t>
      </w:r>
      <w:r>
        <w:rPr>
          <w:iCs/>
        </w:rPr>
        <w:t>.</w:t>
      </w:r>
    </w:p>
    <w:p w14:paraId="231849B4" w14:textId="58BE9511" w:rsidR="00195003" w:rsidRDefault="008E0F8B" w:rsidP="00F77442">
      <w:pPr>
        <w:pStyle w:val="Paragraphe"/>
        <w:spacing w:line="240" w:lineRule="auto"/>
      </w:pPr>
      <w:r>
        <w:t xml:space="preserve">Les quantités de </w:t>
      </w:r>
      <w:r w:rsidR="00366F3B">
        <w:t>drogues impliquées</w:t>
      </w:r>
      <w:r>
        <w:t xml:space="preserve"> sont impressionnantes. </w:t>
      </w:r>
      <w:r w:rsidR="00195003">
        <w:t xml:space="preserve">Les infractions se rapportent à une saisie de stupéfiants effectuée le 17 mars 2021 lors de l’exécution d’un mandat </w:t>
      </w:r>
      <w:r w:rsidR="00EC312F">
        <w:t>de perquisition</w:t>
      </w:r>
      <w:r w:rsidR="00195003">
        <w:t xml:space="preserve"> dans un appartement s</w:t>
      </w:r>
      <w:r w:rsidR="00195003" w:rsidRPr="00E25E61">
        <w:t>ur la rue Chambord à Montréal. L’accusé se trouvait sur les lieux</w:t>
      </w:r>
      <w:r w:rsidR="00E25E61" w:rsidRPr="00E25E61">
        <w:t>.</w:t>
      </w:r>
      <w:r w:rsidR="00195003" w:rsidRPr="00E25E61">
        <w:t xml:space="preserve"> </w:t>
      </w:r>
      <w:r w:rsidR="00E25E61" w:rsidRPr="00E25E61">
        <w:t>L</w:t>
      </w:r>
      <w:r w:rsidR="00C87654" w:rsidRPr="00E25E61">
        <w:t>es circonstances sont</w:t>
      </w:r>
      <w:r w:rsidR="00195003">
        <w:t xml:space="preserve"> décrites ci</w:t>
      </w:r>
      <w:r w:rsidR="00C87654">
        <w:noBreakHyphen/>
      </w:r>
      <w:r w:rsidR="00195003">
        <w:t>dessous.</w:t>
      </w:r>
    </w:p>
    <w:p w14:paraId="1B757E8B" w14:textId="1FA043E2" w:rsidR="00195003" w:rsidRDefault="00195003" w:rsidP="00F77442">
      <w:pPr>
        <w:pStyle w:val="Paragraphe"/>
        <w:spacing w:line="240" w:lineRule="auto"/>
      </w:pPr>
      <w:r>
        <w:t>Ses deux complices</w:t>
      </w:r>
      <w:r w:rsidR="008E0F8B">
        <w:t>, également arrêtés dans l’appartement au moment de la frappe policière,</w:t>
      </w:r>
      <w:r>
        <w:t xml:space="preserve"> ont déjà plaidé coupable et ils se sont vu infliger des peines par un autre juge, résultant de recommandations conjointes </w:t>
      </w:r>
      <w:r w:rsidR="003B09B0">
        <w:t>d</w:t>
      </w:r>
      <w:r>
        <w:t>es parties.</w:t>
      </w:r>
    </w:p>
    <w:p w14:paraId="0DD6B43B" w14:textId="5E63A9DA" w:rsidR="008E0F8B" w:rsidRDefault="008E0F8B" w:rsidP="00F77442">
      <w:pPr>
        <w:pStyle w:val="Paragraphe"/>
        <w:spacing w:line="240" w:lineRule="auto"/>
      </w:pPr>
      <w:r>
        <w:t>Le Tribunal doit maintenant déterminer la peine à imposer au délinquant. Monsieur</w:t>
      </w:r>
      <w:r w:rsidR="00C87654">
        <w:t> </w:t>
      </w:r>
      <w:r>
        <w:t>Simon n’a pas témoigné au procès et il n’a présenté aucune preuve lors de l’audition sur la détermination de la peine. Il est fortement criminalisé et il était sous le coup de nombreuses ordonnances de la Cour au moment de la commission de ces infractions.</w:t>
      </w:r>
    </w:p>
    <w:p w14:paraId="6D5E1E1F" w14:textId="22698FDC" w:rsidR="008F1A08" w:rsidRDefault="008E0F8B" w:rsidP="00F77442">
      <w:pPr>
        <w:pStyle w:val="Paragraphe"/>
        <w:spacing w:line="240" w:lineRule="auto"/>
      </w:pPr>
      <w:r>
        <w:t>Les positions des parties sont éloignées. Le ministère public recommande une peine de 48 mois d’emprisonnement</w:t>
      </w:r>
      <w:r w:rsidR="00EE7B30">
        <w:t>.</w:t>
      </w:r>
      <w:r w:rsidR="00AA3208">
        <w:t xml:space="preserve"> Pour sa part, la défense soumet qu’une peine entre 24 et 30 mois d’emprisonnement serait proportionnelle et suffisamment dénonciatrice.</w:t>
      </w:r>
    </w:p>
    <w:p w14:paraId="753E7FDA" w14:textId="2C59AB69" w:rsidR="002F6501" w:rsidRDefault="002F6501" w:rsidP="002F6501">
      <w:pPr>
        <w:pStyle w:val="Titre1"/>
        <w:spacing w:before="120" w:after="120"/>
        <w:rPr>
          <w:sz w:val="24"/>
          <w:szCs w:val="24"/>
          <w:u w:val="single"/>
        </w:rPr>
      </w:pPr>
      <w:bookmarkStart w:id="1" w:name="_Toc113987350"/>
      <w:r>
        <w:rPr>
          <w:sz w:val="24"/>
          <w:szCs w:val="24"/>
          <w:u w:val="single"/>
        </w:rPr>
        <w:t>L</w:t>
      </w:r>
      <w:bookmarkEnd w:id="1"/>
      <w:r w:rsidR="008C0475">
        <w:rPr>
          <w:sz w:val="24"/>
          <w:szCs w:val="24"/>
          <w:u w:val="single"/>
        </w:rPr>
        <w:t>A PREUVE</w:t>
      </w:r>
    </w:p>
    <w:p w14:paraId="427BAB05" w14:textId="4AA2AE22" w:rsidR="00D15321" w:rsidRPr="00C24C9C" w:rsidRDefault="00D15321" w:rsidP="00D15321">
      <w:pPr>
        <w:pStyle w:val="Titre1"/>
        <w:rPr>
          <w:sz w:val="24"/>
          <w:szCs w:val="24"/>
        </w:rPr>
      </w:pPr>
      <w:bookmarkStart w:id="2" w:name="_Toc113987351"/>
      <w:r>
        <w:rPr>
          <w:sz w:val="24"/>
          <w:szCs w:val="24"/>
        </w:rPr>
        <w:t>1</w:t>
      </w:r>
      <w:r w:rsidRPr="00C24C9C">
        <w:rPr>
          <w:sz w:val="24"/>
          <w:szCs w:val="24"/>
        </w:rPr>
        <w:t>-</w:t>
      </w:r>
      <w:bookmarkEnd w:id="2"/>
      <w:r w:rsidR="008C0475">
        <w:rPr>
          <w:sz w:val="24"/>
          <w:szCs w:val="24"/>
        </w:rPr>
        <w:t xml:space="preserve"> </w:t>
      </w:r>
      <w:r w:rsidR="008C0475">
        <w:rPr>
          <w:sz w:val="24"/>
          <w:szCs w:val="24"/>
          <w:u w:val="single"/>
        </w:rPr>
        <w:t>Les faits retenus par le Tribunal au procès</w:t>
      </w:r>
    </w:p>
    <w:p w14:paraId="1A598B7F" w14:textId="74659FF3" w:rsidR="00C7584A" w:rsidRDefault="00C7584A" w:rsidP="007E4FEE">
      <w:pPr>
        <w:pStyle w:val="Paragraphe"/>
        <w:spacing w:line="240" w:lineRule="auto"/>
      </w:pPr>
      <w:r>
        <w:t xml:space="preserve">Le résumé suivant ne se veut pas exhaustif. La preuve </w:t>
      </w:r>
      <w:r w:rsidR="00CE2213">
        <w:t xml:space="preserve">et les conclusions factuelles du Tribunal sont </w:t>
      </w:r>
      <w:r>
        <w:t>décrite</w:t>
      </w:r>
      <w:r w:rsidR="00CE2213">
        <w:t>s</w:t>
      </w:r>
      <w:r>
        <w:t xml:space="preserve"> en détail dans la décision quant au verdict, à laquelle le soussigné réfère le lecteur</w:t>
      </w:r>
      <w:r w:rsidR="003B09B0">
        <w:rPr>
          <w:rStyle w:val="Appelnotedebasdep"/>
        </w:rPr>
        <w:footnoteReference w:id="1"/>
      </w:r>
      <w:r>
        <w:t>.</w:t>
      </w:r>
    </w:p>
    <w:p w14:paraId="5529F0E8" w14:textId="3077F2E1" w:rsidR="00C7584A" w:rsidRDefault="00C7584A" w:rsidP="007E4FEE">
      <w:pPr>
        <w:pStyle w:val="Paragraphe"/>
        <w:spacing w:line="240" w:lineRule="auto"/>
      </w:pPr>
      <w:r>
        <w:t>Une enquête a été initiée suite à la réception d’informations provenant de sources enregistrées voulant que Marc Hakim et Nicolas Cupidon se livraient au trafic de stupéfiants. Hakim était la cible principale durant l’enquête.</w:t>
      </w:r>
      <w:r w:rsidR="00AC253C">
        <w:t xml:space="preserve"> L’une des adresses d’intérêt était l’appartement 5 du 5880</w:t>
      </w:r>
      <w:r w:rsidR="00C87654">
        <w:t>,</w:t>
      </w:r>
      <w:r w:rsidR="00AC253C">
        <w:t xml:space="preserve"> rue Chambord.</w:t>
      </w:r>
    </w:p>
    <w:p w14:paraId="2752847F" w14:textId="41919150" w:rsidR="00AC253C" w:rsidRDefault="00AC253C" w:rsidP="007E4FEE">
      <w:pPr>
        <w:pStyle w:val="Paragraphe"/>
        <w:spacing w:line="240" w:lineRule="auto"/>
      </w:pPr>
      <w:r>
        <w:t xml:space="preserve">Au cours de l’enquête, en plus de Hakim et Cupidon, Kensey Simon, </w:t>
      </w:r>
      <w:r w:rsidR="00366F3B">
        <w:t>Fr</w:t>
      </w:r>
      <w:r w:rsidR="00DA0087">
        <w:t>a</w:t>
      </w:r>
      <w:r w:rsidR="00366F3B">
        <w:t>n</w:t>
      </w:r>
      <w:r w:rsidR="00DA0087">
        <w:t>c</w:t>
      </w:r>
      <w:r w:rsidR="00366F3B">
        <w:t>kel</w:t>
      </w:r>
      <w:r>
        <w:t xml:space="preserve"> Cleopha et d’autres individus ont fait l’objet d’observations lors des nombreuses opérations de filature menant aux perquisitions. Des véhicules d’intérêt ont aussi été ciblés lors des observations, notamment un véhicule Honda Civic immatriculé au nom de Kensey Simon, que le Tribunal a conclu lui appartenait.</w:t>
      </w:r>
    </w:p>
    <w:p w14:paraId="5AACCC6C" w14:textId="0956CC3A" w:rsidR="00D238D4" w:rsidRDefault="00D238D4" w:rsidP="007E4FEE">
      <w:pPr>
        <w:pStyle w:val="Paragraphe"/>
        <w:spacing w:line="240" w:lineRule="auto"/>
      </w:pPr>
      <w:r>
        <w:t xml:space="preserve">Entre le 18 février 2021 et le 16 mars 2021, </w:t>
      </w:r>
      <w:r w:rsidR="00CE2213">
        <w:t>Simon a été vu ent</w:t>
      </w:r>
      <w:r w:rsidR="005A2838">
        <w:t>r</w:t>
      </w:r>
      <w:r w:rsidR="00CE2213">
        <w:t xml:space="preserve">er ou sortir du 5880 Chambord à 24 reprises sur </w:t>
      </w:r>
      <w:r w:rsidR="00C4351C">
        <w:t>8</w:t>
      </w:r>
      <w:r w:rsidR="00CE2213">
        <w:t xml:space="preserve"> jours différents de filature. Certaines présences étaient rapides, alors que d’autres ont duré plusieurs heures. Il y a passé la nuit à quelques reprises. Son </w:t>
      </w:r>
      <w:r w:rsidR="00CE2213" w:rsidRPr="00C4351C">
        <w:t xml:space="preserve">véhicule s’y trouvait souvent. Le 16 mars 2021, soit la veille des perquisitions, Simon </w:t>
      </w:r>
      <w:r w:rsidR="00C87654" w:rsidRPr="00C4351C">
        <w:t xml:space="preserve">a été </w:t>
      </w:r>
      <w:r w:rsidR="00CE2213" w:rsidRPr="00C4351C">
        <w:t>à</w:t>
      </w:r>
      <w:r w:rsidR="00CE2213">
        <w:t xml:space="preserve"> l’intérieur de l’adresse presque toute la journée et il y a passé la nuit</w:t>
      </w:r>
      <w:r w:rsidR="005A2838">
        <w:t xml:space="preserve"> avec Hakim et Cleopha</w:t>
      </w:r>
      <w:r w:rsidR="00CE2213">
        <w:t>. Le Tribunal a conclu que Simon avait un lien étroit avec l’adresse.</w:t>
      </w:r>
    </w:p>
    <w:p w14:paraId="3DDF9560" w14:textId="77777777" w:rsidR="00AC253C" w:rsidRDefault="00AC253C" w:rsidP="00AC253C">
      <w:pPr>
        <w:pStyle w:val="Paragraphe"/>
        <w:spacing w:line="240" w:lineRule="auto"/>
      </w:pPr>
      <w:r>
        <w:t>Le 17 mars 2021, de nombreuses perquisitions simultanées ont été exécutées par des unités spécialisées du Service de police de la Ville de Montréal.</w:t>
      </w:r>
    </w:p>
    <w:p w14:paraId="1388EE6C" w14:textId="06CF11B0" w:rsidR="00AC253C" w:rsidRDefault="00AC253C" w:rsidP="00AC253C">
      <w:pPr>
        <w:pStyle w:val="Paragraphe"/>
        <w:numPr>
          <w:ilvl w:val="0"/>
          <w:numId w:val="1"/>
        </w:numPr>
        <w:tabs>
          <w:tab w:val="clear" w:pos="360"/>
        </w:tabs>
        <w:spacing w:line="240" w:lineRule="auto"/>
      </w:pPr>
      <w:r>
        <w:t xml:space="preserve">Au moment de la frappe policière au 5880 Chambord vers 5h00, Cupidon n’était pas sur les lieux. Dans l’appartement se trouvaient </w:t>
      </w:r>
      <w:r w:rsidR="005A2838">
        <w:t>Simon, Hakim et Cleopha.</w:t>
      </w:r>
    </w:p>
    <w:p w14:paraId="4E13D213" w14:textId="30CEB04C" w:rsidR="00165797" w:rsidRDefault="00165797" w:rsidP="00AC253C">
      <w:pPr>
        <w:pStyle w:val="Paragraphe"/>
        <w:spacing w:line="240" w:lineRule="auto"/>
      </w:pPr>
      <w:r>
        <w:t xml:space="preserve">Lorsque la porte a été défoncée par les agents du GTI, les suspects ne collaboraient pas et ils n’obtempéraient pas aux commandes, pourtant claires, des policiers, les sommant de se mettre à genoux avec les mains dans les airs. Le GTI a dû répéter ses commandes à plusieurs reprises, pendant deux ou trois minutes. </w:t>
      </w:r>
    </w:p>
    <w:p w14:paraId="495DD2A3" w14:textId="1D391540" w:rsidR="00165797" w:rsidRDefault="00165797" w:rsidP="00AC253C">
      <w:pPr>
        <w:pStyle w:val="Paragraphe"/>
        <w:spacing w:line="240" w:lineRule="auto"/>
      </w:pPr>
      <w:r>
        <w:t>Kensey Simon était debout et il continuait à parler au téléphone.</w:t>
      </w:r>
      <w:r w:rsidR="00DE09F5">
        <w:t xml:space="preserve"> Il était tout près de l’endroit où les policiers ont subséquemment trouvé un gros sachet bleu au sol contenant 18.17 g de crack.</w:t>
      </w:r>
      <w:r>
        <w:t xml:space="preserve"> Ce n’est que lorsque les policiers ont fait une démonstration du pistolet à décharge électrique que les hommes se sont mobilisés et se sont mis à genoux. Pendant l’extraction de Simon, Hakim a caché un </w:t>
      </w:r>
      <w:r w:rsidR="00DE09F5">
        <w:t xml:space="preserve">autre </w:t>
      </w:r>
      <w:r>
        <w:t>gros sachet de crack dans le coussin d’un divan.</w:t>
      </w:r>
    </w:p>
    <w:p w14:paraId="3D40DE81" w14:textId="61E592D4" w:rsidR="00165797" w:rsidRDefault="00165797" w:rsidP="00AC253C">
      <w:pPr>
        <w:pStyle w:val="Paragraphe"/>
        <w:spacing w:line="240" w:lineRule="auto"/>
      </w:pPr>
      <w:r>
        <w:t>Selon les conclusions factuelles du Tribunal, Simon avait sur sa personne un total de 1140</w:t>
      </w:r>
      <w:r w:rsidR="00646621">
        <w:t> </w:t>
      </w:r>
      <w:r>
        <w:t xml:space="preserve">$ et deux téléphones cellulaires. Dans </w:t>
      </w:r>
      <w:r w:rsidR="00D12182">
        <w:t xml:space="preserve">la poche de </w:t>
      </w:r>
      <w:r>
        <w:t xml:space="preserve">son manteau Adidas (laissé </w:t>
      </w:r>
      <w:r w:rsidR="00D12182">
        <w:t xml:space="preserve">dans l’appartement), il y </w:t>
      </w:r>
      <w:r w:rsidR="00D12182" w:rsidRPr="00C4351C">
        <w:t>avait un sachet contenant 0.36 g de crack. Directement sous son manteau, il y avait un sac ziploc</w:t>
      </w:r>
      <w:r w:rsidR="00E6688E" w:rsidRPr="00C4351C">
        <w:t xml:space="preserve"> </w:t>
      </w:r>
      <w:r w:rsidR="00D12182">
        <w:t>contenant 94 comprimés de méthamphétamine.</w:t>
      </w:r>
      <w:r w:rsidR="00FA60B4">
        <w:t xml:space="preserve"> Dans </w:t>
      </w:r>
      <w:r w:rsidR="005A2838">
        <w:t xml:space="preserve">une </w:t>
      </w:r>
      <w:r w:rsidR="00FA60B4">
        <w:t>autre poche de ce même manteau, il y avait une clé pour la porte de l’appartement 5 du 5880 Chambord, ainsi qu’une clé qui ouvrait l’appartement 2 du 5955 Papineau (l’un des autres endroits visés par l’enquête, dans lequel la police a saisi 55.19</w:t>
      </w:r>
      <w:r w:rsidR="00C87654">
        <w:t> </w:t>
      </w:r>
      <w:r w:rsidR="00FA60B4">
        <w:t>g de cocaïne en poudre)</w:t>
      </w:r>
      <w:r w:rsidR="00FA60B4">
        <w:rPr>
          <w:rStyle w:val="Appelnotedebasdep"/>
        </w:rPr>
        <w:footnoteReference w:id="2"/>
      </w:r>
      <w:r w:rsidR="00FA60B4">
        <w:t>.</w:t>
      </w:r>
    </w:p>
    <w:p w14:paraId="5597E8E6" w14:textId="37D211A8" w:rsidR="00165797" w:rsidRDefault="00D12182" w:rsidP="00AC253C">
      <w:pPr>
        <w:pStyle w:val="Paragraphe"/>
        <w:spacing w:line="240" w:lineRule="auto"/>
      </w:pPr>
      <w:r>
        <w:t>Au total, les policiers ont saisi les substances suivantes dans l’appartement 5 du 5880 Chambord :</w:t>
      </w:r>
    </w:p>
    <w:p w14:paraId="10FC19CC" w14:textId="5309DBB7" w:rsidR="00D12182" w:rsidRDefault="00D12182" w:rsidP="00D12182">
      <w:pPr>
        <w:pStyle w:val="Paragraphe"/>
        <w:numPr>
          <w:ilvl w:val="0"/>
          <w:numId w:val="8"/>
        </w:numPr>
        <w:spacing w:line="240" w:lineRule="auto"/>
        <w:ind w:left="1418"/>
      </w:pPr>
      <w:r>
        <w:t>55.98 g de crack;</w:t>
      </w:r>
    </w:p>
    <w:p w14:paraId="3C3EDB50" w14:textId="500764C8" w:rsidR="00D12182" w:rsidRDefault="00D12182" w:rsidP="00D12182">
      <w:pPr>
        <w:pStyle w:val="Paragraphe"/>
        <w:numPr>
          <w:ilvl w:val="0"/>
          <w:numId w:val="8"/>
        </w:numPr>
        <w:spacing w:line="240" w:lineRule="auto"/>
        <w:ind w:left="1418"/>
      </w:pPr>
      <w:r>
        <w:t>3.87 g de cocaïne en poudre;</w:t>
      </w:r>
    </w:p>
    <w:p w14:paraId="6F97654E" w14:textId="56AE34B9" w:rsidR="00D12182" w:rsidRDefault="00D12182" w:rsidP="00D12182">
      <w:pPr>
        <w:pStyle w:val="Paragraphe"/>
        <w:numPr>
          <w:ilvl w:val="0"/>
          <w:numId w:val="8"/>
        </w:numPr>
        <w:spacing w:line="240" w:lineRule="auto"/>
        <w:ind w:left="1418"/>
      </w:pPr>
      <w:r>
        <w:t>412 comprimés de Clonazépam (Xanax); et</w:t>
      </w:r>
    </w:p>
    <w:p w14:paraId="74297279" w14:textId="5C90A375" w:rsidR="00D12182" w:rsidRDefault="00D12182" w:rsidP="00D12182">
      <w:pPr>
        <w:pStyle w:val="Paragraphe"/>
        <w:numPr>
          <w:ilvl w:val="0"/>
          <w:numId w:val="8"/>
        </w:numPr>
        <w:spacing w:line="240" w:lineRule="auto"/>
        <w:ind w:left="1418"/>
      </w:pPr>
      <w:r>
        <w:t>94 comprimés de méthamphétamine (speed).</w:t>
      </w:r>
    </w:p>
    <w:p w14:paraId="41DAC6D6" w14:textId="5D66A527" w:rsidR="00D12182" w:rsidRDefault="00D12182" w:rsidP="00AC253C">
      <w:pPr>
        <w:pStyle w:val="Paragraphe"/>
        <w:spacing w:line="240" w:lineRule="auto"/>
      </w:pPr>
      <w:r>
        <w:t xml:space="preserve">Le Tribunal a conclu hors de tout doute raisonnable que Simon avait la possession conjointe de ces stupéfiants, avec ses complices, </w:t>
      </w:r>
      <w:r w:rsidR="00CE2213">
        <w:t xml:space="preserve">et ce, </w:t>
      </w:r>
      <w:r>
        <w:t>dans le but de trafic.</w:t>
      </w:r>
    </w:p>
    <w:p w14:paraId="62CB8291" w14:textId="2FC24013" w:rsidR="00D12182" w:rsidRDefault="00D12182" w:rsidP="00AC253C">
      <w:pPr>
        <w:pStyle w:val="Paragraphe"/>
        <w:spacing w:line="240" w:lineRule="auto"/>
      </w:pPr>
      <w:r>
        <w:t>Ces drogues étaient réparties dans le salon et dans la cuisine. Certaines étaient à la vue de tous; d’autres étaient dans des tiroirs de la cuisine. Sur le comptoir de la cuisine était une balance numérique contaminée de poudre blanche. En plus des stupéfiants, les policiers ont saisi, entre au</w:t>
      </w:r>
      <w:r w:rsidR="00FA60B4">
        <w:t>t</w:t>
      </w:r>
      <w:r>
        <w:t>res :</w:t>
      </w:r>
    </w:p>
    <w:p w14:paraId="1E3EB9CA" w14:textId="4EDEB30F" w:rsidR="00D12182" w:rsidRDefault="00D12182" w:rsidP="00D12182">
      <w:pPr>
        <w:pStyle w:val="Paragraphe"/>
        <w:numPr>
          <w:ilvl w:val="0"/>
          <w:numId w:val="9"/>
        </w:numPr>
        <w:spacing w:line="240" w:lineRule="auto"/>
        <w:ind w:left="1418"/>
      </w:pPr>
      <w:r>
        <w:t>Un total de 2</w:t>
      </w:r>
      <w:r w:rsidR="00D22AE4">
        <w:t>925</w:t>
      </w:r>
      <w:r w:rsidR="00646621">
        <w:t> </w:t>
      </w:r>
      <w:r>
        <w:t>$.</w:t>
      </w:r>
    </w:p>
    <w:p w14:paraId="1A798578" w14:textId="05D5ABF6" w:rsidR="00D12182" w:rsidRDefault="00D12182" w:rsidP="00D12182">
      <w:pPr>
        <w:pStyle w:val="Paragraphe"/>
        <w:numPr>
          <w:ilvl w:val="0"/>
          <w:numId w:val="9"/>
        </w:numPr>
        <w:spacing w:line="240" w:lineRule="auto"/>
        <w:ind w:left="1418"/>
      </w:pPr>
      <w:r>
        <w:t>De nombreux sachets vides.</w:t>
      </w:r>
    </w:p>
    <w:p w14:paraId="7132A7BF" w14:textId="6E1547BD" w:rsidR="00D12182" w:rsidRDefault="00D12182" w:rsidP="00D12182">
      <w:pPr>
        <w:pStyle w:val="Paragraphe"/>
        <w:numPr>
          <w:ilvl w:val="0"/>
          <w:numId w:val="9"/>
        </w:numPr>
        <w:spacing w:line="240" w:lineRule="auto"/>
        <w:ind w:left="1418"/>
      </w:pPr>
      <w:r>
        <w:t>Deux autres balances numériques contaminées de poudre blanche.</w:t>
      </w:r>
    </w:p>
    <w:p w14:paraId="416E02F7" w14:textId="0D5CE38C" w:rsidR="00D12182" w:rsidRDefault="005A2838" w:rsidP="00D12182">
      <w:pPr>
        <w:pStyle w:val="Paragraphe"/>
        <w:numPr>
          <w:ilvl w:val="0"/>
          <w:numId w:val="9"/>
        </w:numPr>
        <w:spacing w:line="240" w:lineRule="auto"/>
        <w:ind w:left="1418"/>
      </w:pPr>
      <w:r>
        <w:t>Plusieurs</w:t>
      </w:r>
      <w:r w:rsidR="00D12182">
        <w:t xml:space="preserve"> téléphones cellulaires.</w:t>
      </w:r>
    </w:p>
    <w:p w14:paraId="5C698D7C" w14:textId="01642223" w:rsidR="00D12182" w:rsidRDefault="00D12182" w:rsidP="00D12182">
      <w:pPr>
        <w:pStyle w:val="Paragraphe"/>
        <w:numPr>
          <w:ilvl w:val="0"/>
          <w:numId w:val="9"/>
        </w:numPr>
        <w:spacing w:line="240" w:lineRule="auto"/>
        <w:ind w:left="1418"/>
      </w:pPr>
      <w:r>
        <w:t>Les clés du véhicule Honda Civic de Simon.</w:t>
      </w:r>
    </w:p>
    <w:p w14:paraId="797E3F26" w14:textId="36CF9BAA" w:rsidR="00C63835" w:rsidRDefault="00C63835" w:rsidP="00D12182">
      <w:pPr>
        <w:pStyle w:val="Paragraphe"/>
        <w:numPr>
          <w:ilvl w:val="0"/>
          <w:numId w:val="9"/>
        </w:numPr>
        <w:spacing w:line="240" w:lineRule="auto"/>
        <w:ind w:left="1418"/>
      </w:pPr>
      <w:r>
        <w:t>Des documents au nom de Kensey Simon provenant de la Société de l’assurance automobile du Québec et de l’Agence du revenu du Canada.</w:t>
      </w:r>
    </w:p>
    <w:p w14:paraId="55939290" w14:textId="76A301AD" w:rsidR="00DE09F5" w:rsidRDefault="00DE09F5" w:rsidP="00D12182">
      <w:pPr>
        <w:pStyle w:val="Paragraphe"/>
        <w:numPr>
          <w:ilvl w:val="0"/>
          <w:numId w:val="9"/>
        </w:numPr>
        <w:spacing w:line="240" w:lineRule="auto"/>
        <w:ind w:left="1418"/>
      </w:pPr>
      <w:r>
        <w:t>Un chargeur d’arme à feu vide entre le matelas et le sommier dans la chambre à coucher.</w:t>
      </w:r>
    </w:p>
    <w:p w14:paraId="22AFF841" w14:textId="6727A67F" w:rsidR="00AC253C" w:rsidRDefault="00AC253C" w:rsidP="00AC253C">
      <w:pPr>
        <w:pStyle w:val="Paragraphe"/>
        <w:spacing w:line="240" w:lineRule="auto"/>
      </w:pPr>
      <w:r>
        <w:t>Le véhicule Honda Civic de Kensey Simon était stationné en face de l’adresse. Il a été fouillé, conformément à une autorisation judiciaire.</w:t>
      </w:r>
      <w:r w:rsidR="00DE09F5">
        <w:t xml:space="preserve"> Dans la console centrale du véhicule, les policiers ont trouvé une munition d’arme à feu de marque Hornady de calibre 10 mm.</w:t>
      </w:r>
    </w:p>
    <w:p w14:paraId="17180B95" w14:textId="66550194" w:rsidR="00AC253C" w:rsidRDefault="00AC253C" w:rsidP="007E4FEE">
      <w:pPr>
        <w:pStyle w:val="Paragraphe"/>
        <w:spacing w:line="240" w:lineRule="auto"/>
      </w:pPr>
      <w:r>
        <w:t>Durant la période couverte par l’enquête, le bail et le compte d’Hydro-Québec de l’app. 5 du 5880</w:t>
      </w:r>
      <w:r w:rsidR="0008145F">
        <w:t xml:space="preserve">, </w:t>
      </w:r>
      <w:r>
        <w:t xml:space="preserve">rue Chambord étaient au nom de Cupidon. </w:t>
      </w:r>
    </w:p>
    <w:p w14:paraId="15ADAFCD" w14:textId="640B6F96" w:rsidR="00D15321" w:rsidRPr="00C24C9C" w:rsidRDefault="008C0475" w:rsidP="00D15321">
      <w:pPr>
        <w:pStyle w:val="Titre1"/>
        <w:rPr>
          <w:sz w:val="24"/>
          <w:szCs w:val="24"/>
        </w:rPr>
      </w:pPr>
      <w:bookmarkStart w:id="3" w:name="_Toc113987353"/>
      <w:r>
        <w:rPr>
          <w:sz w:val="24"/>
          <w:szCs w:val="24"/>
        </w:rPr>
        <w:t>2</w:t>
      </w:r>
      <w:r w:rsidR="00D15321" w:rsidRPr="00C24C9C">
        <w:rPr>
          <w:sz w:val="24"/>
          <w:szCs w:val="24"/>
        </w:rPr>
        <w:t xml:space="preserve">- </w:t>
      </w:r>
      <w:bookmarkEnd w:id="3"/>
      <w:r>
        <w:rPr>
          <w:sz w:val="24"/>
          <w:szCs w:val="24"/>
          <w:u w:val="single"/>
        </w:rPr>
        <w:t>La valeur des stupéfiants saisis</w:t>
      </w:r>
    </w:p>
    <w:p w14:paraId="68E2BBC0" w14:textId="17201469" w:rsidR="008C49AE" w:rsidRDefault="0066380A" w:rsidP="007E4FEE">
      <w:pPr>
        <w:pStyle w:val="Paragraphe"/>
        <w:spacing w:line="240" w:lineRule="auto"/>
      </w:pPr>
      <w:r>
        <w:t>La Couronne dépose un rapport d’expertise du SD Francis Derome qui porte sur la valeur des stupéfiants saisis</w:t>
      </w:r>
      <w:r w:rsidR="006A7F81">
        <w:t xml:space="preserve"> ainsi que sur la division des substances en vrac pour la distribution en doses individuelles</w:t>
      </w:r>
      <w:r>
        <w:rPr>
          <w:rStyle w:val="Appelnotedebasdep"/>
        </w:rPr>
        <w:footnoteReference w:id="3"/>
      </w:r>
      <w:r w:rsidR="00C22E17">
        <w:t>.</w:t>
      </w:r>
    </w:p>
    <w:p w14:paraId="71B5779C" w14:textId="7F89214F" w:rsidR="00D03AC5" w:rsidRDefault="00D03AC5" w:rsidP="00D03AC5">
      <w:pPr>
        <w:pStyle w:val="Titre2"/>
        <w:numPr>
          <w:ilvl w:val="0"/>
          <w:numId w:val="4"/>
        </w:numPr>
        <w:spacing w:before="120" w:after="120"/>
        <w:rPr>
          <w:i w:val="0"/>
          <w:u w:val="single"/>
        </w:rPr>
      </w:pPr>
      <w:r>
        <w:rPr>
          <w:i w:val="0"/>
          <w:u w:val="single"/>
        </w:rPr>
        <w:t>Le crack saisi</w:t>
      </w:r>
    </w:p>
    <w:p w14:paraId="405ABD7B" w14:textId="5EF2C6C4" w:rsidR="00D03AC5" w:rsidRDefault="006A7F81" w:rsidP="007E4FEE">
      <w:pPr>
        <w:pStyle w:val="Paragraphe"/>
        <w:spacing w:line="240" w:lineRule="auto"/>
      </w:pPr>
      <w:r>
        <w:t xml:space="preserve">Il </w:t>
      </w:r>
      <w:r w:rsidRPr="00C4351C">
        <w:t>explique que la cocaïne sous forme de crack peut être vendue en roches d’un poids de 0.15 g. Chaque roche est alors vendue au prix de 20</w:t>
      </w:r>
      <w:r w:rsidR="00646621" w:rsidRPr="00C4351C">
        <w:t> </w:t>
      </w:r>
      <w:r w:rsidRPr="00C4351C">
        <w:t>$. C</w:t>
      </w:r>
      <w:r w:rsidR="00D03AC5" w:rsidRPr="00C4351C">
        <w:t>’était le cas pour le crack identifié comme « item 017 » (18</w:t>
      </w:r>
      <w:r w:rsidR="00443382" w:rsidRPr="00C4351C">
        <w:t>.</w:t>
      </w:r>
      <w:r w:rsidR="00D03AC5" w:rsidRPr="00C4351C">
        <w:t>7 g), « item 012 » (7</w:t>
      </w:r>
      <w:r w:rsidR="00443382" w:rsidRPr="00C4351C">
        <w:t>.</w:t>
      </w:r>
      <w:r w:rsidR="00D03AC5" w:rsidRPr="00C4351C">
        <w:t>18 g), « item 014 » (3</w:t>
      </w:r>
      <w:r w:rsidR="00443382" w:rsidRPr="00C4351C">
        <w:t>.</w:t>
      </w:r>
      <w:r w:rsidR="00D03AC5" w:rsidRPr="00C4351C">
        <w:t>12 g), « item 018 » (25</w:t>
      </w:r>
      <w:r w:rsidR="00443382" w:rsidRPr="00C4351C">
        <w:t>.</w:t>
      </w:r>
      <w:r w:rsidR="00D03AC5" w:rsidRPr="00C4351C">
        <w:t xml:space="preserve">75 g) et « item </w:t>
      </w:r>
      <w:r w:rsidR="00C4351C" w:rsidRPr="00C4351C">
        <w:t>0</w:t>
      </w:r>
      <w:r w:rsidR="00D03AC5" w:rsidRPr="00C4351C">
        <w:t>2</w:t>
      </w:r>
      <w:r w:rsidR="00C4351C" w:rsidRPr="00C4351C">
        <w:t>3</w:t>
      </w:r>
      <w:r w:rsidR="00D03AC5" w:rsidRPr="00C4351C">
        <w:t> »</w:t>
      </w:r>
      <w:r w:rsidR="00D03AC5">
        <w:t xml:space="preserve"> (0</w:t>
      </w:r>
      <w:r w:rsidR="00443382">
        <w:t>.</w:t>
      </w:r>
      <w:r w:rsidR="00D03AC5">
        <w:t>36 g) en l’espèce</w:t>
      </w:r>
      <w:r w:rsidR="00F833E8">
        <w:t>.</w:t>
      </w:r>
    </w:p>
    <w:p w14:paraId="04C51F09" w14:textId="59612632" w:rsidR="00F833E8" w:rsidRDefault="00F833E8" w:rsidP="007E4FEE">
      <w:pPr>
        <w:pStyle w:val="Paragraphe"/>
        <w:spacing w:line="240" w:lineRule="auto"/>
      </w:pPr>
      <w:r>
        <w:t>Quant au crack saisi da</w:t>
      </w:r>
      <w:r w:rsidRPr="00C4351C">
        <w:t>ns l’« item 007 » (1</w:t>
      </w:r>
      <w:r w:rsidR="00646621" w:rsidRPr="00C4351C">
        <w:t>.</w:t>
      </w:r>
      <w:r w:rsidRPr="00C4351C">
        <w:t>40 g), il était réparti en quatre plus grosses roches d’un poids de 0.35 g, vendues</w:t>
      </w:r>
      <w:r>
        <w:t xml:space="preserve"> au prix approximatif de 50</w:t>
      </w:r>
      <w:r w:rsidR="00646621">
        <w:t> </w:t>
      </w:r>
      <w:r>
        <w:t>$ cha</w:t>
      </w:r>
      <w:r w:rsidR="00795660">
        <w:t>cun</w:t>
      </w:r>
      <w:r>
        <w:t>e.</w:t>
      </w:r>
    </w:p>
    <w:p w14:paraId="25CFF408" w14:textId="508829BB" w:rsidR="00D03AC5" w:rsidRDefault="00F833E8" w:rsidP="00F833E8">
      <w:pPr>
        <w:pStyle w:val="Paragraphe"/>
        <w:spacing w:line="240" w:lineRule="auto"/>
      </w:pPr>
      <w:r>
        <w:t xml:space="preserve">Ainsi, au total la police a saisi </w:t>
      </w:r>
      <w:r w:rsidRPr="00F833E8">
        <w:rPr>
          <w:b/>
          <w:bCs/>
        </w:rPr>
        <w:t>368 roches de crack ayant une valeur totale de rue de 7480</w:t>
      </w:r>
      <w:r w:rsidR="00646621">
        <w:rPr>
          <w:b/>
          <w:bCs/>
        </w:rPr>
        <w:t> </w:t>
      </w:r>
      <w:r w:rsidRPr="00F833E8">
        <w:rPr>
          <w:b/>
          <w:bCs/>
        </w:rPr>
        <w:t>$</w:t>
      </w:r>
      <w:r>
        <w:rPr>
          <w:rStyle w:val="Appelnotedebasdep"/>
        </w:rPr>
        <w:footnoteReference w:id="4"/>
      </w:r>
      <w:r>
        <w:t>.</w:t>
      </w:r>
    </w:p>
    <w:p w14:paraId="096A46AF" w14:textId="77777777" w:rsidR="00415D17" w:rsidRDefault="00415D17" w:rsidP="00415D17">
      <w:pPr>
        <w:pStyle w:val="Titre2"/>
        <w:numPr>
          <w:ilvl w:val="0"/>
          <w:numId w:val="4"/>
        </w:numPr>
        <w:spacing w:before="120" w:after="120"/>
        <w:rPr>
          <w:i w:val="0"/>
          <w:u w:val="single"/>
        </w:rPr>
      </w:pPr>
      <w:r>
        <w:rPr>
          <w:i w:val="0"/>
          <w:u w:val="single"/>
        </w:rPr>
        <w:t>La cocaïne en poudre saisie</w:t>
      </w:r>
    </w:p>
    <w:p w14:paraId="2467D0B8" w14:textId="2E97D82D" w:rsidR="00C22E17" w:rsidRDefault="00415D17" w:rsidP="007E4FEE">
      <w:pPr>
        <w:pStyle w:val="Paragraphe"/>
        <w:spacing w:line="240" w:lineRule="auto"/>
      </w:pPr>
      <w:r>
        <w:t xml:space="preserve">La cocaïne en poudre saisie dans l’« item 007 » (3.87 g) équivalait à </w:t>
      </w:r>
      <w:r w:rsidRPr="00415D17">
        <w:rPr>
          <w:b/>
          <w:bCs/>
        </w:rPr>
        <w:t>9 sachets d’un demi-gramme</w:t>
      </w:r>
      <w:r>
        <w:t>, chacun vendu au prix de 50</w:t>
      </w:r>
      <w:r w:rsidR="00646621">
        <w:t> </w:t>
      </w:r>
      <w:r>
        <w:t>$ pour un total de 450</w:t>
      </w:r>
      <w:r w:rsidR="00646621">
        <w:t> </w:t>
      </w:r>
      <w:r>
        <w:t>$.</w:t>
      </w:r>
    </w:p>
    <w:p w14:paraId="4D2656C7" w14:textId="115B7CD9" w:rsidR="00415D17" w:rsidRDefault="00415D17" w:rsidP="00415D17">
      <w:pPr>
        <w:pStyle w:val="Titre2"/>
        <w:numPr>
          <w:ilvl w:val="0"/>
          <w:numId w:val="4"/>
        </w:numPr>
        <w:spacing w:before="120" w:after="120"/>
        <w:rPr>
          <w:i w:val="0"/>
          <w:u w:val="single"/>
        </w:rPr>
      </w:pPr>
      <w:r>
        <w:rPr>
          <w:i w:val="0"/>
          <w:u w:val="single"/>
        </w:rPr>
        <w:t>Le speed saisi</w:t>
      </w:r>
    </w:p>
    <w:p w14:paraId="07F8DFC1" w14:textId="313395F5" w:rsidR="00415D17" w:rsidRDefault="00415D17" w:rsidP="007E4FEE">
      <w:pPr>
        <w:pStyle w:val="Paragraphe"/>
        <w:spacing w:line="240" w:lineRule="auto"/>
      </w:pPr>
      <w:r>
        <w:t>Les comprimés de méthamphétamine se vendent à 5</w:t>
      </w:r>
      <w:r w:rsidR="00646621">
        <w:t> </w:t>
      </w:r>
      <w:r>
        <w:t>$ l’unité. Les 94 comprimés saisis avaient donc une valeur totale de 470</w:t>
      </w:r>
      <w:r w:rsidR="00646621">
        <w:t> </w:t>
      </w:r>
      <w:r>
        <w:t>$.</w:t>
      </w:r>
    </w:p>
    <w:p w14:paraId="58F27C20" w14:textId="36038441" w:rsidR="00D9424D" w:rsidRDefault="00D9424D" w:rsidP="00D9424D">
      <w:pPr>
        <w:pStyle w:val="Titre2"/>
        <w:numPr>
          <w:ilvl w:val="0"/>
          <w:numId w:val="4"/>
        </w:numPr>
        <w:spacing w:before="120" w:after="120"/>
        <w:rPr>
          <w:i w:val="0"/>
          <w:u w:val="single"/>
        </w:rPr>
      </w:pPr>
      <w:r>
        <w:rPr>
          <w:i w:val="0"/>
          <w:u w:val="single"/>
        </w:rPr>
        <w:t>Le Xanax saisi</w:t>
      </w:r>
    </w:p>
    <w:p w14:paraId="3E46D3B6" w14:textId="12B5B843" w:rsidR="008C49AE" w:rsidRDefault="00D9424D" w:rsidP="007E4FEE">
      <w:pPr>
        <w:pStyle w:val="Paragraphe"/>
        <w:spacing w:line="240" w:lineRule="auto"/>
      </w:pPr>
      <w:r>
        <w:t>Les comprimés de Clonazépam se vendent à un prix moyen de 10</w:t>
      </w:r>
      <w:r w:rsidR="00646621">
        <w:t> </w:t>
      </w:r>
      <w:r>
        <w:t>$ l’unité. Les 412 comprimés saisis avaient donc une valeur totale de 4120</w:t>
      </w:r>
      <w:r w:rsidR="00646621">
        <w:t> </w:t>
      </w:r>
      <w:r>
        <w:t>$.</w:t>
      </w:r>
    </w:p>
    <w:p w14:paraId="5687CF21" w14:textId="17F489E4" w:rsidR="00D15321" w:rsidRPr="00C24C9C" w:rsidRDefault="008C0475" w:rsidP="00D15321">
      <w:pPr>
        <w:pStyle w:val="Titre1"/>
        <w:rPr>
          <w:sz w:val="24"/>
          <w:szCs w:val="24"/>
        </w:rPr>
      </w:pPr>
      <w:bookmarkStart w:id="4" w:name="_Toc113987354"/>
      <w:r>
        <w:rPr>
          <w:sz w:val="24"/>
          <w:szCs w:val="24"/>
        </w:rPr>
        <w:t>3</w:t>
      </w:r>
      <w:r w:rsidR="00D15321" w:rsidRPr="00C24C9C">
        <w:rPr>
          <w:sz w:val="24"/>
          <w:szCs w:val="24"/>
        </w:rPr>
        <w:t xml:space="preserve">- </w:t>
      </w:r>
      <w:r w:rsidR="00D15321">
        <w:rPr>
          <w:sz w:val="24"/>
          <w:szCs w:val="24"/>
          <w:u w:val="single"/>
        </w:rPr>
        <w:t>L</w:t>
      </w:r>
      <w:bookmarkEnd w:id="4"/>
      <w:r>
        <w:rPr>
          <w:sz w:val="24"/>
          <w:szCs w:val="24"/>
          <w:u w:val="single"/>
        </w:rPr>
        <w:t>a situation personnelle du délinquant</w:t>
      </w:r>
    </w:p>
    <w:p w14:paraId="7CE3633A" w14:textId="77777777" w:rsidR="00BB0235" w:rsidRDefault="00BB0235" w:rsidP="00CB3694">
      <w:pPr>
        <w:pStyle w:val="Paragraphe"/>
        <w:spacing w:line="240" w:lineRule="auto"/>
      </w:pPr>
      <w:r>
        <w:t>Monsieur Simon a 26 ans. Il avait 24 ans au moment de l’infraction.</w:t>
      </w:r>
    </w:p>
    <w:p w14:paraId="0C1F87A9" w14:textId="37DE3A23" w:rsidR="00CB3694" w:rsidRDefault="00BB0235" w:rsidP="00CB3694">
      <w:pPr>
        <w:pStyle w:val="Paragraphe"/>
        <w:spacing w:line="240" w:lineRule="auto"/>
      </w:pPr>
      <w:r>
        <w:t>N</w:t>
      </w:r>
      <w:r w:rsidR="00452317">
        <w:t xml:space="preserve">’ayant présenté aucune preuve, le Tribunal détient </w:t>
      </w:r>
      <w:r w:rsidR="00452317" w:rsidRPr="00C4351C">
        <w:t>peu ou pas d’information</w:t>
      </w:r>
      <w:r w:rsidR="00C4351C" w:rsidRPr="00C4351C">
        <w:t>s</w:t>
      </w:r>
      <w:r w:rsidR="008D4F67" w:rsidRPr="00C4351C">
        <w:t xml:space="preserve"> </w:t>
      </w:r>
      <w:r w:rsidR="00452317" w:rsidRPr="00C4351C">
        <w:t>le concernant. Notamment, il n’y a aucune preuve quant à sa situation personnelle</w:t>
      </w:r>
      <w:r w:rsidR="00452317">
        <w:t xml:space="preserve"> ou familiale. On ignore ses buts, ses ambitions, ses plans pour l’avenir, son passé ou son historique de travail ou d’études.</w:t>
      </w:r>
    </w:p>
    <w:p w14:paraId="06D275E9" w14:textId="53022DA8" w:rsidR="006B3416" w:rsidRDefault="00452317" w:rsidP="00CB3694">
      <w:pPr>
        <w:pStyle w:val="Paragraphe"/>
        <w:spacing w:line="240" w:lineRule="auto"/>
      </w:pPr>
      <w:r>
        <w:t>En particulier, il n’y a aucun commencement de preuve pouvant suggérer un potentiel quelconque de réhabilitation.</w:t>
      </w:r>
    </w:p>
    <w:p w14:paraId="159E60D9" w14:textId="64358BBA" w:rsidR="006B3416" w:rsidRDefault="00BB0235" w:rsidP="00CB3694">
      <w:pPr>
        <w:pStyle w:val="Paragraphe"/>
        <w:spacing w:line="240" w:lineRule="auto"/>
      </w:pPr>
      <w:r>
        <w:t>Par ailleurs, si</w:t>
      </w:r>
      <w:r w:rsidR="006B3416">
        <w:t xml:space="preserve"> le passé est garant du futur, sa feuille de route démontre de manière éloquente </w:t>
      </w:r>
      <w:r w:rsidR="006B3416" w:rsidRPr="00C4351C">
        <w:t>le contraire</w:t>
      </w:r>
      <w:r w:rsidR="00C4351C">
        <w:t>.</w:t>
      </w:r>
    </w:p>
    <w:p w14:paraId="638929E0" w14:textId="7605C2CD" w:rsidR="00452317" w:rsidRDefault="00CB3694" w:rsidP="00CB3694">
      <w:pPr>
        <w:pStyle w:val="Paragraphe"/>
        <w:spacing w:line="240" w:lineRule="auto"/>
      </w:pPr>
      <w:r>
        <w:t xml:space="preserve">Il n’y a aucune preuve </w:t>
      </w:r>
      <w:r w:rsidR="005153D2">
        <w:t>d’un travail légitime et rémunéré avant son arrestation</w:t>
      </w:r>
      <w:r w:rsidR="005153D2">
        <w:rPr>
          <w:rStyle w:val="Appelnotedebasdep"/>
        </w:rPr>
        <w:footnoteReference w:id="5"/>
      </w:r>
      <w:r w:rsidR="005153D2">
        <w:t>.</w:t>
      </w:r>
      <w:r w:rsidR="001108A8">
        <w:t xml:space="preserve"> </w:t>
      </w:r>
      <w:r w:rsidR="00BB0235">
        <w:t>D</w:t>
      </w:r>
      <w:r w:rsidR="001108A8">
        <w:t>ans son « Relevé 1 » fédéral pour l’année la plus récente (qui a été saisi sur les lieux lors de la perquisition</w:t>
      </w:r>
      <w:r w:rsidR="001108A8">
        <w:rPr>
          <w:rStyle w:val="Appelnotedebasdep"/>
        </w:rPr>
        <w:footnoteReference w:id="6"/>
      </w:r>
      <w:r w:rsidR="001108A8">
        <w:t>), hormis un montant de 5500</w:t>
      </w:r>
      <w:r w:rsidR="00646621">
        <w:t> </w:t>
      </w:r>
      <w:r w:rsidR="001108A8">
        <w:t xml:space="preserve">$ </w:t>
      </w:r>
      <w:r w:rsidR="000B573F">
        <w:t>« autre », son seul revenu déclaré était de 14</w:t>
      </w:r>
      <w:r w:rsidR="00646621">
        <w:t> </w:t>
      </w:r>
      <w:r w:rsidR="000B573F">
        <w:t>000</w:t>
      </w:r>
      <w:r w:rsidR="00646621">
        <w:t> </w:t>
      </w:r>
      <w:r w:rsidR="000B573F">
        <w:t>$, ce qui équivaut à la prestation maximale</w:t>
      </w:r>
      <w:r w:rsidR="000B573F">
        <w:rPr>
          <w:rStyle w:val="Appelnotedebasdep"/>
        </w:rPr>
        <w:footnoteReference w:id="7"/>
      </w:r>
      <w:r w:rsidR="000B573F">
        <w:t xml:space="preserve"> annuelle de la PCU</w:t>
      </w:r>
      <w:r w:rsidR="000B573F">
        <w:rPr>
          <w:rStyle w:val="Appelnotedebasdep"/>
        </w:rPr>
        <w:footnoteReference w:id="8"/>
      </w:r>
      <w:r w:rsidR="000B573F">
        <w:t xml:space="preserve"> fédérale.</w:t>
      </w:r>
    </w:p>
    <w:p w14:paraId="4C04744D" w14:textId="61A10D6E" w:rsidR="008034C5" w:rsidRDefault="008034C5" w:rsidP="008034C5">
      <w:pPr>
        <w:pStyle w:val="Titre2"/>
        <w:numPr>
          <w:ilvl w:val="0"/>
          <w:numId w:val="13"/>
        </w:numPr>
        <w:spacing w:before="120" w:after="120"/>
        <w:rPr>
          <w:i w:val="0"/>
          <w:u w:val="single"/>
        </w:rPr>
      </w:pPr>
      <w:r>
        <w:rPr>
          <w:i w:val="0"/>
          <w:u w:val="single"/>
        </w:rPr>
        <w:t>Le casier judiciaire du délinquant</w:t>
      </w:r>
    </w:p>
    <w:p w14:paraId="2A80C3ED" w14:textId="305E0B04" w:rsidR="00CB3694" w:rsidRDefault="00BB0235" w:rsidP="00BB0235">
      <w:pPr>
        <w:pStyle w:val="Paragraphe"/>
        <w:spacing w:line="240" w:lineRule="auto"/>
      </w:pPr>
      <w:r>
        <w:t xml:space="preserve">Monsieur Simon </w:t>
      </w:r>
      <w:r w:rsidR="00CB3694">
        <w:t xml:space="preserve">n’en est pas à ses premiers démêlés avec le système judiciaire. </w:t>
      </w:r>
      <w:r>
        <w:t>Il a un casier judiciaire très chargé qui s’échelonne de 2013 à 2022. Ses condamnations sont nombreuses</w:t>
      </w:r>
      <w:r w:rsidR="008279A6">
        <w:t>, sérieuses</w:t>
      </w:r>
      <w:r>
        <w:t xml:space="preserve"> et variées. Elles méritent d’être reproduites intégralement :</w:t>
      </w:r>
    </w:p>
    <w:p w14:paraId="0349B0EF" w14:textId="77777777" w:rsidR="009B4C6D" w:rsidRDefault="009B4C6D" w:rsidP="009B4C6D">
      <w:pPr>
        <w:pStyle w:val="Paragraphe"/>
        <w:numPr>
          <w:ilvl w:val="0"/>
          <w:numId w:val="0"/>
        </w:numPr>
        <w:spacing w:line="240" w:lineRule="auto"/>
      </w:pPr>
    </w:p>
    <w:tbl>
      <w:tblPr>
        <w:tblStyle w:val="Grilledutableau"/>
        <w:tblW w:w="0" w:type="auto"/>
        <w:jc w:val="center"/>
        <w:tblLook w:val="04A0" w:firstRow="1" w:lastRow="0" w:firstColumn="1" w:lastColumn="0" w:noHBand="0" w:noVBand="1"/>
      </w:tblPr>
      <w:tblGrid>
        <w:gridCol w:w="1696"/>
        <w:gridCol w:w="1560"/>
        <w:gridCol w:w="3758"/>
        <w:gridCol w:w="2338"/>
      </w:tblGrid>
      <w:tr w:rsidR="009B4C6D" w:rsidRPr="009B4C6D" w14:paraId="6CD663C3" w14:textId="77777777" w:rsidTr="009B4C6D">
        <w:trPr>
          <w:jc w:val="center"/>
        </w:trPr>
        <w:tc>
          <w:tcPr>
            <w:tcW w:w="1696" w:type="dxa"/>
            <w:shd w:val="clear" w:color="auto" w:fill="D9D9D9" w:themeFill="background1" w:themeFillShade="D9"/>
          </w:tcPr>
          <w:p w14:paraId="5DD34CB0" w14:textId="77777777" w:rsidR="009B4C6D" w:rsidRPr="009B4C6D" w:rsidRDefault="009B4C6D" w:rsidP="00CD6752">
            <w:pPr>
              <w:pStyle w:val="Paragraphe"/>
              <w:numPr>
                <w:ilvl w:val="0"/>
                <w:numId w:val="0"/>
              </w:numPr>
              <w:spacing w:before="0" w:line="240" w:lineRule="auto"/>
              <w:contextualSpacing/>
              <w:jc w:val="left"/>
              <w:rPr>
                <w:b/>
                <w:bCs/>
                <w:sz w:val="18"/>
                <w:szCs w:val="18"/>
              </w:rPr>
            </w:pPr>
            <w:r w:rsidRPr="009B4C6D">
              <w:rPr>
                <w:b/>
                <w:bCs/>
                <w:sz w:val="18"/>
                <w:szCs w:val="18"/>
              </w:rPr>
              <w:t>Date de la commission de l’infraction</w:t>
            </w:r>
          </w:p>
          <w:p w14:paraId="0D7FAEA1" w14:textId="24E0C431" w:rsidR="009B4C6D" w:rsidRPr="009B4C6D" w:rsidRDefault="009B4C6D" w:rsidP="00CD6752">
            <w:pPr>
              <w:pStyle w:val="Paragraphe"/>
              <w:numPr>
                <w:ilvl w:val="0"/>
                <w:numId w:val="0"/>
              </w:numPr>
              <w:spacing w:before="0" w:line="240" w:lineRule="auto"/>
              <w:contextualSpacing/>
              <w:jc w:val="left"/>
              <w:rPr>
                <w:b/>
                <w:bCs/>
                <w:sz w:val="18"/>
                <w:szCs w:val="18"/>
              </w:rPr>
            </w:pPr>
          </w:p>
        </w:tc>
        <w:tc>
          <w:tcPr>
            <w:tcW w:w="1560" w:type="dxa"/>
            <w:shd w:val="clear" w:color="auto" w:fill="D9D9D9" w:themeFill="background1" w:themeFillShade="D9"/>
          </w:tcPr>
          <w:p w14:paraId="765AFD86" w14:textId="10F3B44C" w:rsidR="009B4C6D" w:rsidRPr="009B4C6D" w:rsidRDefault="009B4C6D" w:rsidP="00CD6752">
            <w:pPr>
              <w:pStyle w:val="Paragraphe"/>
              <w:numPr>
                <w:ilvl w:val="0"/>
                <w:numId w:val="0"/>
              </w:numPr>
              <w:spacing w:before="0" w:line="240" w:lineRule="auto"/>
              <w:contextualSpacing/>
              <w:jc w:val="left"/>
              <w:rPr>
                <w:b/>
                <w:bCs/>
                <w:sz w:val="18"/>
                <w:szCs w:val="18"/>
              </w:rPr>
            </w:pPr>
            <w:r w:rsidRPr="009B4C6D">
              <w:rPr>
                <w:b/>
                <w:bCs/>
                <w:sz w:val="18"/>
                <w:szCs w:val="18"/>
              </w:rPr>
              <w:t>Date de la condamnation</w:t>
            </w:r>
          </w:p>
        </w:tc>
        <w:tc>
          <w:tcPr>
            <w:tcW w:w="3758" w:type="dxa"/>
            <w:shd w:val="clear" w:color="auto" w:fill="D9D9D9" w:themeFill="background1" w:themeFillShade="D9"/>
          </w:tcPr>
          <w:p w14:paraId="1BBCEFDF" w14:textId="0AF0EB06" w:rsidR="009B4C6D" w:rsidRPr="009B4C6D" w:rsidRDefault="009B4C6D" w:rsidP="00CD6752">
            <w:pPr>
              <w:pStyle w:val="Paragraphe"/>
              <w:numPr>
                <w:ilvl w:val="0"/>
                <w:numId w:val="0"/>
              </w:numPr>
              <w:spacing w:before="0" w:line="240" w:lineRule="auto"/>
              <w:contextualSpacing/>
              <w:jc w:val="left"/>
              <w:rPr>
                <w:b/>
                <w:bCs/>
                <w:sz w:val="18"/>
                <w:szCs w:val="18"/>
              </w:rPr>
            </w:pPr>
            <w:r w:rsidRPr="009B4C6D">
              <w:rPr>
                <w:b/>
                <w:bCs/>
                <w:sz w:val="18"/>
                <w:szCs w:val="18"/>
              </w:rPr>
              <w:t>Infractions</w:t>
            </w:r>
          </w:p>
        </w:tc>
        <w:tc>
          <w:tcPr>
            <w:tcW w:w="2338" w:type="dxa"/>
            <w:shd w:val="clear" w:color="auto" w:fill="D9D9D9" w:themeFill="background1" w:themeFillShade="D9"/>
          </w:tcPr>
          <w:p w14:paraId="3A4B10F5" w14:textId="4F5BD5E5" w:rsidR="009B4C6D" w:rsidRPr="009B4C6D" w:rsidRDefault="009B4C6D" w:rsidP="00CD6752">
            <w:pPr>
              <w:pStyle w:val="Paragraphe"/>
              <w:numPr>
                <w:ilvl w:val="0"/>
                <w:numId w:val="0"/>
              </w:numPr>
              <w:spacing w:before="0" w:line="240" w:lineRule="auto"/>
              <w:contextualSpacing/>
              <w:jc w:val="left"/>
              <w:rPr>
                <w:b/>
                <w:bCs/>
                <w:sz w:val="18"/>
                <w:szCs w:val="18"/>
              </w:rPr>
            </w:pPr>
            <w:r w:rsidRPr="009B4C6D">
              <w:rPr>
                <w:b/>
                <w:bCs/>
                <w:sz w:val="18"/>
                <w:szCs w:val="18"/>
              </w:rPr>
              <w:t>Peine imposée</w:t>
            </w:r>
          </w:p>
        </w:tc>
      </w:tr>
      <w:tr w:rsidR="00D02481" w:rsidRPr="009B4C6D" w14:paraId="1ECEFD37" w14:textId="77777777" w:rsidTr="009B4C6D">
        <w:trPr>
          <w:jc w:val="center"/>
        </w:trPr>
        <w:tc>
          <w:tcPr>
            <w:tcW w:w="1696" w:type="dxa"/>
          </w:tcPr>
          <w:p w14:paraId="40FD088F" w14:textId="77777777" w:rsidR="00D02481" w:rsidRDefault="00D02481" w:rsidP="00D02481">
            <w:pPr>
              <w:pStyle w:val="Paragraphe"/>
              <w:numPr>
                <w:ilvl w:val="0"/>
                <w:numId w:val="0"/>
              </w:numPr>
              <w:spacing w:before="0" w:line="240" w:lineRule="auto"/>
              <w:contextualSpacing/>
              <w:jc w:val="left"/>
              <w:rPr>
                <w:sz w:val="18"/>
                <w:szCs w:val="18"/>
              </w:rPr>
            </w:pPr>
            <w:r>
              <w:rPr>
                <w:sz w:val="18"/>
                <w:szCs w:val="18"/>
              </w:rPr>
              <w:t>2012-09-23</w:t>
            </w:r>
          </w:p>
          <w:p w14:paraId="5923FC6B" w14:textId="77777777" w:rsidR="00D02481" w:rsidRDefault="00D02481" w:rsidP="00D02481">
            <w:pPr>
              <w:pStyle w:val="Paragraphe"/>
              <w:numPr>
                <w:ilvl w:val="0"/>
                <w:numId w:val="0"/>
              </w:numPr>
              <w:spacing w:before="0" w:line="240" w:lineRule="auto"/>
              <w:contextualSpacing/>
              <w:jc w:val="left"/>
              <w:rPr>
                <w:sz w:val="18"/>
                <w:szCs w:val="18"/>
              </w:rPr>
            </w:pPr>
          </w:p>
          <w:p w14:paraId="51E37DC0" w14:textId="77777777" w:rsidR="00D02481" w:rsidRDefault="00D02481" w:rsidP="00D02481">
            <w:pPr>
              <w:pStyle w:val="Paragraphe"/>
              <w:numPr>
                <w:ilvl w:val="0"/>
                <w:numId w:val="0"/>
              </w:numPr>
              <w:spacing w:before="0" w:line="240" w:lineRule="auto"/>
              <w:contextualSpacing/>
              <w:jc w:val="left"/>
              <w:rPr>
                <w:sz w:val="18"/>
                <w:szCs w:val="18"/>
              </w:rPr>
            </w:pPr>
          </w:p>
          <w:p w14:paraId="2C996E4D" w14:textId="77777777" w:rsidR="00D02481" w:rsidRDefault="00D02481" w:rsidP="00D02481">
            <w:pPr>
              <w:pStyle w:val="Paragraphe"/>
              <w:numPr>
                <w:ilvl w:val="0"/>
                <w:numId w:val="0"/>
              </w:numPr>
              <w:spacing w:before="0" w:line="240" w:lineRule="auto"/>
              <w:contextualSpacing/>
              <w:jc w:val="left"/>
              <w:rPr>
                <w:sz w:val="18"/>
                <w:szCs w:val="18"/>
              </w:rPr>
            </w:pPr>
          </w:p>
          <w:p w14:paraId="6A1783E5" w14:textId="77777777" w:rsidR="00D02481" w:rsidRDefault="00D02481" w:rsidP="00D02481">
            <w:pPr>
              <w:pStyle w:val="Paragraphe"/>
              <w:numPr>
                <w:ilvl w:val="0"/>
                <w:numId w:val="0"/>
              </w:numPr>
              <w:spacing w:before="0" w:line="240" w:lineRule="auto"/>
              <w:contextualSpacing/>
              <w:jc w:val="left"/>
              <w:rPr>
                <w:sz w:val="18"/>
                <w:szCs w:val="18"/>
              </w:rPr>
            </w:pPr>
          </w:p>
          <w:p w14:paraId="621E2ECC" w14:textId="77777777" w:rsidR="00D02481" w:rsidRDefault="00D02481" w:rsidP="00D02481">
            <w:pPr>
              <w:pStyle w:val="Paragraphe"/>
              <w:numPr>
                <w:ilvl w:val="0"/>
                <w:numId w:val="0"/>
              </w:numPr>
              <w:spacing w:before="0" w:line="240" w:lineRule="auto"/>
              <w:contextualSpacing/>
              <w:jc w:val="left"/>
              <w:rPr>
                <w:sz w:val="18"/>
                <w:szCs w:val="18"/>
              </w:rPr>
            </w:pPr>
          </w:p>
          <w:p w14:paraId="74226A05" w14:textId="77777777" w:rsidR="00983123" w:rsidRDefault="00983123" w:rsidP="00D02481">
            <w:pPr>
              <w:pStyle w:val="Paragraphe"/>
              <w:numPr>
                <w:ilvl w:val="0"/>
                <w:numId w:val="0"/>
              </w:numPr>
              <w:spacing w:before="0" w:line="240" w:lineRule="auto"/>
              <w:contextualSpacing/>
              <w:jc w:val="left"/>
              <w:rPr>
                <w:sz w:val="18"/>
                <w:szCs w:val="18"/>
              </w:rPr>
            </w:pPr>
          </w:p>
          <w:p w14:paraId="258EBA41" w14:textId="77777777" w:rsidR="00983123" w:rsidRDefault="00983123" w:rsidP="00D02481">
            <w:pPr>
              <w:pStyle w:val="Paragraphe"/>
              <w:numPr>
                <w:ilvl w:val="0"/>
                <w:numId w:val="0"/>
              </w:numPr>
              <w:spacing w:before="0" w:line="240" w:lineRule="auto"/>
              <w:contextualSpacing/>
              <w:jc w:val="left"/>
              <w:rPr>
                <w:sz w:val="18"/>
                <w:szCs w:val="18"/>
              </w:rPr>
            </w:pPr>
          </w:p>
          <w:p w14:paraId="6C30DA90" w14:textId="77777777" w:rsidR="00983123" w:rsidRDefault="00983123" w:rsidP="00D02481">
            <w:pPr>
              <w:pStyle w:val="Paragraphe"/>
              <w:numPr>
                <w:ilvl w:val="0"/>
                <w:numId w:val="0"/>
              </w:numPr>
              <w:spacing w:before="0" w:line="240" w:lineRule="auto"/>
              <w:contextualSpacing/>
              <w:jc w:val="left"/>
              <w:rPr>
                <w:sz w:val="18"/>
                <w:szCs w:val="18"/>
              </w:rPr>
            </w:pPr>
          </w:p>
          <w:p w14:paraId="421DC5E4" w14:textId="77777777" w:rsidR="00983123" w:rsidRDefault="00983123" w:rsidP="00D02481">
            <w:pPr>
              <w:pStyle w:val="Paragraphe"/>
              <w:numPr>
                <w:ilvl w:val="0"/>
                <w:numId w:val="0"/>
              </w:numPr>
              <w:spacing w:before="0" w:line="240" w:lineRule="auto"/>
              <w:contextualSpacing/>
              <w:jc w:val="left"/>
              <w:rPr>
                <w:sz w:val="18"/>
                <w:szCs w:val="18"/>
              </w:rPr>
            </w:pPr>
          </w:p>
          <w:p w14:paraId="14947E7F" w14:textId="293DC791" w:rsidR="00D02481" w:rsidRDefault="00D02481" w:rsidP="00D02481">
            <w:pPr>
              <w:pStyle w:val="Paragraphe"/>
              <w:numPr>
                <w:ilvl w:val="0"/>
                <w:numId w:val="0"/>
              </w:numPr>
              <w:spacing w:before="0" w:line="240" w:lineRule="auto"/>
              <w:contextualSpacing/>
              <w:jc w:val="left"/>
              <w:rPr>
                <w:sz w:val="18"/>
                <w:szCs w:val="18"/>
              </w:rPr>
            </w:pPr>
            <w:r>
              <w:rPr>
                <w:sz w:val="18"/>
                <w:szCs w:val="18"/>
              </w:rPr>
              <w:t>2012-11-11</w:t>
            </w:r>
          </w:p>
          <w:p w14:paraId="7A5AD7F9" w14:textId="3AF643D1" w:rsidR="00D02481" w:rsidRDefault="00D02481" w:rsidP="00D02481">
            <w:pPr>
              <w:pStyle w:val="Paragraphe"/>
              <w:numPr>
                <w:ilvl w:val="0"/>
                <w:numId w:val="0"/>
              </w:numPr>
              <w:spacing w:before="0" w:line="240" w:lineRule="auto"/>
              <w:contextualSpacing/>
              <w:jc w:val="left"/>
              <w:rPr>
                <w:sz w:val="18"/>
                <w:szCs w:val="18"/>
              </w:rPr>
            </w:pPr>
          </w:p>
        </w:tc>
        <w:tc>
          <w:tcPr>
            <w:tcW w:w="1560" w:type="dxa"/>
          </w:tcPr>
          <w:p w14:paraId="48849A1A" w14:textId="77777777" w:rsidR="00D02481" w:rsidRDefault="00D02481" w:rsidP="00D02481">
            <w:pPr>
              <w:pStyle w:val="Paragraphe"/>
              <w:numPr>
                <w:ilvl w:val="0"/>
                <w:numId w:val="0"/>
              </w:numPr>
              <w:spacing w:before="0" w:line="240" w:lineRule="auto"/>
              <w:contextualSpacing/>
              <w:jc w:val="left"/>
              <w:rPr>
                <w:sz w:val="18"/>
                <w:szCs w:val="18"/>
              </w:rPr>
            </w:pPr>
            <w:r>
              <w:rPr>
                <w:sz w:val="18"/>
                <w:szCs w:val="18"/>
              </w:rPr>
              <w:t>2013-10-03</w:t>
            </w:r>
          </w:p>
          <w:p w14:paraId="0A1C5BEE" w14:textId="2218C272" w:rsidR="00D02481" w:rsidRDefault="00D02481" w:rsidP="00D02481">
            <w:pPr>
              <w:pStyle w:val="Paragraphe"/>
              <w:numPr>
                <w:ilvl w:val="0"/>
                <w:numId w:val="0"/>
              </w:numPr>
              <w:spacing w:before="0" w:line="240" w:lineRule="auto"/>
              <w:contextualSpacing/>
              <w:jc w:val="left"/>
              <w:rPr>
                <w:sz w:val="18"/>
                <w:szCs w:val="18"/>
              </w:rPr>
            </w:pPr>
            <w:r>
              <w:rPr>
                <w:sz w:val="18"/>
                <w:szCs w:val="18"/>
              </w:rPr>
              <w:t>(juv.)</w:t>
            </w:r>
          </w:p>
        </w:tc>
        <w:tc>
          <w:tcPr>
            <w:tcW w:w="3758" w:type="dxa"/>
          </w:tcPr>
          <w:p w14:paraId="5D2BCD41" w14:textId="77777777" w:rsidR="00983123" w:rsidRDefault="00D02481" w:rsidP="00D02481">
            <w:pPr>
              <w:pStyle w:val="Paragraphe"/>
              <w:numPr>
                <w:ilvl w:val="0"/>
                <w:numId w:val="0"/>
              </w:numPr>
              <w:spacing w:before="0" w:line="240" w:lineRule="auto"/>
              <w:contextualSpacing/>
              <w:jc w:val="left"/>
              <w:rPr>
                <w:sz w:val="18"/>
                <w:szCs w:val="18"/>
              </w:rPr>
            </w:pPr>
            <w:r>
              <w:rPr>
                <w:sz w:val="18"/>
                <w:szCs w:val="18"/>
              </w:rPr>
              <w:t>-vol qualifié</w:t>
            </w:r>
          </w:p>
          <w:p w14:paraId="2AE85194" w14:textId="746E2B93" w:rsidR="00D02481" w:rsidRDefault="00D02481" w:rsidP="00D02481">
            <w:pPr>
              <w:pStyle w:val="Paragraphe"/>
              <w:numPr>
                <w:ilvl w:val="0"/>
                <w:numId w:val="0"/>
              </w:numPr>
              <w:spacing w:before="0" w:line="240" w:lineRule="auto"/>
              <w:contextualSpacing/>
              <w:jc w:val="left"/>
              <w:rPr>
                <w:i/>
                <w:iCs/>
                <w:sz w:val="18"/>
                <w:szCs w:val="18"/>
              </w:rPr>
            </w:pPr>
            <w:r>
              <w:rPr>
                <w:sz w:val="18"/>
                <w:szCs w:val="18"/>
              </w:rPr>
              <w:t xml:space="preserve">art. 344(b) </w:t>
            </w:r>
            <w:r>
              <w:rPr>
                <w:i/>
                <w:iCs/>
                <w:sz w:val="18"/>
                <w:szCs w:val="18"/>
              </w:rPr>
              <w:t>C.cr.</w:t>
            </w:r>
          </w:p>
          <w:p w14:paraId="418AA2A2" w14:textId="77777777" w:rsidR="00983123" w:rsidRDefault="00983123" w:rsidP="00D02481">
            <w:pPr>
              <w:pStyle w:val="Paragraphe"/>
              <w:numPr>
                <w:ilvl w:val="0"/>
                <w:numId w:val="0"/>
              </w:numPr>
              <w:spacing w:before="0" w:line="240" w:lineRule="auto"/>
              <w:contextualSpacing/>
              <w:jc w:val="left"/>
              <w:rPr>
                <w:sz w:val="18"/>
                <w:szCs w:val="18"/>
              </w:rPr>
            </w:pPr>
          </w:p>
          <w:p w14:paraId="620EAEFA" w14:textId="77777777" w:rsidR="00983123" w:rsidRDefault="00D02481" w:rsidP="00D02481">
            <w:pPr>
              <w:pStyle w:val="Paragraphe"/>
              <w:numPr>
                <w:ilvl w:val="0"/>
                <w:numId w:val="0"/>
              </w:numPr>
              <w:spacing w:before="0" w:line="240" w:lineRule="auto"/>
              <w:contextualSpacing/>
              <w:jc w:val="left"/>
              <w:rPr>
                <w:sz w:val="18"/>
                <w:szCs w:val="18"/>
              </w:rPr>
            </w:pPr>
            <w:r>
              <w:rPr>
                <w:sz w:val="18"/>
                <w:szCs w:val="18"/>
              </w:rPr>
              <w:t>-agression armée</w:t>
            </w:r>
          </w:p>
          <w:p w14:paraId="2D8E5D27" w14:textId="685B9B6A" w:rsidR="00D02481" w:rsidRDefault="00D02481" w:rsidP="00D02481">
            <w:pPr>
              <w:pStyle w:val="Paragraphe"/>
              <w:numPr>
                <w:ilvl w:val="0"/>
                <w:numId w:val="0"/>
              </w:numPr>
              <w:spacing w:before="0" w:line="240" w:lineRule="auto"/>
              <w:contextualSpacing/>
              <w:jc w:val="left"/>
              <w:rPr>
                <w:i/>
                <w:iCs/>
                <w:sz w:val="18"/>
                <w:szCs w:val="18"/>
              </w:rPr>
            </w:pPr>
            <w:r>
              <w:rPr>
                <w:sz w:val="18"/>
                <w:szCs w:val="18"/>
              </w:rPr>
              <w:t xml:space="preserve">art. 267(a) </w:t>
            </w:r>
            <w:r>
              <w:rPr>
                <w:i/>
                <w:iCs/>
                <w:sz w:val="18"/>
                <w:szCs w:val="18"/>
              </w:rPr>
              <w:t>C.cr.</w:t>
            </w:r>
          </w:p>
          <w:p w14:paraId="1D660F3F" w14:textId="77777777" w:rsidR="00983123" w:rsidRDefault="00983123" w:rsidP="00D02481">
            <w:pPr>
              <w:pStyle w:val="Paragraphe"/>
              <w:numPr>
                <w:ilvl w:val="0"/>
                <w:numId w:val="0"/>
              </w:numPr>
              <w:spacing w:before="0" w:line="240" w:lineRule="auto"/>
              <w:contextualSpacing/>
              <w:jc w:val="left"/>
              <w:rPr>
                <w:sz w:val="18"/>
                <w:szCs w:val="18"/>
              </w:rPr>
            </w:pPr>
          </w:p>
          <w:p w14:paraId="77B3D36C" w14:textId="77777777" w:rsidR="00983123" w:rsidRDefault="00D02481" w:rsidP="00D02481">
            <w:pPr>
              <w:pStyle w:val="Paragraphe"/>
              <w:numPr>
                <w:ilvl w:val="0"/>
                <w:numId w:val="0"/>
              </w:numPr>
              <w:spacing w:before="0" w:line="240" w:lineRule="auto"/>
              <w:contextualSpacing/>
              <w:jc w:val="left"/>
              <w:rPr>
                <w:sz w:val="18"/>
                <w:szCs w:val="18"/>
              </w:rPr>
            </w:pPr>
            <w:r>
              <w:rPr>
                <w:sz w:val="18"/>
                <w:szCs w:val="18"/>
              </w:rPr>
              <w:t>-poss. arme dessein dangereux</w:t>
            </w:r>
          </w:p>
          <w:p w14:paraId="49987876" w14:textId="7783006A" w:rsidR="00D02481" w:rsidRPr="003B09B0" w:rsidRDefault="00D02481" w:rsidP="00D02481">
            <w:pPr>
              <w:pStyle w:val="Paragraphe"/>
              <w:numPr>
                <w:ilvl w:val="0"/>
                <w:numId w:val="0"/>
              </w:numPr>
              <w:spacing w:before="0" w:line="240" w:lineRule="auto"/>
              <w:contextualSpacing/>
              <w:jc w:val="left"/>
              <w:rPr>
                <w:sz w:val="18"/>
                <w:szCs w:val="18"/>
                <w:lang w:val="en-CA"/>
              </w:rPr>
            </w:pPr>
            <w:r w:rsidRPr="003B09B0">
              <w:rPr>
                <w:sz w:val="18"/>
                <w:szCs w:val="18"/>
                <w:lang w:val="en-CA"/>
              </w:rPr>
              <w:t xml:space="preserve">art. 88(2) </w:t>
            </w:r>
            <w:r w:rsidRPr="003B09B0">
              <w:rPr>
                <w:i/>
                <w:iCs/>
                <w:sz w:val="18"/>
                <w:szCs w:val="18"/>
                <w:lang w:val="en-CA"/>
              </w:rPr>
              <w:t>C.cr.</w:t>
            </w:r>
          </w:p>
          <w:p w14:paraId="6035372C" w14:textId="77777777" w:rsidR="00D02481" w:rsidRPr="003B09B0" w:rsidRDefault="00D02481" w:rsidP="00D02481">
            <w:pPr>
              <w:pStyle w:val="Paragraphe"/>
              <w:numPr>
                <w:ilvl w:val="0"/>
                <w:numId w:val="0"/>
              </w:numPr>
              <w:spacing w:before="0" w:line="240" w:lineRule="auto"/>
              <w:contextualSpacing/>
              <w:jc w:val="left"/>
              <w:rPr>
                <w:sz w:val="18"/>
                <w:szCs w:val="18"/>
                <w:lang w:val="en-CA"/>
              </w:rPr>
            </w:pPr>
          </w:p>
          <w:p w14:paraId="30F285FD" w14:textId="77777777" w:rsidR="00D02481" w:rsidRPr="003B09B0" w:rsidRDefault="00D02481" w:rsidP="00D02481">
            <w:pPr>
              <w:pStyle w:val="Paragraphe"/>
              <w:numPr>
                <w:ilvl w:val="0"/>
                <w:numId w:val="0"/>
              </w:numPr>
              <w:spacing w:before="0" w:line="240" w:lineRule="auto"/>
              <w:contextualSpacing/>
              <w:jc w:val="left"/>
              <w:rPr>
                <w:sz w:val="18"/>
                <w:szCs w:val="18"/>
                <w:lang w:val="en-CA"/>
              </w:rPr>
            </w:pPr>
          </w:p>
          <w:p w14:paraId="7CFF5F4C" w14:textId="2569FB3C" w:rsidR="00D02481" w:rsidRPr="00D02481" w:rsidRDefault="00D02481" w:rsidP="00D02481">
            <w:pPr>
              <w:pStyle w:val="Paragraphe"/>
              <w:numPr>
                <w:ilvl w:val="0"/>
                <w:numId w:val="0"/>
              </w:numPr>
              <w:spacing w:before="0" w:line="240" w:lineRule="auto"/>
              <w:contextualSpacing/>
              <w:jc w:val="left"/>
              <w:rPr>
                <w:sz w:val="18"/>
                <w:szCs w:val="18"/>
                <w:lang w:val="en-CA"/>
              </w:rPr>
            </w:pPr>
            <w:r w:rsidRPr="00D02481">
              <w:rPr>
                <w:sz w:val="18"/>
                <w:szCs w:val="18"/>
                <w:lang w:val="en-CA"/>
              </w:rPr>
              <w:t>-poss</w:t>
            </w:r>
            <w:r w:rsidR="00B652EE">
              <w:rPr>
                <w:sz w:val="18"/>
                <w:szCs w:val="18"/>
                <w:lang w:val="en-CA"/>
              </w:rPr>
              <w:t>.</w:t>
            </w:r>
            <w:r w:rsidR="00983123">
              <w:rPr>
                <w:sz w:val="18"/>
                <w:szCs w:val="18"/>
                <w:lang w:val="en-CA"/>
              </w:rPr>
              <w:t xml:space="preserve"> </w:t>
            </w:r>
            <w:r w:rsidR="00B652EE">
              <w:rPr>
                <w:sz w:val="18"/>
                <w:szCs w:val="18"/>
                <w:lang w:val="en-CA"/>
              </w:rPr>
              <w:t>cannabis</w:t>
            </w:r>
            <w:r w:rsidRPr="00D02481">
              <w:rPr>
                <w:sz w:val="18"/>
                <w:szCs w:val="18"/>
                <w:lang w:val="en-CA"/>
              </w:rPr>
              <w:t xml:space="preserve"> – art. 4(1)(5) </w:t>
            </w:r>
            <w:r w:rsidRPr="00D02481">
              <w:rPr>
                <w:i/>
                <w:iCs/>
                <w:sz w:val="18"/>
                <w:szCs w:val="18"/>
                <w:lang w:val="en-CA"/>
              </w:rPr>
              <w:t>L.r.c</w:t>
            </w:r>
            <w:r>
              <w:rPr>
                <w:i/>
                <w:iCs/>
                <w:sz w:val="18"/>
                <w:szCs w:val="18"/>
                <w:lang w:val="en-CA"/>
              </w:rPr>
              <w:t>.d.a.s.</w:t>
            </w:r>
          </w:p>
        </w:tc>
        <w:tc>
          <w:tcPr>
            <w:tcW w:w="2338" w:type="dxa"/>
          </w:tcPr>
          <w:p w14:paraId="51E1B23F" w14:textId="77777777" w:rsidR="00D02481" w:rsidRDefault="00D02481" w:rsidP="00D02481">
            <w:pPr>
              <w:pStyle w:val="Paragraphe"/>
              <w:numPr>
                <w:ilvl w:val="0"/>
                <w:numId w:val="0"/>
              </w:numPr>
              <w:spacing w:before="0" w:line="240" w:lineRule="auto"/>
              <w:contextualSpacing/>
              <w:jc w:val="left"/>
              <w:rPr>
                <w:sz w:val="18"/>
                <w:szCs w:val="18"/>
              </w:rPr>
            </w:pPr>
            <w:r>
              <w:rPr>
                <w:sz w:val="18"/>
                <w:szCs w:val="18"/>
              </w:rPr>
              <w:t xml:space="preserve">-ordonnance différée de placement sous garde et de surveillance de 6 mois (art. 42(2)(p) </w:t>
            </w:r>
            <w:r>
              <w:rPr>
                <w:i/>
                <w:iCs/>
                <w:sz w:val="18"/>
                <w:szCs w:val="18"/>
              </w:rPr>
              <w:t>L.s.j.p.a.</w:t>
            </w:r>
            <w:r>
              <w:rPr>
                <w:sz w:val="18"/>
                <w:szCs w:val="18"/>
              </w:rPr>
              <w:t>).</w:t>
            </w:r>
          </w:p>
          <w:p w14:paraId="5A7FEAAF" w14:textId="77777777" w:rsidR="00D02481" w:rsidRDefault="00D02481" w:rsidP="00D02481">
            <w:pPr>
              <w:pStyle w:val="Paragraphe"/>
              <w:numPr>
                <w:ilvl w:val="0"/>
                <w:numId w:val="0"/>
              </w:numPr>
              <w:spacing w:before="0" w:line="240" w:lineRule="auto"/>
              <w:contextualSpacing/>
              <w:jc w:val="left"/>
              <w:rPr>
                <w:sz w:val="18"/>
                <w:szCs w:val="18"/>
              </w:rPr>
            </w:pPr>
          </w:p>
          <w:p w14:paraId="785B2692" w14:textId="77777777" w:rsidR="00D02481" w:rsidRDefault="00D02481" w:rsidP="00D02481">
            <w:pPr>
              <w:pStyle w:val="Paragraphe"/>
              <w:numPr>
                <w:ilvl w:val="0"/>
                <w:numId w:val="0"/>
              </w:numPr>
              <w:spacing w:before="0" w:line="240" w:lineRule="auto"/>
              <w:contextualSpacing/>
              <w:jc w:val="left"/>
              <w:rPr>
                <w:sz w:val="18"/>
                <w:szCs w:val="18"/>
              </w:rPr>
            </w:pPr>
            <w:r>
              <w:rPr>
                <w:sz w:val="18"/>
                <w:szCs w:val="18"/>
              </w:rPr>
              <w:t>-probation 6 mois et 35 heures de travaux communautaires.</w:t>
            </w:r>
          </w:p>
          <w:p w14:paraId="5BE39790" w14:textId="77777777" w:rsidR="00D02481" w:rsidRDefault="00D02481" w:rsidP="00D02481">
            <w:pPr>
              <w:pStyle w:val="Paragraphe"/>
              <w:numPr>
                <w:ilvl w:val="0"/>
                <w:numId w:val="0"/>
              </w:numPr>
              <w:spacing w:before="0" w:line="240" w:lineRule="auto"/>
              <w:contextualSpacing/>
              <w:jc w:val="left"/>
              <w:rPr>
                <w:sz w:val="18"/>
                <w:szCs w:val="18"/>
              </w:rPr>
            </w:pPr>
          </w:p>
          <w:p w14:paraId="6C298D67" w14:textId="77777777" w:rsidR="00D02481" w:rsidRDefault="00D02481" w:rsidP="00D02481">
            <w:pPr>
              <w:pStyle w:val="Paragraphe"/>
              <w:numPr>
                <w:ilvl w:val="0"/>
                <w:numId w:val="0"/>
              </w:numPr>
              <w:spacing w:before="0" w:line="240" w:lineRule="auto"/>
              <w:contextualSpacing/>
              <w:jc w:val="left"/>
              <w:rPr>
                <w:sz w:val="18"/>
                <w:szCs w:val="18"/>
              </w:rPr>
            </w:pPr>
            <w:r>
              <w:rPr>
                <w:sz w:val="18"/>
                <w:szCs w:val="18"/>
              </w:rPr>
              <w:t xml:space="preserve">[trois mois plus tard, le Tribunal a ordonné que l’accusé purge le reste de sa peine sous garde : art. 109(2)(c) </w:t>
            </w:r>
            <w:r>
              <w:rPr>
                <w:i/>
                <w:iCs/>
                <w:sz w:val="18"/>
                <w:szCs w:val="18"/>
              </w:rPr>
              <w:t>L.s.j.p.a.</w:t>
            </w:r>
            <w:r w:rsidRPr="00D02481">
              <w:rPr>
                <w:rStyle w:val="Appelnotedebasdep"/>
                <w:sz w:val="18"/>
                <w:szCs w:val="18"/>
              </w:rPr>
              <w:footnoteReference w:id="9"/>
            </w:r>
            <w:r>
              <w:rPr>
                <w:sz w:val="18"/>
                <w:szCs w:val="18"/>
              </w:rPr>
              <w:t>]</w:t>
            </w:r>
          </w:p>
          <w:p w14:paraId="6BF7DC65" w14:textId="1E3180DE" w:rsidR="005C6C90" w:rsidRDefault="005C6C90" w:rsidP="00D02481">
            <w:pPr>
              <w:pStyle w:val="Paragraphe"/>
              <w:numPr>
                <w:ilvl w:val="0"/>
                <w:numId w:val="0"/>
              </w:numPr>
              <w:spacing w:before="0" w:line="240" w:lineRule="auto"/>
              <w:contextualSpacing/>
              <w:jc w:val="left"/>
              <w:rPr>
                <w:sz w:val="18"/>
                <w:szCs w:val="18"/>
              </w:rPr>
            </w:pPr>
          </w:p>
        </w:tc>
      </w:tr>
      <w:tr w:rsidR="00D02481" w:rsidRPr="009B4C6D" w14:paraId="1F03993F" w14:textId="77777777" w:rsidTr="009B4C6D">
        <w:trPr>
          <w:jc w:val="center"/>
        </w:trPr>
        <w:tc>
          <w:tcPr>
            <w:tcW w:w="1696" w:type="dxa"/>
          </w:tcPr>
          <w:p w14:paraId="6831C97A" w14:textId="3A29FE1C" w:rsidR="00D02481" w:rsidRPr="009B4C6D" w:rsidRDefault="006D6B9F" w:rsidP="00D02481">
            <w:pPr>
              <w:pStyle w:val="Paragraphe"/>
              <w:numPr>
                <w:ilvl w:val="0"/>
                <w:numId w:val="0"/>
              </w:numPr>
              <w:spacing w:before="0" w:line="240" w:lineRule="auto"/>
              <w:contextualSpacing/>
              <w:jc w:val="left"/>
              <w:rPr>
                <w:sz w:val="18"/>
                <w:szCs w:val="18"/>
              </w:rPr>
            </w:pPr>
            <w:r>
              <w:rPr>
                <w:sz w:val="18"/>
                <w:szCs w:val="18"/>
              </w:rPr>
              <w:t>2014-</w:t>
            </w:r>
            <w:r w:rsidR="00D74AA7">
              <w:rPr>
                <w:sz w:val="18"/>
                <w:szCs w:val="18"/>
              </w:rPr>
              <w:t xml:space="preserve">04-30 au </w:t>
            </w:r>
            <w:r>
              <w:rPr>
                <w:sz w:val="18"/>
                <w:szCs w:val="18"/>
              </w:rPr>
              <w:t>2014-10-29</w:t>
            </w:r>
          </w:p>
        </w:tc>
        <w:tc>
          <w:tcPr>
            <w:tcW w:w="1560" w:type="dxa"/>
          </w:tcPr>
          <w:p w14:paraId="7F042801" w14:textId="77777777" w:rsidR="00D02481" w:rsidRDefault="006D6B9F" w:rsidP="00D02481">
            <w:pPr>
              <w:pStyle w:val="Paragraphe"/>
              <w:numPr>
                <w:ilvl w:val="0"/>
                <w:numId w:val="0"/>
              </w:numPr>
              <w:spacing w:before="0" w:line="240" w:lineRule="auto"/>
              <w:contextualSpacing/>
              <w:jc w:val="left"/>
              <w:rPr>
                <w:sz w:val="18"/>
                <w:szCs w:val="18"/>
              </w:rPr>
            </w:pPr>
            <w:r>
              <w:rPr>
                <w:sz w:val="18"/>
                <w:szCs w:val="18"/>
              </w:rPr>
              <w:t>2014-12-19</w:t>
            </w:r>
          </w:p>
          <w:p w14:paraId="590B2DC0" w14:textId="42DA52B5" w:rsidR="009667F5" w:rsidRPr="009B4C6D" w:rsidRDefault="009667F5" w:rsidP="00D02481">
            <w:pPr>
              <w:pStyle w:val="Paragraphe"/>
              <w:numPr>
                <w:ilvl w:val="0"/>
                <w:numId w:val="0"/>
              </w:numPr>
              <w:spacing w:before="0" w:line="240" w:lineRule="auto"/>
              <w:contextualSpacing/>
              <w:jc w:val="left"/>
              <w:rPr>
                <w:sz w:val="18"/>
                <w:szCs w:val="18"/>
              </w:rPr>
            </w:pPr>
            <w:r>
              <w:rPr>
                <w:sz w:val="18"/>
                <w:szCs w:val="18"/>
              </w:rPr>
              <w:t>(juv.)</w:t>
            </w:r>
          </w:p>
        </w:tc>
        <w:tc>
          <w:tcPr>
            <w:tcW w:w="3758" w:type="dxa"/>
          </w:tcPr>
          <w:p w14:paraId="3A437048" w14:textId="77777777" w:rsidR="00983123" w:rsidRDefault="00B43283" w:rsidP="00D02481">
            <w:pPr>
              <w:pStyle w:val="Paragraphe"/>
              <w:numPr>
                <w:ilvl w:val="0"/>
                <w:numId w:val="0"/>
              </w:numPr>
              <w:spacing w:before="0" w:line="240" w:lineRule="auto"/>
              <w:contextualSpacing/>
              <w:jc w:val="left"/>
              <w:rPr>
                <w:sz w:val="18"/>
                <w:szCs w:val="18"/>
              </w:rPr>
            </w:pPr>
            <w:r>
              <w:rPr>
                <w:sz w:val="18"/>
                <w:szCs w:val="18"/>
              </w:rPr>
              <w:t>-bris de probation</w:t>
            </w:r>
          </w:p>
          <w:p w14:paraId="3A05FE21" w14:textId="57462D44" w:rsidR="00D02481" w:rsidRDefault="00B43283" w:rsidP="00D02481">
            <w:pPr>
              <w:pStyle w:val="Paragraphe"/>
              <w:numPr>
                <w:ilvl w:val="0"/>
                <w:numId w:val="0"/>
              </w:numPr>
              <w:spacing w:before="0" w:line="240" w:lineRule="auto"/>
              <w:contextualSpacing/>
              <w:jc w:val="left"/>
              <w:rPr>
                <w:sz w:val="18"/>
                <w:szCs w:val="18"/>
              </w:rPr>
            </w:pPr>
            <w:r>
              <w:rPr>
                <w:sz w:val="18"/>
                <w:szCs w:val="18"/>
              </w:rPr>
              <w:t xml:space="preserve">art. 137 </w:t>
            </w:r>
            <w:r>
              <w:rPr>
                <w:i/>
                <w:iCs/>
                <w:sz w:val="18"/>
                <w:szCs w:val="18"/>
              </w:rPr>
              <w:t>L.s.j.p.a.</w:t>
            </w:r>
          </w:p>
          <w:p w14:paraId="512F660C" w14:textId="77777777" w:rsidR="00B43283" w:rsidRDefault="00B43283" w:rsidP="00D02481">
            <w:pPr>
              <w:pStyle w:val="Paragraphe"/>
              <w:numPr>
                <w:ilvl w:val="0"/>
                <w:numId w:val="0"/>
              </w:numPr>
              <w:spacing w:before="0" w:line="240" w:lineRule="auto"/>
              <w:contextualSpacing/>
              <w:jc w:val="left"/>
              <w:rPr>
                <w:sz w:val="18"/>
                <w:szCs w:val="18"/>
              </w:rPr>
            </w:pPr>
            <w:r>
              <w:rPr>
                <w:sz w:val="18"/>
                <w:szCs w:val="18"/>
              </w:rPr>
              <w:t>(6 chefs)</w:t>
            </w:r>
          </w:p>
          <w:p w14:paraId="1CE71630" w14:textId="358883A7" w:rsidR="00B43283" w:rsidRPr="00B43283" w:rsidRDefault="00B43283" w:rsidP="00D02481">
            <w:pPr>
              <w:pStyle w:val="Paragraphe"/>
              <w:numPr>
                <w:ilvl w:val="0"/>
                <w:numId w:val="0"/>
              </w:numPr>
              <w:spacing w:before="0" w:line="240" w:lineRule="auto"/>
              <w:contextualSpacing/>
              <w:jc w:val="left"/>
              <w:rPr>
                <w:sz w:val="18"/>
                <w:szCs w:val="18"/>
              </w:rPr>
            </w:pPr>
          </w:p>
        </w:tc>
        <w:tc>
          <w:tcPr>
            <w:tcW w:w="2338" w:type="dxa"/>
          </w:tcPr>
          <w:p w14:paraId="7610F718" w14:textId="77777777" w:rsidR="00D02481" w:rsidRDefault="004950B9" w:rsidP="00D02481">
            <w:pPr>
              <w:pStyle w:val="Paragraphe"/>
              <w:numPr>
                <w:ilvl w:val="0"/>
                <w:numId w:val="0"/>
              </w:numPr>
              <w:spacing w:before="0" w:line="240" w:lineRule="auto"/>
              <w:contextualSpacing/>
              <w:jc w:val="left"/>
              <w:rPr>
                <w:sz w:val="18"/>
                <w:szCs w:val="18"/>
              </w:rPr>
            </w:pPr>
            <w:r>
              <w:rPr>
                <w:sz w:val="18"/>
                <w:szCs w:val="18"/>
              </w:rPr>
              <w:t xml:space="preserve">-ordonnance différée de placement sous garde et de surveillance de 3 mois (art. 42(2)(p) </w:t>
            </w:r>
            <w:r>
              <w:rPr>
                <w:i/>
                <w:iCs/>
                <w:sz w:val="18"/>
                <w:szCs w:val="18"/>
              </w:rPr>
              <w:t>L.s.j.p.a.</w:t>
            </w:r>
            <w:r>
              <w:rPr>
                <w:sz w:val="18"/>
                <w:szCs w:val="18"/>
              </w:rPr>
              <w:t>).</w:t>
            </w:r>
          </w:p>
          <w:p w14:paraId="684AF771" w14:textId="11229092" w:rsidR="005C6C90" w:rsidRPr="009B4C6D" w:rsidRDefault="005C6C90" w:rsidP="00D02481">
            <w:pPr>
              <w:pStyle w:val="Paragraphe"/>
              <w:numPr>
                <w:ilvl w:val="0"/>
                <w:numId w:val="0"/>
              </w:numPr>
              <w:spacing w:before="0" w:line="240" w:lineRule="auto"/>
              <w:contextualSpacing/>
              <w:jc w:val="left"/>
              <w:rPr>
                <w:sz w:val="18"/>
                <w:szCs w:val="18"/>
              </w:rPr>
            </w:pPr>
          </w:p>
        </w:tc>
      </w:tr>
      <w:tr w:rsidR="00D02481" w:rsidRPr="009B4C6D" w14:paraId="2EA3BE80" w14:textId="77777777" w:rsidTr="001C7587">
        <w:trPr>
          <w:jc w:val="center"/>
        </w:trPr>
        <w:tc>
          <w:tcPr>
            <w:tcW w:w="1696" w:type="dxa"/>
            <w:shd w:val="clear" w:color="auto" w:fill="auto"/>
          </w:tcPr>
          <w:p w14:paraId="4B48FB6B" w14:textId="561FB3DC" w:rsidR="00D02481" w:rsidRPr="009B4C6D" w:rsidRDefault="001C7587" w:rsidP="00D02481">
            <w:pPr>
              <w:pStyle w:val="Paragraphe"/>
              <w:numPr>
                <w:ilvl w:val="0"/>
                <w:numId w:val="0"/>
              </w:numPr>
              <w:spacing w:before="0" w:line="240" w:lineRule="auto"/>
              <w:contextualSpacing/>
              <w:jc w:val="left"/>
              <w:rPr>
                <w:sz w:val="18"/>
                <w:szCs w:val="18"/>
              </w:rPr>
            </w:pPr>
            <w:r>
              <w:rPr>
                <w:sz w:val="18"/>
                <w:szCs w:val="18"/>
              </w:rPr>
              <w:t>2017-03-20</w:t>
            </w:r>
          </w:p>
        </w:tc>
        <w:tc>
          <w:tcPr>
            <w:tcW w:w="1560" w:type="dxa"/>
          </w:tcPr>
          <w:p w14:paraId="49E21588" w14:textId="42761FDD" w:rsidR="00D02481" w:rsidRPr="009B4C6D" w:rsidRDefault="00983123" w:rsidP="00D02481">
            <w:pPr>
              <w:pStyle w:val="Paragraphe"/>
              <w:numPr>
                <w:ilvl w:val="0"/>
                <w:numId w:val="0"/>
              </w:numPr>
              <w:spacing w:before="0" w:line="240" w:lineRule="auto"/>
              <w:contextualSpacing/>
              <w:jc w:val="left"/>
              <w:rPr>
                <w:sz w:val="18"/>
                <w:szCs w:val="18"/>
              </w:rPr>
            </w:pPr>
            <w:r>
              <w:rPr>
                <w:sz w:val="18"/>
                <w:szCs w:val="18"/>
              </w:rPr>
              <w:t>2017-03-30</w:t>
            </w:r>
          </w:p>
        </w:tc>
        <w:tc>
          <w:tcPr>
            <w:tcW w:w="3758" w:type="dxa"/>
          </w:tcPr>
          <w:p w14:paraId="523B9EC8" w14:textId="77777777" w:rsidR="00983123" w:rsidRDefault="00983123" w:rsidP="00D02481">
            <w:pPr>
              <w:pStyle w:val="Paragraphe"/>
              <w:numPr>
                <w:ilvl w:val="0"/>
                <w:numId w:val="0"/>
              </w:numPr>
              <w:spacing w:before="0" w:line="240" w:lineRule="auto"/>
              <w:contextualSpacing/>
              <w:jc w:val="left"/>
              <w:rPr>
                <w:sz w:val="18"/>
                <w:szCs w:val="18"/>
              </w:rPr>
            </w:pPr>
            <w:r>
              <w:rPr>
                <w:sz w:val="18"/>
                <w:szCs w:val="18"/>
              </w:rPr>
              <w:t>-bris de conditions</w:t>
            </w:r>
          </w:p>
          <w:p w14:paraId="6ED18111" w14:textId="741484E8" w:rsidR="00D02481" w:rsidRDefault="00983123" w:rsidP="00D02481">
            <w:pPr>
              <w:pStyle w:val="Paragraphe"/>
              <w:numPr>
                <w:ilvl w:val="0"/>
                <w:numId w:val="0"/>
              </w:numPr>
              <w:spacing w:before="0" w:line="240" w:lineRule="auto"/>
              <w:contextualSpacing/>
              <w:jc w:val="left"/>
              <w:rPr>
                <w:sz w:val="18"/>
                <w:szCs w:val="18"/>
              </w:rPr>
            </w:pPr>
            <w:r>
              <w:rPr>
                <w:sz w:val="18"/>
                <w:szCs w:val="18"/>
              </w:rPr>
              <w:t xml:space="preserve">art. 145(3)(b) </w:t>
            </w:r>
            <w:r>
              <w:rPr>
                <w:i/>
                <w:iCs/>
                <w:sz w:val="18"/>
                <w:szCs w:val="18"/>
              </w:rPr>
              <w:t>C.cr.</w:t>
            </w:r>
          </w:p>
          <w:p w14:paraId="4E1811BC" w14:textId="77777777" w:rsidR="00983123" w:rsidRDefault="00983123" w:rsidP="00D02481">
            <w:pPr>
              <w:pStyle w:val="Paragraphe"/>
              <w:numPr>
                <w:ilvl w:val="0"/>
                <w:numId w:val="0"/>
              </w:numPr>
              <w:spacing w:before="0" w:line="240" w:lineRule="auto"/>
              <w:contextualSpacing/>
              <w:jc w:val="left"/>
              <w:rPr>
                <w:sz w:val="18"/>
                <w:szCs w:val="18"/>
              </w:rPr>
            </w:pPr>
            <w:r>
              <w:rPr>
                <w:sz w:val="18"/>
                <w:szCs w:val="18"/>
              </w:rPr>
              <w:t>(3 chefs)</w:t>
            </w:r>
          </w:p>
          <w:p w14:paraId="0160DE33" w14:textId="54474B14" w:rsidR="00983123" w:rsidRPr="00983123" w:rsidRDefault="00983123" w:rsidP="00D02481">
            <w:pPr>
              <w:pStyle w:val="Paragraphe"/>
              <w:numPr>
                <w:ilvl w:val="0"/>
                <w:numId w:val="0"/>
              </w:numPr>
              <w:spacing w:before="0" w:line="240" w:lineRule="auto"/>
              <w:contextualSpacing/>
              <w:jc w:val="left"/>
              <w:rPr>
                <w:sz w:val="18"/>
                <w:szCs w:val="18"/>
              </w:rPr>
            </w:pPr>
          </w:p>
        </w:tc>
        <w:tc>
          <w:tcPr>
            <w:tcW w:w="2338" w:type="dxa"/>
          </w:tcPr>
          <w:p w14:paraId="7C38EB31" w14:textId="27D9B181" w:rsidR="00D02481" w:rsidRPr="009B4C6D" w:rsidRDefault="00983123" w:rsidP="00D02481">
            <w:pPr>
              <w:pStyle w:val="Paragraphe"/>
              <w:numPr>
                <w:ilvl w:val="0"/>
                <w:numId w:val="0"/>
              </w:numPr>
              <w:spacing w:before="0" w:line="240" w:lineRule="auto"/>
              <w:contextualSpacing/>
              <w:jc w:val="left"/>
              <w:rPr>
                <w:sz w:val="18"/>
                <w:szCs w:val="18"/>
              </w:rPr>
            </w:pPr>
            <w:r>
              <w:rPr>
                <w:sz w:val="18"/>
                <w:szCs w:val="18"/>
              </w:rPr>
              <w:t>-16 jours d’emprisonnement.</w:t>
            </w:r>
          </w:p>
        </w:tc>
      </w:tr>
      <w:tr w:rsidR="00983123" w:rsidRPr="009B4C6D" w14:paraId="04B16213" w14:textId="77777777" w:rsidTr="001C7587">
        <w:trPr>
          <w:jc w:val="center"/>
        </w:trPr>
        <w:tc>
          <w:tcPr>
            <w:tcW w:w="1696" w:type="dxa"/>
            <w:shd w:val="clear" w:color="auto" w:fill="auto"/>
          </w:tcPr>
          <w:p w14:paraId="3C670865" w14:textId="002DD77F" w:rsidR="00983123" w:rsidRPr="009B4C6D" w:rsidRDefault="001C7587" w:rsidP="00D02481">
            <w:pPr>
              <w:pStyle w:val="Paragraphe"/>
              <w:numPr>
                <w:ilvl w:val="0"/>
                <w:numId w:val="0"/>
              </w:numPr>
              <w:spacing w:before="0" w:line="240" w:lineRule="auto"/>
              <w:contextualSpacing/>
              <w:jc w:val="left"/>
              <w:rPr>
                <w:sz w:val="18"/>
                <w:szCs w:val="18"/>
              </w:rPr>
            </w:pPr>
            <w:r>
              <w:rPr>
                <w:sz w:val="18"/>
                <w:szCs w:val="18"/>
              </w:rPr>
              <w:t>2016-07-24</w:t>
            </w:r>
          </w:p>
        </w:tc>
        <w:tc>
          <w:tcPr>
            <w:tcW w:w="1560" w:type="dxa"/>
          </w:tcPr>
          <w:p w14:paraId="57B9EA60" w14:textId="683D724F" w:rsidR="00983123" w:rsidRPr="009B4C6D" w:rsidRDefault="00983123" w:rsidP="00D02481">
            <w:pPr>
              <w:pStyle w:val="Paragraphe"/>
              <w:numPr>
                <w:ilvl w:val="0"/>
                <w:numId w:val="0"/>
              </w:numPr>
              <w:spacing w:before="0" w:line="240" w:lineRule="auto"/>
              <w:contextualSpacing/>
              <w:jc w:val="left"/>
              <w:rPr>
                <w:sz w:val="18"/>
                <w:szCs w:val="18"/>
              </w:rPr>
            </w:pPr>
            <w:r>
              <w:rPr>
                <w:sz w:val="18"/>
                <w:szCs w:val="18"/>
              </w:rPr>
              <w:t>2017-04-25</w:t>
            </w:r>
          </w:p>
        </w:tc>
        <w:tc>
          <w:tcPr>
            <w:tcW w:w="3758" w:type="dxa"/>
          </w:tcPr>
          <w:p w14:paraId="0EC3E2F5" w14:textId="77777777" w:rsidR="00983123" w:rsidRDefault="00983123" w:rsidP="00D02481">
            <w:pPr>
              <w:pStyle w:val="Paragraphe"/>
              <w:numPr>
                <w:ilvl w:val="0"/>
                <w:numId w:val="0"/>
              </w:numPr>
              <w:spacing w:before="0" w:line="240" w:lineRule="auto"/>
              <w:contextualSpacing/>
              <w:jc w:val="left"/>
              <w:rPr>
                <w:sz w:val="18"/>
                <w:szCs w:val="18"/>
              </w:rPr>
            </w:pPr>
            <w:r>
              <w:rPr>
                <w:sz w:val="18"/>
                <w:szCs w:val="18"/>
              </w:rPr>
              <w:t>-entrave au travail d’un policier</w:t>
            </w:r>
          </w:p>
          <w:p w14:paraId="6BAE5DD4" w14:textId="0BE685D5" w:rsidR="00983123" w:rsidRDefault="00983123" w:rsidP="00D02481">
            <w:pPr>
              <w:pStyle w:val="Paragraphe"/>
              <w:numPr>
                <w:ilvl w:val="0"/>
                <w:numId w:val="0"/>
              </w:numPr>
              <w:spacing w:before="0" w:line="240" w:lineRule="auto"/>
              <w:contextualSpacing/>
              <w:jc w:val="left"/>
              <w:rPr>
                <w:i/>
                <w:iCs/>
                <w:sz w:val="18"/>
                <w:szCs w:val="18"/>
              </w:rPr>
            </w:pPr>
            <w:r>
              <w:rPr>
                <w:sz w:val="18"/>
                <w:szCs w:val="18"/>
              </w:rPr>
              <w:t xml:space="preserve">art. 129 </w:t>
            </w:r>
            <w:r>
              <w:rPr>
                <w:i/>
                <w:iCs/>
                <w:sz w:val="18"/>
                <w:szCs w:val="18"/>
              </w:rPr>
              <w:t>C.cr.</w:t>
            </w:r>
          </w:p>
          <w:p w14:paraId="25A8F208" w14:textId="77777777" w:rsidR="00983123" w:rsidRDefault="00983123" w:rsidP="00D02481">
            <w:pPr>
              <w:pStyle w:val="Paragraphe"/>
              <w:numPr>
                <w:ilvl w:val="0"/>
                <w:numId w:val="0"/>
              </w:numPr>
              <w:spacing w:before="0" w:line="240" w:lineRule="auto"/>
              <w:contextualSpacing/>
              <w:jc w:val="left"/>
              <w:rPr>
                <w:sz w:val="18"/>
                <w:szCs w:val="18"/>
              </w:rPr>
            </w:pPr>
          </w:p>
          <w:p w14:paraId="20566B0A" w14:textId="77777777" w:rsidR="00983123" w:rsidRDefault="00983123" w:rsidP="00D02481">
            <w:pPr>
              <w:pStyle w:val="Paragraphe"/>
              <w:numPr>
                <w:ilvl w:val="0"/>
                <w:numId w:val="0"/>
              </w:numPr>
              <w:spacing w:before="0" w:line="240" w:lineRule="auto"/>
              <w:contextualSpacing/>
              <w:jc w:val="left"/>
              <w:rPr>
                <w:sz w:val="18"/>
                <w:szCs w:val="18"/>
                <w:lang w:val="en-CA"/>
              </w:rPr>
            </w:pPr>
            <w:r w:rsidRPr="00983123">
              <w:rPr>
                <w:sz w:val="18"/>
                <w:szCs w:val="18"/>
                <w:lang w:val="en-CA"/>
              </w:rPr>
              <w:t>-poss. substance annexe 1</w:t>
            </w:r>
          </w:p>
          <w:p w14:paraId="3F8901EF" w14:textId="2E55291D" w:rsidR="00983123" w:rsidRDefault="00983123" w:rsidP="00D02481">
            <w:pPr>
              <w:pStyle w:val="Paragraphe"/>
              <w:numPr>
                <w:ilvl w:val="0"/>
                <w:numId w:val="0"/>
              </w:numPr>
              <w:spacing w:before="0" w:line="240" w:lineRule="auto"/>
              <w:contextualSpacing/>
              <w:jc w:val="left"/>
              <w:rPr>
                <w:i/>
                <w:iCs/>
                <w:sz w:val="18"/>
                <w:szCs w:val="18"/>
                <w:lang w:val="en-CA"/>
              </w:rPr>
            </w:pPr>
            <w:r w:rsidRPr="00983123">
              <w:rPr>
                <w:sz w:val="18"/>
                <w:szCs w:val="18"/>
                <w:lang w:val="en-CA"/>
              </w:rPr>
              <w:t xml:space="preserve">art. 4(1)(3) </w:t>
            </w:r>
            <w:r w:rsidRPr="00983123">
              <w:rPr>
                <w:i/>
                <w:iCs/>
                <w:sz w:val="18"/>
                <w:szCs w:val="18"/>
                <w:lang w:val="en-CA"/>
              </w:rPr>
              <w:t>L</w:t>
            </w:r>
            <w:r>
              <w:rPr>
                <w:i/>
                <w:iCs/>
                <w:sz w:val="18"/>
                <w:szCs w:val="18"/>
                <w:lang w:val="en-CA"/>
              </w:rPr>
              <w:t>.r.c.d.a.s.</w:t>
            </w:r>
          </w:p>
          <w:p w14:paraId="14170625" w14:textId="77777777" w:rsidR="00983123" w:rsidRDefault="00983123" w:rsidP="00D02481">
            <w:pPr>
              <w:pStyle w:val="Paragraphe"/>
              <w:numPr>
                <w:ilvl w:val="0"/>
                <w:numId w:val="0"/>
              </w:numPr>
              <w:spacing w:before="0" w:line="240" w:lineRule="auto"/>
              <w:contextualSpacing/>
              <w:jc w:val="left"/>
              <w:rPr>
                <w:sz w:val="18"/>
                <w:szCs w:val="18"/>
                <w:lang w:val="en-CA"/>
              </w:rPr>
            </w:pPr>
          </w:p>
          <w:p w14:paraId="2346FC66" w14:textId="77777777" w:rsidR="00983123" w:rsidRDefault="00983123" w:rsidP="00D02481">
            <w:pPr>
              <w:pStyle w:val="Paragraphe"/>
              <w:numPr>
                <w:ilvl w:val="0"/>
                <w:numId w:val="0"/>
              </w:numPr>
              <w:spacing w:before="0" w:line="240" w:lineRule="auto"/>
              <w:contextualSpacing/>
              <w:jc w:val="left"/>
              <w:rPr>
                <w:sz w:val="18"/>
                <w:szCs w:val="18"/>
              </w:rPr>
            </w:pPr>
            <w:r w:rsidRPr="00983123">
              <w:rPr>
                <w:sz w:val="18"/>
                <w:szCs w:val="18"/>
              </w:rPr>
              <w:t>-bris de condition</w:t>
            </w:r>
          </w:p>
          <w:p w14:paraId="3C7F415F" w14:textId="79148533" w:rsidR="00983123" w:rsidRDefault="00983123" w:rsidP="00D02481">
            <w:pPr>
              <w:pStyle w:val="Paragraphe"/>
              <w:numPr>
                <w:ilvl w:val="0"/>
                <w:numId w:val="0"/>
              </w:numPr>
              <w:spacing w:before="0" w:line="240" w:lineRule="auto"/>
              <w:contextualSpacing/>
              <w:jc w:val="left"/>
              <w:rPr>
                <w:sz w:val="18"/>
                <w:szCs w:val="18"/>
              </w:rPr>
            </w:pPr>
            <w:r w:rsidRPr="00983123">
              <w:rPr>
                <w:sz w:val="18"/>
                <w:szCs w:val="18"/>
              </w:rPr>
              <w:t>art. 145(3)(a</w:t>
            </w:r>
            <w:r>
              <w:rPr>
                <w:sz w:val="18"/>
                <w:szCs w:val="18"/>
              </w:rPr>
              <w:t xml:space="preserve">) </w:t>
            </w:r>
            <w:r>
              <w:rPr>
                <w:i/>
                <w:iCs/>
                <w:sz w:val="18"/>
                <w:szCs w:val="18"/>
              </w:rPr>
              <w:t>C.cr.</w:t>
            </w:r>
          </w:p>
          <w:p w14:paraId="12613CFE" w14:textId="11BA8B50" w:rsidR="00983123" w:rsidRPr="00983123" w:rsidRDefault="00983123" w:rsidP="00D02481">
            <w:pPr>
              <w:pStyle w:val="Paragraphe"/>
              <w:numPr>
                <w:ilvl w:val="0"/>
                <w:numId w:val="0"/>
              </w:numPr>
              <w:spacing w:before="0" w:line="240" w:lineRule="auto"/>
              <w:contextualSpacing/>
              <w:jc w:val="left"/>
              <w:rPr>
                <w:sz w:val="18"/>
                <w:szCs w:val="18"/>
              </w:rPr>
            </w:pPr>
          </w:p>
        </w:tc>
        <w:tc>
          <w:tcPr>
            <w:tcW w:w="2338" w:type="dxa"/>
          </w:tcPr>
          <w:p w14:paraId="376DA721" w14:textId="4017A340" w:rsidR="00983123" w:rsidRPr="009B4C6D" w:rsidRDefault="00983123" w:rsidP="00D02481">
            <w:pPr>
              <w:pStyle w:val="Paragraphe"/>
              <w:numPr>
                <w:ilvl w:val="0"/>
                <w:numId w:val="0"/>
              </w:numPr>
              <w:spacing w:before="0" w:line="240" w:lineRule="auto"/>
              <w:contextualSpacing/>
              <w:jc w:val="left"/>
              <w:rPr>
                <w:sz w:val="18"/>
                <w:szCs w:val="18"/>
              </w:rPr>
            </w:pPr>
            <w:r>
              <w:rPr>
                <w:sz w:val="18"/>
                <w:szCs w:val="18"/>
              </w:rPr>
              <w:t>-sent. susp. compte tenu de 3 mois d’emprisonnement pré-sentenciel</w:t>
            </w:r>
            <w:r w:rsidR="001C7587">
              <w:rPr>
                <w:rStyle w:val="Appelnotedebasdep"/>
                <w:sz w:val="18"/>
                <w:szCs w:val="18"/>
              </w:rPr>
              <w:footnoteReference w:id="10"/>
            </w:r>
            <w:r>
              <w:rPr>
                <w:sz w:val="18"/>
                <w:szCs w:val="18"/>
              </w:rPr>
              <w:t>.</w:t>
            </w:r>
          </w:p>
        </w:tc>
      </w:tr>
      <w:tr w:rsidR="00983123" w:rsidRPr="009B4C6D" w14:paraId="789AFA80" w14:textId="77777777" w:rsidTr="009B4C6D">
        <w:trPr>
          <w:jc w:val="center"/>
        </w:trPr>
        <w:tc>
          <w:tcPr>
            <w:tcW w:w="1696" w:type="dxa"/>
          </w:tcPr>
          <w:p w14:paraId="4A5C4230" w14:textId="360E41FD" w:rsidR="00983123" w:rsidRPr="009B4C6D" w:rsidRDefault="001C7587" w:rsidP="00D02481">
            <w:pPr>
              <w:pStyle w:val="Paragraphe"/>
              <w:numPr>
                <w:ilvl w:val="0"/>
                <w:numId w:val="0"/>
              </w:numPr>
              <w:spacing w:before="0" w:line="240" w:lineRule="auto"/>
              <w:contextualSpacing/>
              <w:jc w:val="left"/>
              <w:rPr>
                <w:sz w:val="18"/>
                <w:szCs w:val="18"/>
              </w:rPr>
            </w:pPr>
            <w:r>
              <w:rPr>
                <w:sz w:val="18"/>
                <w:szCs w:val="18"/>
              </w:rPr>
              <w:t>2016-01-31</w:t>
            </w:r>
          </w:p>
        </w:tc>
        <w:tc>
          <w:tcPr>
            <w:tcW w:w="1560" w:type="dxa"/>
          </w:tcPr>
          <w:p w14:paraId="5063F82A" w14:textId="4AF978F5" w:rsidR="00983123" w:rsidRPr="009B4C6D" w:rsidRDefault="001C7587" w:rsidP="00D02481">
            <w:pPr>
              <w:pStyle w:val="Paragraphe"/>
              <w:numPr>
                <w:ilvl w:val="0"/>
                <w:numId w:val="0"/>
              </w:numPr>
              <w:spacing w:before="0" w:line="240" w:lineRule="auto"/>
              <w:contextualSpacing/>
              <w:jc w:val="left"/>
              <w:rPr>
                <w:sz w:val="18"/>
                <w:szCs w:val="18"/>
              </w:rPr>
            </w:pPr>
            <w:r>
              <w:rPr>
                <w:sz w:val="18"/>
                <w:szCs w:val="18"/>
              </w:rPr>
              <w:t>2017-10-24</w:t>
            </w:r>
          </w:p>
        </w:tc>
        <w:tc>
          <w:tcPr>
            <w:tcW w:w="3758" w:type="dxa"/>
          </w:tcPr>
          <w:p w14:paraId="2421181A" w14:textId="77777777" w:rsidR="00983123" w:rsidRDefault="001C7587" w:rsidP="00D02481">
            <w:pPr>
              <w:pStyle w:val="Paragraphe"/>
              <w:numPr>
                <w:ilvl w:val="0"/>
                <w:numId w:val="0"/>
              </w:numPr>
              <w:spacing w:before="0" w:line="240" w:lineRule="auto"/>
              <w:contextualSpacing/>
              <w:jc w:val="left"/>
              <w:rPr>
                <w:sz w:val="18"/>
                <w:szCs w:val="18"/>
              </w:rPr>
            </w:pPr>
            <w:r>
              <w:rPr>
                <w:sz w:val="18"/>
                <w:szCs w:val="18"/>
              </w:rPr>
              <w:t>-introduction par effraction</w:t>
            </w:r>
          </w:p>
          <w:p w14:paraId="49F9D7AA" w14:textId="02E62735" w:rsidR="001C7587" w:rsidRDefault="001C7587" w:rsidP="00D02481">
            <w:pPr>
              <w:pStyle w:val="Paragraphe"/>
              <w:numPr>
                <w:ilvl w:val="0"/>
                <w:numId w:val="0"/>
              </w:numPr>
              <w:spacing w:before="0" w:line="240" w:lineRule="auto"/>
              <w:contextualSpacing/>
              <w:jc w:val="left"/>
              <w:rPr>
                <w:sz w:val="18"/>
                <w:szCs w:val="18"/>
              </w:rPr>
            </w:pPr>
            <w:r>
              <w:rPr>
                <w:sz w:val="18"/>
                <w:szCs w:val="18"/>
              </w:rPr>
              <w:t xml:space="preserve">art. 348(1) </w:t>
            </w:r>
            <w:r>
              <w:rPr>
                <w:i/>
                <w:iCs/>
                <w:sz w:val="18"/>
                <w:szCs w:val="18"/>
              </w:rPr>
              <w:t>C.cr.</w:t>
            </w:r>
          </w:p>
          <w:p w14:paraId="26343D19" w14:textId="1019D47F" w:rsidR="001C7587" w:rsidRPr="001C7587" w:rsidRDefault="001C7587" w:rsidP="00D02481">
            <w:pPr>
              <w:pStyle w:val="Paragraphe"/>
              <w:numPr>
                <w:ilvl w:val="0"/>
                <w:numId w:val="0"/>
              </w:numPr>
              <w:spacing w:before="0" w:line="240" w:lineRule="auto"/>
              <w:contextualSpacing/>
              <w:jc w:val="left"/>
              <w:rPr>
                <w:sz w:val="18"/>
                <w:szCs w:val="18"/>
              </w:rPr>
            </w:pPr>
          </w:p>
        </w:tc>
        <w:tc>
          <w:tcPr>
            <w:tcW w:w="2338" w:type="dxa"/>
          </w:tcPr>
          <w:p w14:paraId="7A2FD341" w14:textId="77777777" w:rsidR="00983123" w:rsidRDefault="001C7587" w:rsidP="00D02481">
            <w:pPr>
              <w:pStyle w:val="Paragraphe"/>
              <w:numPr>
                <w:ilvl w:val="0"/>
                <w:numId w:val="0"/>
              </w:numPr>
              <w:spacing w:before="0" w:line="240" w:lineRule="auto"/>
              <w:contextualSpacing/>
              <w:jc w:val="left"/>
              <w:rPr>
                <w:sz w:val="18"/>
                <w:szCs w:val="18"/>
              </w:rPr>
            </w:pPr>
            <w:r>
              <w:rPr>
                <w:sz w:val="18"/>
                <w:szCs w:val="18"/>
              </w:rPr>
              <w:t>-sentence suspendue, probation de 2 ans.</w:t>
            </w:r>
          </w:p>
          <w:p w14:paraId="6880018C" w14:textId="77777777" w:rsidR="001C7587" w:rsidRDefault="001C7587" w:rsidP="00D02481">
            <w:pPr>
              <w:pStyle w:val="Paragraphe"/>
              <w:numPr>
                <w:ilvl w:val="0"/>
                <w:numId w:val="0"/>
              </w:numPr>
              <w:spacing w:before="0" w:line="240" w:lineRule="auto"/>
              <w:contextualSpacing/>
              <w:jc w:val="left"/>
              <w:rPr>
                <w:sz w:val="18"/>
                <w:szCs w:val="18"/>
              </w:rPr>
            </w:pPr>
            <w:r>
              <w:rPr>
                <w:sz w:val="18"/>
                <w:szCs w:val="18"/>
              </w:rPr>
              <w:t>-100 heures de travaux communautaires.</w:t>
            </w:r>
          </w:p>
          <w:p w14:paraId="3D18B9C1" w14:textId="03E44D8E" w:rsidR="005C6C90" w:rsidRPr="009B4C6D" w:rsidRDefault="005C6C90" w:rsidP="00D02481">
            <w:pPr>
              <w:pStyle w:val="Paragraphe"/>
              <w:numPr>
                <w:ilvl w:val="0"/>
                <w:numId w:val="0"/>
              </w:numPr>
              <w:spacing w:before="0" w:line="240" w:lineRule="auto"/>
              <w:contextualSpacing/>
              <w:jc w:val="left"/>
              <w:rPr>
                <w:sz w:val="18"/>
                <w:szCs w:val="18"/>
              </w:rPr>
            </w:pPr>
          </w:p>
        </w:tc>
      </w:tr>
      <w:tr w:rsidR="001C7587" w:rsidRPr="009B4C6D" w14:paraId="349DA507" w14:textId="77777777" w:rsidTr="009B4C6D">
        <w:trPr>
          <w:jc w:val="center"/>
        </w:trPr>
        <w:tc>
          <w:tcPr>
            <w:tcW w:w="1696" w:type="dxa"/>
          </w:tcPr>
          <w:p w14:paraId="05AF3DFE" w14:textId="760B8FF5" w:rsidR="001C7587" w:rsidRDefault="001C7587" w:rsidP="00D02481">
            <w:pPr>
              <w:pStyle w:val="Paragraphe"/>
              <w:numPr>
                <w:ilvl w:val="0"/>
                <w:numId w:val="0"/>
              </w:numPr>
              <w:spacing w:before="0" w:line="240" w:lineRule="auto"/>
              <w:contextualSpacing/>
              <w:jc w:val="left"/>
              <w:rPr>
                <w:sz w:val="18"/>
                <w:szCs w:val="18"/>
              </w:rPr>
            </w:pPr>
            <w:r>
              <w:rPr>
                <w:sz w:val="18"/>
                <w:szCs w:val="18"/>
              </w:rPr>
              <w:t>2017-12-19</w:t>
            </w:r>
          </w:p>
        </w:tc>
        <w:tc>
          <w:tcPr>
            <w:tcW w:w="1560" w:type="dxa"/>
          </w:tcPr>
          <w:p w14:paraId="2EE9DE97" w14:textId="4AA50BEB" w:rsidR="001C7587" w:rsidRDefault="001C7587" w:rsidP="00D02481">
            <w:pPr>
              <w:pStyle w:val="Paragraphe"/>
              <w:numPr>
                <w:ilvl w:val="0"/>
                <w:numId w:val="0"/>
              </w:numPr>
              <w:spacing w:before="0" w:line="240" w:lineRule="auto"/>
              <w:contextualSpacing/>
              <w:jc w:val="left"/>
              <w:rPr>
                <w:sz w:val="18"/>
                <w:szCs w:val="18"/>
              </w:rPr>
            </w:pPr>
            <w:r>
              <w:rPr>
                <w:sz w:val="18"/>
                <w:szCs w:val="18"/>
              </w:rPr>
              <w:t>2018-07-06</w:t>
            </w:r>
          </w:p>
        </w:tc>
        <w:tc>
          <w:tcPr>
            <w:tcW w:w="3758" w:type="dxa"/>
          </w:tcPr>
          <w:p w14:paraId="437D8317" w14:textId="77777777" w:rsidR="001C7587" w:rsidRDefault="001C7587" w:rsidP="00D02481">
            <w:pPr>
              <w:pStyle w:val="Paragraphe"/>
              <w:numPr>
                <w:ilvl w:val="0"/>
                <w:numId w:val="0"/>
              </w:numPr>
              <w:spacing w:before="0" w:line="240" w:lineRule="auto"/>
              <w:contextualSpacing/>
              <w:jc w:val="left"/>
              <w:rPr>
                <w:sz w:val="18"/>
                <w:szCs w:val="18"/>
              </w:rPr>
            </w:pPr>
            <w:r>
              <w:rPr>
                <w:sz w:val="18"/>
                <w:szCs w:val="18"/>
              </w:rPr>
              <w:t>-bris de probation</w:t>
            </w:r>
          </w:p>
          <w:p w14:paraId="149E8D90" w14:textId="77777777" w:rsidR="001C7587" w:rsidRDefault="001C7587" w:rsidP="00D02481">
            <w:pPr>
              <w:pStyle w:val="Paragraphe"/>
              <w:numPr>
                <w:ilvl w:val="0"/>
                <w:numId w:val="0"/>
              </w:numPr>
              <w:spacing w:before="0" w:line="240" w:lineRule="auto"/>
              <w:contextualSpacing/>
              <w:jc w:val="left"/>
              <w:rPr>
                <w:sz w:val="18"/>
                <w:szCs w:val="18"/>
              </w:rPr>
            </w:pPr>
            <w:r>
              <w:rPr>
                <w:sz w:val="18"/>
                <w:szCs w:val="18"/>
              </w:rPr>
              <w:t>art. 733.1(1)(b)</w:t>
            </w:r>
          </w:p>
          <w:p w14:paraId="5D0D0BDD" w14:textId="08C8A640" w:rsidR="001C7587" w:rsidRDefault="001C7587" w:rsidP="00D02481">
            <w:pPr>
              <w:pStyle w:val="Paragraphe"/>
              <w:numPr>
                <w:ilvl w:val="0"/>
                <w:numId w:val="0"/>
              </w:numPr>
              <w:spacing w:before="0" w:line="240" w:lineRule="auto"/>
              <w:contextualSpacing/>
              <w:jc w:val="left"/>
              <w:rPr>
                <w:sz w:val="18"/>
                <w:szCs w:val="18"/>
              </w:rPr>
            </w:pPr>
          </w:p>
        </w:tc>
        <w:tc>
          <w:tcPr>
            <w:tcW w:w="2338" w:type="dxa"/>
          </w:tcPr>
          <w:p w14:paraId="588D024A" w14:textId="54CC4AF5" w:rsidR="001C7587" w:rsidRDefault="001C7587" w:rsidP="00D02481">
            <w:pPr>
              <w:pStyle w:val="Paragraphe"/>
              <w:numPr>
                <w:ilvl w:val="0"/>
                <w:numId w:val="0"/>
              </w:numPr>
              <w:spacing w:before="0" w:line="240" w:lineRule="auto"/>
              <w:contextualSpacing/>
              <w:jc w:val="left"/>
              <w:rPr>
                <w:sz w:val="18"/>
                <w:szCs w:val="18"/>
              </w:rPr>
            </w:pPr>
            <w:r>
              <w:rPr>
                <w:sz w:val="18"/>
                <w:szCs w:val="18"/>
              </w:rPr>
              <w:t>-amende 250$.</w:t>
            </w:r>
          </w:p>
        </w:tc>
      </w:tr>
      <w:tr w:rsidR="001C7587" w:rsidRPr="009B4C6D" w14:paraId="5EB2F0A7" w14:textId="77777777" w:rsidTr="009B4C6D">
        <w:trPr>
          <w:jc w:val="center"/>
        </w:trPr>
        <w:tc>
          <w:tcPr>
            <w:tcW w:w="1696" w:type="dxa"/>
          </w:tcPr>
          <w:p w14:paraId="1657C179" w14:textId="36682548" w:rsidR="001C7587" w:rsidRDefault="001C7587" w:rsidP="00D02481">
            <w:pPr>
              <w:pStyle w:val="Paragraphe"/>
              <w:numPr>
                <w:ilvl w:val="0"/>
                <w:numId w:val="0"/>
              </w:numPr>
              <w:spacing w:before="0" w:line="240" w:lineRule="auto"/>
              <w:contextualSpacing/>
              <w:jc w:val="left"/>
              <w:rPr>
                <w:sz w:val="18"/>
                <w:szCs w:val="18"/>
              </w:rPr>
            </w:pPr>
            <w:r>
              <w:rPr>
                <w:sz w:val="18"/>
                <w:szCs w:val="18"/>
              </w:rPr>
              <w:t>2018-09-25</w:t>
            </w:r>
          </w:p>
        </w:tc>
        <w:tc>
          <w:tcPr>
            <w:tcW w:w="1560" w:type="dxa"/>
          </w:tcPr>
          <w:p w14:paraId="3FA60A69" w14:textId="72F71DF3" w:rsidR="001C7587" w:rsidRDefault="001C7587" w:rsidP="00D02481">
            <w:pPr>
              <w:pStyle w:val="Paragraphe"/>
              <w:numPr>
                <w:ilvl w:val="0"/>
                <w:numId w:val="0"/>
              </w:numPr>
              <w:spacing w:before="0" w:line="240" w:lineRule="auto"/>
              <w:contextualSpacing/>
              <w:jc w:val="left"/>
              <w:rPr>
                <w:sz w:val="18"/>
                <w:szCs w:val="18"/>
              </w:rPr>
            </w:pPr>
            <w:r>
              <w:rPr>
                <w:sz w:val="18"/>
                <w:szCs w:val="18"/>
              </w:rPr>
              <w:t>2020-11-10</w:t>
            </w:r>
          </w:p>
        </w:tc>
        <w:tc>
          <w:tcPr>
            <w:tcW w:w="3758" w:type="dxa"/>
          </w:tcPr>
          <w:p w14:paraId="1C3FA242" w14:textId="77777777" w:rsidR="001C7587" w:rsidRDefault="001C7587" w:rsidP="00D02481">
            <w:pPr>
              <w:pStyle w:val="Paragraphe"/>
              <w:numPr>
                <w:ilvl w:val="0"/>
                <w:numId w:val="0"/>
              </w:numPr>
              <w:spacing w:before="0" w:line="240" w:lineRule="auto"/>
              <w:contextualSpacing/>
              <w:jc w:val="left"/>
              <w:rPr>
                <w:sz w:val="18"/>
                <w:szCs w:val="18"/>
              </w:rPr>
            </w:pPr>
            <w:r>
              <w:rPr>
                <w:sz w:val="18"/>
                <w:szCs w:val="18"/>
              </w:rPr>
              <w:t>-évasion de garde légale</w:t>
            </w:r>
          </w:p>
          <w:p w14:paraId="4BA5E3EC" w14:textId="77777777" w:rsidR="001C7587" w:rsidRDefault="001C7587" w:rsidP="00D02481">
            <w:pPr>
              <w:pStyle w:val="Paragraphe"/>
              <w:numPr>
                <w:ilvl w:val="0"/>
                <w:numId w:val="0"/>
              </w:numPr>
              <w:spacing w:before="0" w:line="240" w:lineRule="auto"/>
              <w:contextualSpacing/>
              <w:jc w:val="left"/>
              <w:rPr>
                <w:sz w:val="18"/>
                <w:szCs w:val="18"/>
              </w:rPr>
            </w:pPr>
            <w:r>
              <w:rPr>
                <w:sz w:val="18"/>
                <w:szCs w:val="18"/>
              </w:rPr>
              <w:t xml:space="preserve">art. 145(1)(a) </w:t>
            </w:r>
            <w:r>
              <w:rPr>
                <w:i/>
                <w:iCs/>
                <w:sz w:val="18"/>
                <w:szCs w:val="18"/>
              </w:rPr>
              <w:t>C.cr.</w:t>
            </w:r>
          </w:p>
          <w:p w14:paraId="5FEA349C" w14:textId="6080E389" w:rsidR="001C7587" w:rsidRPr="001C7587" w:rsidRDefault="001C7587" w:rsidP="00D02481">
            <w:pPr>
              <w:pStyle w:val="Paragraphe"/>
              <w:numPr>
                <w:ilvl w:val="0"/>
                <w:numId w:val="0"/>
              </w:numPr>
              <w:spacing w:before="0" w:line="240" w:lineRule="auto"/>
              <w:contextualSpacing/>
              <w:jc w:val="left"/>
              <w:rPr>
                <w:sz w:val="18"/>
                <w:szCs w:val="18"/>
              </w:rPr>
            </w:pPr>
          </w:p>
        </w:tc>
        <w:tc>
          <w:tcPr>
            <w:tcW w:w="2338" w:type="dxa"/>
          </w:tcPr>
          <w:p w14:paraId="55F63675" w14:textId="77777777" w:rsidR="001C7587" w:rsidRDefault="001C7587" w:rsidP="00D02481">
            <w:pPr>
              <w:pStyle w:val="Paragraphe"/>
              <w:numPr>
                <w:ilvl w:val="0"/>
                <w:numId w:val="0"/>
              </w:numPr>
              <w:spacing w:before="0" w:line="240" w:lineRule="auto"/>
              <w:contextualSpacing/>
              <w:jc w:val="left"/>
              <w:rPr>
                <w:sz w:val="18"/>
                <w:szCs w:val="18"/>
              </w:rPr>
            </w:pPr>
            <w:r>
              <w:rPr>
                <w:sz w:val="18"/>
                <w:szCs w:val="18"/>
              </w:rPr>
              <w:t>-sentence suspendue, probation de 2 ans.</w:t>
            </w:r>
          </w:p>
          <w:p w14:paraId="4AED71C1" w14:textId="77777777" w:rsidR="001C7587" w:rsidRDefault="001C7587" w:rsidP="00D02481">
            <w:pPr>
              <w:pStyle w:val="Paragraphe"/>
              <w:numPr>
                <w:ilvl w:val="0"/>
                <w:numId w:val="0"/>
              </w:numPr>
              <w:spacing w:before="0" w:line="240" w:lineRule="auto"/>
              <w:contextualSpacing/>
              <w:jc w:val="left"/>
              <w:rPr>
                <w:sz w:val="18"/>
                <w:szCs w:val="18"/>
              </w:rPr>
            </w:pPr>
            <w:r>
              <w:rPr>
                <w:sz w:val="18"/>
                <w:szCs w:val="18"/>
              </w:rPr>
              <w:t>-100 heures de travaux communautaires.</w:t>
            </w:r>
          </w:p>
          <w:p w14:paraId="36F1360A" w14:textId="11C84435" w:rsidR="005C6C90" w:rsidRDefault="005C6C90" w:rsidP="00D02481">
            <w:pPr>
              <w:pStyle w:val="Paragraphe"/>
              <w:numPr>
                <w:ilvl w:val="0"/>
                <w:numId w:val="0"/>
              </w:numPr>
              <w:spacing w:before="0" w:line="240" w:lineRule="auto"/>
              <w:contextualSpacing/>
              <w:jc w:val="left"/>
              <w:rPr>
                <w:sz w:val="18"/>
                <w:szCs w:val="18"/>
              </w:rPr>
            </w:pPr>
          </w:p>
        </w:tc>
      </w:tr>
      <w:tr w:rsidR="001C7587" w:rsidRPr="007E4FAF" w14:paraId="6951F135" w14:textId="77777777" w:rsidTr="009B4C6D">
        <w:trPr>
          <w:jc w:val="center"/>
        </w:trPr>
        <w:tc>
          <w:tcPr>
            <w:tcW w:w="1696" w:type="dxa"/>
          </w:tcPr>
          <w:p w14:paraId="7AD945FB" w14:textId="35D1ABCC" w:rsidR="001C7587" w:rsidRDefault="001C7587" w:rsidP="00D02481">
            <w:pPr>
              <w:pStyle w:val="Paragraphe"/>
              <w:numPr>
                <w:ilvl w:val="0"/>
                <w:numId w:val="0"/>
              </w:numPr>
              <w:spacing w:before="0" w:line="240" w:lineRule="auto"/>
              <w:contextualSpacing/>
              <w:jc w:val="left"/>
              <w:rPr>
                <w:sz w:val="18"/>
                <w:szCs w:val="18"/>
              </w:rPr>
            </w:pPr>
            <w:r>
              <w:rPr>
                <w:sz w:val="18"/>
                <w:szCs w:val="18"/>
              </w:rPr>
              <w:t>2020-02-12</w:t>
            </w:r>
          </w:p>
        </w:tc>
        <w:tc>
          <w:tcPr>
            <w:tcW w:w="1560" w:type="dxa"/>
          </w:tcPr>
          <w:p w14:paraId="7C5E98E1" w14:textId="285E80B1" w:rsidR="001C7587" w:rsidRDefault="001C7587" w:rsidP="00D02481">
            <w:pPr>
              <w:pStyle w:val="Paragraphe"/>
              <w:numPr>
                <w:ilvl w:val="0"/>
                <w:numId w:val="0"/>
              </w:numPr>
              <w:spacing w:before="0" w:line="240" w:lineRule="auto"/>
              <w:contextualSpacing/>
              <w:jc w:val="left"/>
              <w:rPr>
                <w:sz w:val="18"/>
                <w:szCs w:val="18"/>
              </w:rPr>
            </w:pPr>
            <w:r>
              <w:rPr>
                <w:sz w:val="18"/>
                <w:szCs w:val="18"/>
              </w:rPr>
              <w:t>2022-09-29</w:t>
            </w:r>
          </w:p>
        </w:tc>
        <w:tc>
          <w:tcPr>
            <w:tcW w:w="3758" w:type="dxa"/>
          </w:tcPr>
          <w:p w14:paraId="58045DB3" w14:textId="739E02C7" w:rsidR="001C7587" w:rsidRDefault="001C7587" w:rsidP="00D02481">
            <w:pPr>
              <w:pStyle w:val="Paragraphe"/>
              <w:numPr>
                <w:ilvl w:val="0"/>
                <w:numId w:val="0"/>
              </w:numPr>
              <w:spacing w:before="0" w:line="240" w:lineRule="auto"/>
              <w:contextualSpacing/>
              <w:jc w:val="left"/>
              <w:rPr>
                <w:sz w:val="18"/>
                <w:szCs w:val="18"/>
              </w:rPr>
            </w:pPr>
            <w:r>
              <w:rPr>
                <w:sz w:val="18"/>
                <w:szCs w:val="18"/>
              </w:rPr>
              <w:t>-possession de crack, cocaïne en poudre et speed en vue d’en faire le trafic</w:t>
            </w:r>
          </w:p>
          <w:p w14:paraId="22B55A2E" w14:textId="470370B2" w:rsidR="001C7587" w:rsidRDefault="001C7587" w:rsidP="00D02481">
            <w:pPr>
              <w:pStyle w:val="Paragraphe"/>
              <w:numPr>
                <w:ilvl w:val="0"/>
                <w:numId w:val="0"/>
              </w:numPr>
              <w:spacing w:before="0" w:line="240" w:lineRule="auto"/>
              <w:contextualSpacing/>
              <w:jc w:val="left"/>
              <w:rPr>
                <w:sz w:val="18"/>
                <w:szCs w:val="18"/>
                <w:lang w:val="en-CA"/>
              </w:rPr>
            </w:pPr>
            <w:r>
              <w:rPr>
                <w:sz w:val="18"/>
                <w:szCs w:val="18"/>
                <w:lang w:val="en-CA"/>
              </w:rPr>
              <w:t>a</w:t>
            </w:r>
            <w:r w:rsidRPr="001C7587">
              <w:rPr>
                <w:sz w:val="18"/>
                <w:szCs w:val="18"/>
                <w:lang w:val="en-CA"/>
              </w:rPr>
              <w:t xml:space="preserve">rt. 5(2)(3)(a) </w:t>
            </w:r>
            <w:r w:rsidRPr="001C7587">
              <w:rPr>
                <w:i/>
                <w:iCs/>
                <w:sz w:val="18"/>
                <w:szCs w:val="18"/>
                <w:lang w:val="en-CA"/>
              </w:rPr>
              <w:t>L.r.c.d.a.</w:t>
            </w:r>
            <w:r>
              <w:rPr>
                <w:i/>
                <w:iCs/>
                <w:sz w:val="18"/>
                <w:szCs w:val="18"/>
                <w:lang w:val="en-CA"/>
              </w:rPr>
              <w:t>s.</w:t>
            </w:r>
          </w:p>
          <w:p w14:paraId="3AEA50D2" w14:textId="0FDD860E" w:rsidR="001C7587" w:rsidRPr="003B09B0" w:rsidRDefault="001C7587" w:rsidP="00D02481">
            <w:pPr>
              <w:pStyle w:val="Paragraphe"/>
              <w:numPr>
                <w:ilvl w:val="0"/>
                <w:numId w:val="0"/>
              </w:numPr>
              <w:spacing w:before="0" w:line="240" w:lineRule="auto"/>
              <w:contextualSpacing/>
              <w:jc w:val="left"/>
              <w:rPr>
                <w:sz w:val="18"/>
                <w:szCs w:val="18"/>
              </w:rPr>
            </w:pPr>
            <w:r w:rsidRPr="003B09B0">
              <w:rPr>
                <w:sz w:val="18"/>
                <w:szCs w:val="18"/>
              </w:rPr>
              <w:t>(3 chefs)</w:t>
            </w:r>
          </w:p>
          <w:p w14:paraId="406C8101" w14:textId="1D9DECDD" w:rsidR="001C7587" w:rsidRPr="003B09B0" w:rsidRDefault="001C7587" w:rsidP="00D02481">
            <w:pPr>
              <w:pStyle w:val="Paragraphe"/>
              <w:numPr>
                <w:ilvl w:val="0"/>
                <w:numId w:val="0"/>
              </w:numPr>
              <w:spacing w:before="0" w:line="240" w:lineRule="auto"/>
              <w:contextualSpacing/>
              <w:jc w:val="left"/>
              <w:rPr>
                <w:sz w:val="18"/>
                <w:szCs w:val="18"/>
              </w:rPr>
            </w:pPr>
          </w:p>
          <w:p w14:paraId="4E94AA88" w14:textId="1421B552" w:rsidR="001C7587" w:rsidRPr="001C7587" w:rsidRDefault="001C7587" w:rsidP="00D02481">
            <w:pPr>
              <w:pStyle w:val="Paragraphe"/>
              <w:numPr>
                <w:ilvl w:val="0"/>
                <w:numId w:val="0"/>
              </w:numPr>
              <w:spacing w:before="0" w:line="240" w:lineRule="auto"/>
              <w:contextualSpacing/>
              <w:jc w:val="left"/>
              <w:rPr>
                <w:sz w:val="18"/>
                <w:szCs w:val="18"/>
              </w:rPr>
            </w:pPr>
            <w:r w:rsidRPr="001C7587">
              <w:rPr>
                <w:sz w:val="18"/>
                <w:szCs w:val="18"/>
              </w:rPr>
              <w:t>-possession de ha</w:t>
            </w:r>
            <w:r w:rsidR="00795660">
              <w:rPr>
                <w:sz w:val="18"/>
                <w:szCs w:val="18"/>
              </w:rPr>
              <w:t>chic</w:t>
            </w:r>
            <w:r w:rsidRPr="001C7587">
              <w:rPr>
                <w:sz w:val="18"/>
                <w:szCs w:val="18"/>
              </w:rPr>
              <w:t>h en vue d’en faire le trafic</w:t>
            </w:r>
          </w:p>
          <w:p w14:paraId="1FD55136" w14:textId="0167C2B9" w:rsidR="001C7587" w:rsidRPr="001C7587" w:rsidRDefault="001C7587" w:rsidP="00D02481">
            <w:pPr>
              <w:pStyle w:val="Paragraphe"/>
              <w:numPr>
                <w:ilvl w:val="0"/>
                <w:numId w:val="0"/>
              </w:numPr>
              <w:spacing w:before="0" w:line="240" w:lineRule="auto"/>
              <w:contextualSpacing/>
              <w:jc w:val="left"/>
              <w:rPr>
                <w:sz w:val="18"/>
                <w:szCs w:val="18"/>
                <w:lang w:val="en-CA"/>
              </w:rPr>
            </w:pPr>
            <w:r>
              <w:rPr>
                <w:sz w:val="18"/>
                <w:szCs w:val="18"/>
                <w:lang w:val="en-CA"/>
              </w:rPr>
              <w:t xml:space="preserve">art. 10(2)(5) </w:t>
            </w:r>
            <w:r>
              <w:rPr>
                <w:i/>
                <w:iCs/>
                <w:sz w:val="18"/>
                <w:szCs w:val="18"/>
                <w:lang w:val="en-CA"/>
              </w:rPr>
              <w:t>L.c.</w:t>
            </w:r>
          </w:p>
          <w:p w14:paraId="541BE2C1" w14:textId="1B08C7EB" w:rsidR="001C7587" w:rsidRPr="001C7587" w:rsidRDefault="001C7587" w:rsidP="00D02481">
            <w:pPr>
              <w:pStyle w:val="Paragraphe"/>
              <w:numPr>
                <w:ilvl w:val="0"/>
                <w:numId w:val="0"/>
              </w:numPr>
              <w:spacing w:before="0" w:line="240" w:lineRule="auto"/>
              <w:contextualSpacing/>
              <w:jc w:val="left"/>
              <w:rPr>
                <w:sz w:val="18"/>
                <w:szCs w:val="18"/>
                <w:lang w:val="en-CA"/>
              </w:rPr>
            </w:pPr>
          </w:p>
        </w:tc>
        <w:tc>
          <w:tcPr>
            <w:tcW w:w="2338" w:type="dxa"/>
          </w:tcPr>
          <w:p w14:paraId="0A9924BE" w14:textId="1C1AAE75" w:rsidR="001C7587" w:rsidRDefault="007E4FAF" w:rsidP="00D02481">
            <w:pPr>
              <w:pStyle w:val="Paragraphe"/>
              <w:numPr>
                <w:ilvl w:val="0"/>
                <w:numId w:val="0"/>
              </w:numPr>
              <w:spacing w:before="0" w:line="240" w:lineRule="auto"/>
              <w:contextualSpacing/>
              <w:jc w:val="left"/>
              <w:rPr>
                <w:sz w:val="18"/>
                <w:szCs w:val="18"/>
              </w:rPr>
            </w:pPr>
            <w:r w:rsidRPr="007E4FAF">
              <w:rPr>
                <w:sz w:val="18"/>
                <w:szCs w:val="18"/>
              </w:rPr>
              <w:t>-17 mois d’emprisonnement.</w:t>
            </w:r>
          </w:p>
          <w:p w14:paraId="46A383AA" w14:textId="09FEDD57" w:rsidR="007E4FAF" w:rsidRDefault="007E4FAF" w:rsidP="00D02481">
            <w:pPr>
              <w:pStyle w:val="Paragraphe"/>
              <w:numPr>
                <w:ilvl w:val="0"/>
                <w:numId w:val="0"/>
              </w:numPr>
              <w:spacing w:before="0" w:line="240" w:lineRule="auto"/>
              <w:contextualSpacing/>
              <w:jc w:val="left"/>
              <w:rPr>
                <w:sz w:val="18"/>
                <w:szCs w:val="18"/>
              </w:rPr>
            </w:pPr>
          </w:p>
          <w:p w14:paraId="117DF826" w14:textId="22AC70B0" w:rsidR="007E4FAF" w:rsidRPr="007E4FAF" w:rsidRDefault="007E4FAF" w:rsidP="00D02481">
            <w:pPr>
              <w:pStyle w:val="Paragraphe"/>
              <w:numPr>
                <w:ilvl w:val="0"/>
                <w:numId w:val="0"/>
              </w:numPr>
              <w:spacing w:before="0" w:line="240" w:lineRule="auto"/>
              <w:contextualSpacing/>
              <w:jc w:val="left"/>
              <w:rPr>
                <w:sz w:val="16"/>
                <w:szCs w:val="16"/>
              </w:rPr>
            </w:pPr>
            <w:r w:rsidRPr="007E4FAF">
              <w:rPr>
                <w:sz w:val="16"/>
                <w:szCs w:val="16"/>
              </w:rPr>
              <w:t>[déjà purgé au moment de l’imposition de la peine, compte tenu du crédit pour la détention provisoire]</w:t>
            </w:r>
          </w:p>
          <w:p w14:paraId="54FAEE53" w14:textId="77777777" w:rsidR="007E4FAF" w:rsidRPr="007E4FAF" w:rsidRDefault="007E4FAF" w:rsidP="00D02481">
            <w:pPr>
              <w:pStyle w:val="Paragraphe"/>
              <w:numPr>
                <w:ilvl w:val="0"/>
                <w:numId w:val="0"/>
              </w:numPr>
              <w:spacing w:before="0" w:line="240" w:lineRule="auto"/>
              <w:contextualSpacing/>
              <w:jc w:val="left"/>
              <w:rPr>
                <w:sz w:val="18"/>
                <w:szCs w:val="18"/>
              </w:rPr>
            </w:pPr>
          </w:p>
          <w:p w14:paraId="5232A599" w14:textId="77777777" w:rsidR="007E4FAF" w:rsidRPr="007E4FAF" w:rsidRDefault="007E4FAF" w:rsidP="00D02481">
            <w:pPr>
              <w:pStyle w:val="Paragraphe"/>
              <w:numPr>
                <w:ilvl w:val="0"/>
                <w:numId w:val="0"/>
              </w:numPr>
              <w:spacing w:before="0" w:line="240" w:lineRule="auto"/>
              <w:contextualSpacing/>
              <w:jc w:val="left"/>
              <w:rPr>
                <w:sz w:val="18"/>
                <w:szCs w:val="18"/>
              </w:rPr>
            </w:pPr>
            <w:r w:rsidRPr="007E4FAF">
              <w:rPr>
                <w:sz w:val="18"/>
                <w:szCs w:val="18"/>
              </w:rPr>
              <w:t>-1 mois concurrent.</w:t>
            </w:r>
          </w:p>
          <w:p w14:paraId="72206924" w14:textId="77777777" w:rsidR="007E4FAF" w:rsidRPr="007E4FAF" w:rsidRDefault="007E4FAF" w:rsidP="00D02481">
            <w:pPr>
              <w:pStyle w:val="Paragraphe"/>
              <w:numPr>
                <w:ilvl w:val="0"/>
                <w:numId w:val="0"/>
              </w:numPr>
              <w:spacing w:before="0" w:line="240" w:lineRule="auto"/>
              <w:contextualSpacing/>
              <w:jc w:val="left"/>
              <w:rPr>
                <w:sz w:val="18"/>
                <w:szCs w:val="18"/>
              </w:rPr>
            </w:pPr>
            <w:r w:rsidRPr="007E4FAF">
              <w:rPr>
                <w:sz w:val="18"/>
                <w:szCs w:val="18"/>
              </w:rPr>
              <w:t>-1 mois concurrent.</w:t>
            </w:r>
          </w:p>
          <w:p w14:paraId="1F146E2F" w14:textId="77777777" w:rsidR="007E4FAF" w:rsidRDefault="007E4FAF" w:rsidP="00D02481">
            <w:pPr>
              <w:pStyle w:val="Paragraphe"/>
              <w:numPr>
                <w:ilvl w:val="0"/>
                <w:numId w:val="0"/>
              </w:numPr>
              <w:spacing w:before="0" w:line="240" w:lineRule="auto"/>
              <w:contextualSpacing/>
              <w:jc w:val="left"/>
              <w:rPr>
                <w:sz w:val="18"/>
                <w:szCs w:val="18"/>
              </w:rPr>
            </w:pPr>
            <w:r>
              <w:rPr>
                <w:sz w:val="18"/>
                <w:szCs w:val="18"/>
              </w:rPr>
              <w:t>-1 mois concurrent.</w:t>
            </w:r>
          </w:p>
          <w:p w14:paraId="4CD6D90F" w14:textId="1231E46A" w:rsidR="005C6C90" w:rsidRPr="007E4FAF" w:rsidRDefault="005C6C90" w:rsidP="00D02481">
            <w:pPr>
              <w:pStyle w:val="Paragraphe"/>
              <w:numPr>
                <w:ilvl w:val="0"/>
                <w:numId w:val="0"/>
              </w:numPr>
              <w:spacing w:before="0" w:line="240" w:lineRule="auto"/>
              <w:contextualSpacing/>
              <w:jc w:val="left"/>
              <w:rPr>
                <w:sz w:val="18"/>
                <w:szCs w:val="18"/>
              </w:rPr>
            </w:pPr>
          </w:p>
        </w:tc>
      </w:tr>
    </w:tbl>
    <w:p w14:paraId="4E5EB529" w14:textId="77777777" w:rsidR="00BB0235" w:rsidRPr="007E4FAF" w:rsidRDefault="00BB0235" w:rsidP="00CD6752">
      <w:pPr>
        <w:pStyle w:val="Paragraphe"/>
        <w:numPr>
          <w:ilvl w:val="0"/>
          <w:numId w:val="0"/>
        </w:numPr>
        <w:spacing w:before="0" w:line="240" w:lineRule="auto"/>
        <w:contextualSpacing/>
      </w:pPr>
    </w:p>
    <w:p w14:paraId="4B433EC1" w14:textId="534A30EE" w:rsidR="00452317" w:rsidRDefault="008279A6" w:rsidP="007E4FEE">
      <w:pPr>
        <w:pStyle w:val="Paragraphe"/>
        <w:spacing w:line="240" w:lineRule="auto"/>
      </w:pPr>
      <w:r>
        <w:t xml:space="preserve">Quant à </w:t>
      </w:r>
      <w:r w:rsidR="00472806">
        <w:t>cette</w:t>
      </w:r>
      <w:r>
        <w:t xml:space="preserve"> dernière condamnation, l’infraction a été commise (en 2020) avant </w:t>
      </w:r>
      <w:r w:rsidR="00472806">
        <w:t xml:space="preserve">l’infraction </w:t>
      </w:r>
      <w:r>
        <w:t>dont je suis saisi. Toutefois, la peine n’avait pas encore été infligée</w:t>
      </w:r>
      <w:r w:rsidR="00E22327">
        <w:t xml:space="preserve"> en </w:t>
      </w:r>
      <w:r w:rsidR="00C4351C">
        <w:t>mars</w:t>
      </w:r>
      <w:r w:rsidR="00E22327">
        <w:t xml:space="preserve"> 2021</w:t>
      </w:r>
      <w:r w:rsidR="00E22327">
        <w:rPr>
          <w:rStyle w:val="Appelnotedebasdep"/>
        </w:rPr>
        <w:footnoteReference w:id="11"/>
      </w:r>
      <w:r>
        <w:t>. En conséquence, cette condamnation ne constitue pas un « antécédent judiciaire » proprement dit</w:t>
      </w:r>
      <w:r w:rsidR="00472806">
        <w:rPr>
          <w:rStyle w:val="Appelnotedebasdep"/>
        </w:rPr>
        <w:footnoteReference w:id="12"/>
      </w:r>
      <w:r>
        <w:t>.</w:t>
      </w:r>
      <w:r w:rsidR="00E22327">
        <w:t xml:space="preserve"> Son incidence sera analysée dans les pages qui suivent. À tout événement, il est pertinent de mentionner que le 12 février 2020, les policiers ont exécuté un mandat de perquisition dans un appartement sur la rue Rachel. Kensey Simon était présent et il avait la possession des substances suivantes</w:t>
      </w:r>
      <w:r w:rsidR="00E551A9">
        <w:t> </w:t>
      </w:r>
      <w:r w:rsidR="00E22327">
        <w:t>:</w:t>
      </w:r>
    </w:p>
    <w:p w14:paraId="1FA69874" w14:textId="3C710747" w:rsidR="00E22327" w:rsidRDefault="00E22327" w:rsidP="00E22327">
      <w:pPr>
        <w:pStyle w:val="Paragraphe"/>
        <w:numPr>
          <w:ilvl w:val="0"/>
          <w:numId w:val="12"/>
        </w:numPr>
        <w:spacing w:line="240" w:lineRule="auto"/>
        <w:ind w:left="1276"/>
      </w:pPr>
      <w:r>
        <w:t xml:space="preserve">88.69 g de crack (l’équivalent de </w:t>
      </w:r>
      <w:r w:rsidR="008B07DA">
        <w:t>591 roches</w:t>
      </w:r>
      <w:r w:rsidR="008B07DA">
        <w:rPr>
          <w:rStyle w:val="Appelnotedebasdep"/>
        </w:rPr>
        <w:footnoteReference w:id="13"/>
      </w:r>
      <w:r w:rsidR="008B07DA">
        <w:t>)</w:t>
      </w:r>
      <w:r>
        <w:t>;</w:t>
      </w:r>
    </w:p>
    <w:p w14:paraId="67C0862F" w14:textId="6846B846" w:rsidR="00E22327" w:rsidRDefault="00E22327" w:rsidP="00E22327">
      <w:pPr>
        <w:pStyle w:val="Paragraphe"/>
        <w:numPr>
          <w:ilvl w:val="0"/>
          <w:numId w:val="12"/>
        </w:numPr>
        <w:spacing w:line="240" w:lineRule="auto"/>
        <w:ind w:left="1276"/>
      </w:pPr>
      <w:r>
        <w:t>3.24 g de cocaïne en poudre;</w:t>
      </w:r>
    </w:p>
    <w:p w14:paraId="7C183D21" w14:textId="5D0106B3" w:rsidR="00E22327" w:rsidRDefault="00E22327" w:rsidP="00E22327">
      <w:pPr>
        <w:pStyle w:val="Paragraphe"/>
        <w:numPr>
          <w:ilvl w:val="0"/>
          <w:numId w:val="12"/>
        </w:numPr>
        <w:spacing w:line="240" w:lineRule="auto"/>
        <w:ind w:left="1276"/>
      </w:pPr>
      <w:r>
        <w:t>183 comprimés de speed; et</w:t>
      </w:r>
    </w:p>
    <w:p w14:paraId="0B6AD6C0" w14:textId="65D0DCDD" w:rsidR="00E22327" w:rsidRDefault="00E22327" w:rsidP="00E22327">
      <w:pPr>
        <w:pStyle w:val="Paragraphe"/>
        <w:numPr>
          <w:ilvl w:val="0"/>
          <w:numId w:val="12"/>
        </w:numPr>
        <w:spacing w:line="240" w:lineRule="auto"/>
        <w:ind w:left="1276"/>
      </w:pPr>
      <w:r>
        <w:t>66.65 g de ha</w:t>
      </w:r>
      <w:r w:rsidR="00795660">
        <w:t>chic</w:t>
      </w:r>
      <w:r>
        <w:t>h.</w:t>
      </w:r>
    </w:p>
    <w:p w14:paraId="4373FC57" w14:textId="560F2FAD" w:rsidR="00E22327" w:rsidRDefault="00394CE4" w:rsidP="007E4FEE">
      <w:pPr>
        <w:pStyle w:val="Paragraphe"/>
        <w:spacing w:line="240" w:lineRule="auto"/>
      </w:pPr>
      <w:r>
        <w:t>Il avait également 840</w:t>
      </w:r>
      <w:r w:rsidR="00646621">
        <w:t> </w:t>
      </w:r>
      <w:r>
        <w:t>$ sur sa personne</w:t>
      </w:r>
      <w:r>
        <w:rPr>
          <w:rStyle w:val="Appelnotedebasdep"/>
        </w:rPr>
        <w:footnoteReference w:id="14"/>
      </w:r>
      <w:r>
        <w:t>. Au total, la somme de 3371</w:t>
      </w:r>
      <w:r w:rsidR="00646621">
        <w:t> </w:t>
      </w:r>
      <w:r>
        <w:t>$ a été saisie et confisquée</w:t>
      </w:r>
      <w:r>
        <w:rPr>
          <w:rStyle w:val="Appelnotedebasdep"/>
        </w:rPr>
        <w:footnoteReference w:id="15"/>
      </w:r>
      <w:r>
        <w:t>.</w:t>
      </w:r>
    </w:p>
    <w:p w14:paraId="27C901C0" w14:textId="79E6E6B7" w:rsidR="008034C5" w:rsidRDefault="008034C5" w:rsidP="008034C5">
      <w:pPr>
        <w:pStyle w:val="Titre2"/>
        <w:numPr>
          <w:ilvl w:val="0"/>
          <w:numId w:val="13"/>
        </w:numPr>
        <w:spacing w:before="120" w:after="120"/>
        <w:rPr>
          <w:i w:val="0"/>
          <w:u w:val="single"/>
        </w:rPr>
      </w:pPr>
      <w:r>
        <w:rPr>
          <w:i w:val="0"/>
          <w:u w:val="single"/>
        </w:rPr>
        <w:t>Les conditions auxquelles il était soumis au moment de la commission de l’infraction en l’espèce</w:t>
      </w:r>
    </w:p>
    <w:p w14:paraId="540EE81B" w14:textId="6EC3F3DE" w:rsidR="008034C5" w:rsidRDefault="008034C5" w:rsidP="007E4FEE">
      <w:pPr>
        <w:pStyle w:val="Paragraphe"/>
        <w:spacing w:line="240" w:lineRule="auto"/>
      </w:pPr>
      <w:r>
        <w:t xml:space="preserve">Pendant l’enquête et au moment de son arrestation le 17 mars 2021 dans le présent dossier, Simon était déjà en attente de procès dans quatre dossiers </w:t>
      </w:r>
      <w:r w:rsidR="005A2838">
        <w:t xml:space="preserve">criminels </w:t>
      </w:r>
      <w:r w:rsidR="000D4B4E">
        <w:t>pendants, dont deux dossiers majeurs en matière de possession de drogues dures en vue d’en faire le trafic.</w:t>
      </w:r>
    </w:p>
    <w:p w14:paraId="40856C55" w14:textId="3BB9D045" w:rsidR="008034C5" w:rsidRDefault="000D4B4E" w:rsidP="007E4FEE">
      <w:pPr>
        <w:pStyle w:val="Paragraphe"/>
        <w:spacing w:line="240" w:lineRule="auto"/>
      </w:pPr>
      <w:r>
        <w:t xml:space="preserve">Il était donc </w:t>
      </w:r>
      <w:r w:rsidR="008034C5">
        <w:t>sous le coup de deux ordon</w:t>
      </w:r>
      <w:r>
        <w:t>nances de mise en liberté :</w:t>
      </w:r>
    </w:p>
    <w:p w14:paraId="24B98597" w14:textId="0C86D37A" w:rsidR="000D4B4E" w:rsidRDefault="000D4B4E" w:rsidP="000D4B4E">
      <w:pPr>
        <w:pStyle w:val="Paragraphe"/>
        <w:numPr>
          <w:ilvl w:val="0"/>
          <w:numId w:val="14"/>
        </w:numPr>
        <w:spacing w:line="240" w:lineRule="auto"/>
        <w:ind w:left="1701"/>
      </w:pPr>
      <w:r>
        <w:t>Dossiers 500-01-201322-200 (bris de conditions) et 500-01-201336-200 (possession de substances de l’annexe 1 en vue d’en faire le trafic).</w:t>
      </w:r>
    </w:p>
    <w:p w14:paraId="291A1432" w14:textId="61FE4B65" w:rsidR="000D4B4E" w:rsidRDefault="000D4B4E" w:rsidP="000D4B4E">
      <w:pPr>
        <w:pStyle w:val="Paragraphe"/>
        <w:numPr>
          <w:ilvl w:val="0"/>
          <w:numId w:val="0"/>
        </w:numPr>
        <w:spacing w:line="240" w:lineRule="auto"/>
        <w:ind w:left="1701"/>
      </w:pPr>
      <w:r>
        <w:t>Signées le 13 mars 2020</w:t>
      </w:r>
      <w:r>
        <w:rPr>
          <w:rStyle w:val="Appelnotedebasdep"/>
        </w:rPr>
        <w:footnoteReference w:id="16"/>
      </w:r>
      <w:r>
        <w:t>.</w:t>
      </w:r>
    </w:p>
    <w:p w14:paraId="6D698DB9" w14:textId="5277B838" w:rsidR="000D4B4E" w:rsidRDefault="000D4B4E" w:rsidP="000D4B4E">
      <w:pPr>
        <w:pStyle w:val="Paragraphe"/>
        <w:numPr>
          <w:ilvl w:val="0"/>
          <w:numId w:val="14"/>
        </w:numPr>
        <w:spacing w:line="240" w:lineRule="auto"/>
        <w:ind w:left="1701"/>
      </w:pPr>
      <w:r>
        <w:t>Dossiers 500-01-206987-205 (bris de conditions) et 500-01-207010-205 (possession de substances de l’annexe 1 en vue d’en faire le trafic).</w:t>
      </w:r>
    </w:p>
    <w:p w14:paraId="55E32DEF" w14:textId="6F3732EA" w:rsidR="000D4B4E" w:rsidRDefault="000D4B4E" w:rsidP="000D4B4E">
      <w:pPr>
        <w:pStyle w:val="Paragraphe"/>
        <w:numPr>
          <w:ilvl w:val="0"/>
          <w:numId w:val="0"/>
        </w:numPr>
        <w:spacing w:line="240" w:lineRule="auto"/>
        <w:ind w:left="1701"/>
      </w:pPr>
      <w:r>
        <w:t>Signées le 16 juillet 2020</w:t>
      </w:r>
      <w:r>
        <w:rPr>
          <w:rStyle w:val="Appelnotedebasdep"/>
        </w:rPr>
        <w:footnoteReference w:id="17"/>
      </w:r>
      <w:r>
        <w:t>.</w:t>
      </w:r>
    </w:p>
    <w:p w14:paraId="7D24B0B1" w14:textId="16DBF60B" w:rsidR="000D4B4E" w:rsidRDefault="000D4B4E" w:rsidP="00F446D4">
      <w:pPr>
        <w:pStyle w:val="Paragraphe"/>
        <w:spacing w:line="240" w:lineRule="auto"/>
      </w:pPr>
      <w:r>
        <w:t>Qui plus est, il était en probation et ce, depuis le 10 novembre 2020 à la suite d’une condamnation pour évasion de garde légale</w:t>
      </w:r>
      <w:r>
        <w:rPr>
          <w:rStyle w:val="Appelnotedebasdep"/>
        </w:rPr>
        <w:footnoteReference w:id="18"/>
      </w:r>
      <w:r>
        <w:t>. Incidemment, en plus de la condition générale de garder la paix, l’ordonnance lui interdisait d’avoir la garde ou le contrôle de tout véhicule à moteur du 10 novembre 2020 au 10 mai 2021</w:t>
      </w:r>
      <w:r>
        <w:rPr>
          <w:rStyle w:val="Appelnotedebasdep"/>
        </w:rPr>
        <w:footnoteReference w:id="19"/>
      </w:r>
      <w:r>
        <w:t>.</w:t>
      </w:r>
      <w:r w:rsidR="00F446D4">
        <w:t xml:space="preserve"> </w:t>
      </w:r>
      <w:r>
        <w:t>La preuve de filature dans le présent dossier a établi que Simon a violé cette condition à plusieurs reprises.</w:t>
      </w:r>
    </w:p>
    <w:p w14:paraId="2114EBE6" w14:textId="37B1EB7B" w:rsidR="002F6501" w:rsidRDefault="008C0475" w:rsidP="002F6501">
      <w:pPr>
        <w:pStyle w:val="Titre1"/>
        <w:spacing w:before="120" w:after="120"/>
        <w:rPr>
          <w:sz w:val="24"/>
          <w:szCs w:val="24"/>
          <w:u w:val="single"/>
        </w:rPr>
      </w:pPr>
      <w:r>
        <w:rPr>
          <w:sz w:val="24"/>
          <w:szCs w:val="24"/>
          <w:u w:val="single"/>
        </w:rPr>
        <w:t>ANALYSE</w:t>
      </w:r>
    </w:p>
    <w:p w14:paraId="2A258839" w14:textId="77777777" w:rsidR="008C0475" w:rsidRPr="003975C7" w:rsidRDefault="008C0475" w:rsidP="008C0475">
      <w:pPr>
        <w:pStyle w:val="Titre1"/>
        <w:spacing w:before="120" w:after="120"/>
        <w:jc w:val="both"/>
        <w:rPr>
          <w:sz w:val="24"/>
          <w:szCs w:val="24"/>
        </w:rPr>
      </w:pPr>
      <w:r w:rsidRPr="00A01956">
        <w:rPr>
          <w:sz w:val="24"/>
          <w:szCs w:val="24"/>
        </w:rPr>
        <w:t xml:space="preserve">1- </w:t>
      </w:r>
      <w:r>
        <w:rPr>
          <w:sz w:val="24"/>
          <w:szCs w:val="24"/>
          <w:u w:val="single"/>
        </w:rPr>
        <w:t>Les principes applicables en matière d’imposition de la peine</w:t>
      </w:r>
    </w:p>
    <w:p w14:paraId="7CE7CE6A" w14:textId="2A21A5F4" w:rsidR="008C0475" w:rsidRDefault="008C0475" w:rsidP="008C0475">
      <w:pPr>
        <w:pStyle w:val="Paragraphe"/>
        <w:numPr>
          <w:ilvl w:val="0"/>
          <w:numId w:val="1"/>
        </w:numPr>
        <w:tabs>
          <w:tab w:val="clear" w:pos="360"/>
        </w:tabs>
        <w:spacing w:line="240" w:lineRule="auto"/>
      </w:pPr>
      <w:r>
        <w:t>L</w:t>
      </w:r>
      <w:r w:rsidRPr="00900F33">
        <w:t>e processus d’imposition de la peine n’est pas une science exacte</w:t>
      </w:r>
      <w:r w:rsidRPr="00900F33">
        <w:rPr>
          <w:rStyle w:val="Appelnotedebasdep"/>
        </w:rPr>
        <w:footnoteReference w:id="20"/>
      </w:r>
      <w:r w:rsidRPr="00900F33">
        <w:t>.</w:t>
      </w:r>
      <w:r>
        <w:t xml:space="preserve"> </w:t>
      </w:r>
      <w:r w:rsidRPr="009A2DCF">
        <w:t xml:space="preserve">Elle </w:t>
      </w:r>
      <w:r w:rsidR="00CE0D8A" w:rsidRPr="009A2DCF">
        <w:t xml:space="preserve">est </w:t>
      </w:r>
      <w:r>
        <w:t>l’une des tâches les plus difficiles et les plus délicates de la fonction judiciaire. Trouver et appliquer la norme la plus juste et la plus équitable pour l’accusé tout en manifestant la réprobation sociale adéquate et en assurant la protection de la société est un exercice de pondération complexe puisqu’il tend à assurer un équilibre entre des valeurs qui, sans s’opposer, visent des objectifs différents</w:t>
      </w:r>
      <w:r>
        <w:rPr>
          <w:rStyle w:val="Appelnotedebasdep"/>
        </w:rPr>
        <w:footnoteReference w:id="21"/>
      </w:r>
      <w:r>
        <w:t>.</w:t>
      </w:r>
      <w:r w:rsidRPr="00900F33">
        <w:t xml:space="preserve"> L’analyse est discrétionnaire et dépendra souvent de variables subjectives. Toute peine doit être individ</w:t>
      </w:r>
      <w:r>
        <w:t>ualisée et chaque cas est un cas d’espèce.</w:t>
      </w:r>
    </w:p>
    <w:p w14:paraId="63E6C54C" w14:textId="77777777" w:rsidR="008C0475" w:rsidRPr="00F1052A" w:rsidRDefault="008C0475" w:rsidP="008C0475">
      <w:pPr>
        <w:pStyle w:val="Paragraphe"/>
        <w:numPr>
          <w:ilvl w:val="0"/>
          <w:numId w:val="1"/>
        </w:numPr>
        <w:tabs>
          <w:tab w:val="clear" w:pos="360"/>
        </w:tabs>
        <w:spacing w:line="240" w:lineRule="auto"/>
      </w:pPr>
      <w:r>
        <w:t xml:space="preserve">Soulignant l’importance de la réprobation, du châtiment et de la dénonciation dans l’arrêt </w:t>
      </w:r>
      <w:r>
        <w:rPr>
          <w:b/>
          <w:i/>
        </w:rPr>
        <w:t xml:space="preserve">R. </w:t>
      </w:r>
      <w:r>
        <w:rPr>
          <w:b/>
        </w:rPr>
        <w:t xml:space="preserve">c. </w:t>
      </w:r>
      <w:r>
        <w:rPr>
          <w:b/>
          <w:i/>
        </w:rPr>
        <w:t>M.(C.A.)</w:t>
      </w:r>
      <w:r>
        <w:t>, le juge en chef Lamer a rappelé que la société doit, par l’entremise des tribunaux, communiquer sa répulsion à l’égard de certains crimes, et les peines qu’ils infligent sont le seul moyen qu’ont les tribunaux de transmettre ce message</w:t>
      </w:r>
      <w:r>
        <w:rPr>
          <w:rStyle w:val="Appelnotedebasdep"/>
        </w:rPr>
        <w:footnoteReference w:id="22"/>
      </w:r>
      <w:r>
        <w:t>.</w:t>
      </w:r>
    </w:p>
    <w:p w14:paraId="272BDA24" w14:textId="73A7CEAF" w:rsidR="008C0475" w:rsidRPr="009C1CEE" w:rsidRDefault="008C0475" w:rsidP="008C0475">
      <w:pPr>
        <w:pStyle w:val="Paragraphe"/>
        <w:numPr>
          <w:ilvl w:val="0"/>
          <w:numId w:val="1"/>
        </w:numPr>
        <w:tabs>
          <w:tab w:val="clear" w:pos="360"/>
        </w:tabs>
        <w:spacing w:line="240" w:lineRule="auto"/>
      </w:pPr>
      <w:r w:rsidRPr="00147E39">
        <w:rPr>
          <w:rFonts w:cs="Arial"/>
          <w:szCs w:val="24"/>
        </w:rPr>
        <w:t xml:space="preserve">Les principes et objectifs de la détermination de la peine se trouvent aux arts. 718 et suivants du </w:t>
      </w:r>
      <w:r w:rsidRPr="00147E39">
        <w:rPr>
          <w:rFonts w:cs="Arial"/>
          <w:i/>
          <w:szCs w:val="24"/>
        </w:rPr>
        <w:t>Code criminel</w:t>
      </w:r>
      <w:r w:rsidRPr="00147E39">
        <w:rPr>
          <w:rFonts w:cs="Arial"/>
          <w:szCs w:val="24"/>
        </w:rPr>
        <w:t xml:space="preserve">. Le prononcé de la peine a pour objectif essentiel de protéger la société et </w:t>
      </w:r>
      <w:r>
        <w:rPr>
          <w:rFonts w:cs="Arial"/>
          <w:szCs w:val="24"/>
        </w:rPr>
        <w:t xml:space="preserve">de </w:t>
      </w:r>
      <w:r w:rsidRPr="00147E39">
        <w:rPr>
          <w:rFonts w:cs="Arial"/>
          <w:szCs w:val="24"/>
        </w:rPr>
        <w:t xml:space="preserve">contribuer au respect de la loi et au maintien d’une société juste, paisible et sûre par l’imposition d’une </w:t>
      </w:r>
      <w:r w:rsidRPr="00016841">
        <w:rPr>
          <w:rFonts w:cs="Arial"/>
          <w:szCs w:val="24"/>
        </w:rPr>
        <w:t xml:space="preserve">sanction juste visant à dénoncer le comportement illégal et le tort causé aux victimes, </w:t>
      </w:r>
      <w:r w:rsidR="00367DB0" w:rsidRPr="00016841">
        <w:rPr>
          <w:rFonts w:cs="Arial"/>
          <w:szCs w:val="24"/>
        </w:rPr>
        <w:t>à</w:t>
      </w:r>
      <w:r>
        <w:rPr>
          <w:rFonts w:cs="Arial"/>
          <w:szCs w:val="24"/>
        </w:rPr>
        <w:t xml:space="preserve"> </w:t>
      </w:r>
      <w:r w:rsidRPr="00147E39">
        <w:rPr>
          <w:rFonts w:cs="Arial"/>
          <w:szCs w:val="24"/>
        </w:rPr>
        <w:t xml:space="preserve">dissuader le délinquant et quiconque de commettre des infractions, </w:t>
      </w:r>
      <w:r>
        <w:rPr>
          <w:rFonts w:cs="Arial"/>
          <w:szCs w:val="24"/>
        </w:rPr>
        <w:t xml:space="preserve">de </w:t>
      </w:r>
      <w:r w:rsidRPr="00147E39">
        <w:rPr>
          <w:rFonts w:cs="Arial"/>
          <w:szCs w:val="24"/>
        </w:rPr>
        <w:t xml:space="preserve">l’isoler au besoin, </w:t>
      </w:r>
      <w:r>
        <w:rPr>
          <w:rFonts w:cs="Arial"/>
          <w:szCs w:val="24"/>
        </w:rPr>
        <w:t xml:space="preserve">de </w:t>
      </w:r>
      <w:r w:rsidRPr="00147E39">
        <w:rPr>
          <w:rFonts w:cs="Arial"/>
          <w:szCs w:val="24"/>
        </w:rPr>
        <w:t>conscientiser celui-ci des torts qu’il a causés, tout en favorisant une réinsertion sociale</w:t>
      </w:r>
      <w:r>
        <w:rPr>
          <w:rFonts w:cs="Arial"/>
          <w:szCs w:val="24"/>
        </w:rPr>
        <w:t>.</w:t>
      </w:r>
    </w:p>
    <w:p w14:paraId="585C4F46" w14:textId="77777777" w:rsidR="008C0475" w:rsidRPr="009C1CEE" w:rsidRDefault="008C0475" w:rsidP="008C0475">
      <w:pPr>
        <w:pStyle w:val="Paragraphe"/>
        <w:numPr>
          <w:ilvl w:val="0"/>
          <w:numId w:val="1"/>
        </w:numPr>
        <w:tabs>
          <w:tab w:val="clear" w:pos="360"/>
        </w:tabs>
        <w:spacing w:line="240" w:lineRule="auto"/>
      </w:pPr>
      <w:r>
        <w:rPr>
          <w:rFonts w:cs="Arial"/>
          <w:szCs w:val="24"/>
        </w:rPr>
        <w:t>L</w:t>
      </w:r>
      <w:r w:rsidRPr="00147E39">
        <w:rPr>
          <w:rFonts w:cs="Arial"/>
          <w:szCs w:val="24"/>
        </w:rPr>
        <w:t>e devoir général du juge qui inflige la peine est de faire appel à tous les principes légitimes de détermination afin de fixer une peine juste et appropriée, qui reflète la gravité de l’infraction commise et la culpabilité morale du contrevenant</w:t>
      </w:r>
      <w:r w:rsidRPr="009C1CEE">
        <w:rPr>
          <w:rStyle w:val="Appelnotedebasdep"/>
          <w:rFonts w:cs="Arial"/>
          <w:szCs w:val="24"/>
        </w:rPr>
        <w:footnoteReference w:id="23"/>
      </w:r>
      <w:r>
        <w:rPr>
          <w:rFonts w:cs="Arial"/>
          <w:szCs w:val="24"/>
        </w:rPr>
        <w:t>. L’individualisation est au cœur de l’évaluation de la proportionnalité. Alors que la gravité objective d’une infraction peut être relativement constante, chaque crime est commis dans des circonstances uniques, par un délinquant au profil unique</w:t>
      </w:r>
      <w:r>
        <w:rPr>
          <w:rStyle w:val="Appelnotedebasdep"/>
          <w:rFonts w:cs="Arial"/>
          <w:szCs w:val="24"/>
        </w:rPr>
        <w:footnoteReference w:id="24"/>
      </w:r>
      <w:r>
        <w:rPr>
          <w:rFonts w:cs="Arial"/>
          <w:szCs w:val="24"/>
        </w:rPr>
        <w:t>.</w:t>
      </w:r>
    </w:p>
    <w:p w14:paraId="685A131C" w14:textId="77777777" w:rsidR="008C0475" w:rsidRPr="00AE06DC" w:rsidRDefault="008C0475" w:rsidP="008C0475">
      <w:pPr>
        <w:pStyle w:val="Paragraphe"/>
        <w:numPr>
          <w:ilvl w:val="0"/>
          <w:numId w:val="1"/>
        </w:numPr>
        <w:tabs>
          <w:tab w:val="clear" w:pos="360"/>
        </w:tabs>
        <w:spacing w:line="240" w:lineRule="auto"/>
      </w:pPr>
      <w:r w:rsidRPr="00147E39">
        <w:rPr>
          <w:rFonts w:cs="Arial"/>
          <w:szCs w:val="24"/>
        </w:rPr>
        <w:t>Ains</w:t>
      </w:r>
      <w:r>
        <w:rPr>
          <w:rFonts w:cs="Arial"/>
          <w:szCs w:val="24"/>
        </w:rPr>
        <w:t>i, la Cour doit tenir compte de tous les facteurs pertinents</w:t>
      </w:r>
      <w:r>
        <w:rPr>
          <w:rStyle w:val="Appelnotedebasdep"/>
          <w:rFonts w:cs="Arial"/>
          <w:szCs w:val="24"/>
        </w:rPr>
        <w:footnoteReference w:id="25"/>
      </w:r>
      <w:r>
        <w:rPr>
          <w:rFonts w:cs="Arial"/>
          <w:szCs w:val="24"/>
        </w:rPr>
        <w:t>,</w:t>
      </w:r>
      <w:r w:rsidRPr="00147E39">
        <w:rPr>
          <w:rFonts w:cs="Arial"/>
          <w:szCs w:val="24"/>
        </w:rPr>
        <w:t xml:space="preserve"> </w:t>
      </w:r>
      <w:r>
        <w:rPr>
          <w:rFonts w:cs="Arial"/>
          <w:szCs w:val="24"/>
        </w:rPr>
        <w:t xml:space="preserve">y compris les </w:t>
      </w:r>
      <w:r w:rsidRPr="00147E39">
        <w:rPr>
          <w:rFonts w:cs="Arial"/>
          <w:szCs w:val="24"/>
        </w:rPr>
        <w:t>circonstances aggravantes et atténuantes</w:t>
      </w:r>
      <w:r>
        <w:rPr>
          <w:rFonts w:cs="Arial"/>
          <w:szCs w:val="24"/>
        </w:rPr>
        <w:t>,</w:t>
      </w:r>
      <w:r w:rsidRPr="00147E39">
        <w:rPr>
          <w:rFonts w:cs="Arial"/>
          <w:szCs w:val="24"/>
        </w:rPr>
        <w:t xml:space="preserve"> et aussi du principe de l’harmonisation des peines (art. 718.2(b)</w:t>
      </w:r>
      <w:r>
        <w:rPr>
          <w:rFonts w:cs="Arial"/>
          <w:szCs w:val="24"/>
        </w:rPr>
        <w:t xml:space="preserve"> </w:t>
      </w:r>
      <w:r>
        <w:rPr>
          <w:rFonts w:cs="Arial"/>
          <w:i/>
          <w:szCs w:val="24"/>
        </w:rPr>
        <w:t>C.cr.</w:t>
      </w:r>
      <w:r w:rsidRPr="00147E39">
        <w:rPr>
          <w:rFonts w:cs="Arial"/>
          <w:szCs w:val="24"/>
        </w:rPr>
        <w:t>) qui prévoit que la peine doit être semblable à celles infligées à des délinquants pour des infractions semblables dans des circonstances semblables. Le</w:t>
      </w:r>
      <w:r>
        <w:rPr>
          <w:rFonts w:cs="Arial"/>
          <w:szCs w:val="24"/>
        </w:rPr>
        <w:t>s</w:t>
      </w:r>
      <w:r w:rsidRPr="00147E39">
        <w:rPr>
          <w:rFonts w:cs="Arial"/>
          <w:szCs w:val="24"/>
        </w:rPr>
        <w:t xml:space="preserve"> </w:t>
      </w:r>
      <w:r w:rsidRPr="00B12EFF">
        <w:rPr>
          <w:rFonts w:cs="Arial"/>
          <w:szCs w:val="24"/>
        </w:rPr>
        <w:t>principes de l’harmonisation et de la parité, bien qu’ils demeurent des facteurs pertinents et souhaitables</w:t>
      </w:r>
      <w:r w:rsidRPr="00B12EFF">
        <w:rPr>
          <w:rStyle w:val="Appelnotedebasdep"/>
          <w:rFonts w:cs="Arial"/>
          <w:szCs w:val="24"/>
        </w:rPr>
        <w:footnoteReference w:id="26"/>
      </w:r>
      <w:r w:rsidRPr="00B12EFF">
        <w:rPr>
          <w:rFonts w:cs="Arial"/>
          <w:szCs w:val="24"/>
        </w:rPr>
        <w:t>, ne doivent jamais dominer la détermination de la peine ou éclipser le principe fondamental de la proportionnalité</w:t>
      </w:r>
      <w:r w:rsidRPr="00B12EFF">
        <w:rPr>
          <w:rStyle w:val="Appelnotedebasdep"/>
          <w:rFonts w:cs="Arial"/>
          <w:szCs w:val="24"/>
        </w:rPr>
        <w:footnoteReference w:id="27"/>
      </w:r>
      <w:r w:rsidRPr="00B12EFF">
        <w:rPr>
          <w:rFonts w:cs="Arial"/>
          <w:szCs w:val="24"/>
        </w:rPr>
        <w:t xml:space="preserve">. </w:t>
      </w:r>
      <w:r>
        <w:rPr>
          <w:rFonts w:cs="Arial"/>
          <w:szCs w:val="24"/>
        </w:rPr>
        <w:t xml:space="preserve">D’ailleurs, dans le </w:t>
      </w:r>
      <w:r w:rsidRPr="004D281C">
        <w:rPr>
          <w:rFonts w:cs="Arial"/>
          <w:szCs w:val="24"/>
        </w:rPr>
        <w:t xml:space="preserve">récent arrêt </w:t>
      </w:r>
      <w:r>
        <w:rPr>
          <w:rFonts w:cs="Arial"/>
          <w:b/>
          <w:i/>
          <w:szCs w:val="24"/>
        </w:rPr>
        <w:t xml:space="preserve">R. </w:t>
      </w:r>
      <w:r>
        <w:rPr>
          <w:rFonts w:cs="Arial"/>
          <w:b/>
          <w:szCs w:val="24"/>
        </w:rPr>
        <w:t xml:space="preserve">c. </w:t>
      </w:r>
      <w:r>
        <w:rPr>
          <w:rFonts w:cs="Arial"/>
          <w:b/>
          <w:i/>
          <w:szCs w:val="24"/>
        </w:rPr>
        <w:t>Friesen</w:t>
      </w:r>
      <w:r>
        <w:rPr>
          <w:rFonts w:cs="Arial"/>
          <w:szCs w:val="24"/>
        </w:rPr>
        <w:t>, la Cour suprême a précisé que la parité et la proportionnalité ne s’opposent pas l’une à l’autre. La parité est plutôt une manifestation de la proportionnalité. L’application cohérente de la proportionnalité entraîne la parité</w:t>
      </w:r>
      <w:r>
        <w:rPr>
          <w:rStyle w:val="Appelnotedebasdep"/>
          <w:rFonts w:cs="Arial"/>
          <w:szCs w:val="24"/>
        </w:rPr>
        <w:footnoteReference w:id="28"/>
      </w:r>
      <w:r>
        <w:rPr>
          <w:rFonts w:cs="Arial"/>
          <w:szCs w:val="24"/>
        </w:rPr>
        <w:t>.</w:t>
      </w:r>
    </w:p>
    <w:p w14:paraId="629BFB7A" w14:textId="0BA9BCE5" w:rsidR="008C0475" w:rsidRPr="008C0475" w:rsidRDefault="008C0475" w:rsidP="008C0475">
      <w:pPr>
        <w:pStyle w:val="Paragraphe"/>
        <w:numPr>
          <w:ilvl w:val="0"/>
          <w:numId w:val="1"/>
        </w:numPr>
        <w:tabs>
          <w:tab w:val="clear" w:pos="360"/>
        </w:tabs>
        <w:spacing w:line="240" w:lineRule="auto"/>
      </w:pPr>
      <w:r>
        <w:rPr>
          <w:rFonts w:cs="Arial"/>
          <w:szCs w:val="24"/>
        </w:rPr>
        <w:t>Le</w:t>
      </w:r>
      <w:r w:rsidRPr="00147E39">
        <w:rPr>
          <w:rFonts w:cs="Arial"/>
          <w:szCs w:val="24"/>
        </w:rPr>
        <w:t xml:space="preserve"> </w:t>
      </w:r>
      <w:r>
        <w:rPr>
          <w:rFonts w:cs="Arial"/>
          <w:szCs w:val="24"/>
        </w:rPr>
        <w:t>Tribunal</w:t>
      </w:r>
      <w:r w:rsidRPr="00147E39">
        <w:rPr>
          <w:rFonts w:cs="Arial"/>
          <w:szCs w:val="24"/>
        </w:rPr>
        <w:t xml:space="preserve"> doit éviter l’excès de nature et de durée dans l’infliction des peines, cherchant toujours à déterminer la peine juste </w:t>
      </w:r>
      <w:r>
        <w:rPr>
          <w:rFonts w:cs="Arial"/>
          <w:szCs w:val="24"/>
        </w:rPr>
        <w:t xml:space="preserve">et </w:t>
      </w:r>
      <w:r w:rsidRPr="00147E39">
        <w:rPr>
          <w:rFonts w:cs="Arial"/>
          <w:szCs w:val="24"/>
        </w:rPr>
        <w:t>la moins privative de liberté</w:t>
      </w:r>
      <w:r>
        <w:rPr>
          <w:rFonts w:cs="Arial"/>
          <w:szCs w:val="24"/>
        </w:rPr>
        <w:t xml:space="preserve"> dans les circonstances. Même lorsque les objectifs de dissuasion et de dénonciation sont sollicités, l’exercice de détermination de la peine ne doit pas amener le juge à ignorer les autres objectifs</w:t>
      </w:r>
      <w:r>
        <w:rPr>
          <w:rStyle w:val="Appelnotedebasdep"/>
          <w:rFonts w:cs="Arial"/>
          <w:szCs w:val="24"/>
        </w:rPr>
        <w:footnoteReference w:id="29"/>
      </w:r>
      <w:r>
        <w:rPr>
          <w:rFonts w:cs="Arial"/>
          <w:szCs w:val="24"/>
        </w:rPr>
        <w:t>. Encore une fois, le principe de la proportionnalité sera déterminant</w:t>
      </w:r>
      <w:r>
        <w:rPr>
          <w:rStyle w:val="Appelnotedebasdep"/>
          <w:rFonts w:cs="Arial"/>
          <w:szCs w:val="24"/>
        </w:rPr>
        <w:footnoteReference w:id="30"/>
      </w:r>
      <w:r>
        <w:rPr>
          <w:rFonts w:cs="Arial"/>
          <w:szCs w:val="24"/>
        </w:rPr>
        <w:t>.</w:t>
      </w:r>
    </w:p>
    <w:p w14:paraId="13672ECC" w14:textId="0F08ECC7" w:rsidR="002F6501" w:rsidRPr="008C0475" w:rsidRDefault="008C0475" w:rsidP="008C0475">
      <w:pPr>
        <w:pStyle w:val="Paragraphe"/>
        <w:numPr>
          <w:ilvl w:val="0"/>
          <w:numId w:val="1"/>
        </w:numPr>
        <w:tabs>
          <w:tab w:val="clear" w:pos="360"/>
        </w:tabs>
        <w:spacing w:line="240" w:lineRule="auto"/>
      </w:pPr>
      <w:r w:rsidRPr="008C0475">
        <w:rPr>
          <w:rFonts w:cs="Arial"/>
          <w:szCs w:val="24"/>
        </w:rPr>
        <w:t>En bout de piste, la peine doit être proportionnelle à la gravité de l’infraction et au degré de responsabilité du délinquant.</w:t>
      </w:r>
      <w:r>
        <w:t xml:space="preserve"> </w:t>
      </w:r>
      <w:r w:rsidRPr="008C0475">
        <w:rPr>
          <w:rFonts w:cs="Arial"/>
          <w:szCs w:val="24"/>
        </w:rPr>
        <w:t>Ce principe de la proportionnalité demeure le critère cardinal qui doit guider le Tribunal dans l’imposition d’une peine</w:t>
      </w:r>
      <w:r>
        <w:rPr>
          <w:rStyle w:val="Appelnotedebasdep"/>
          <w:rFonts w:cs="Arial"/>
          <w:szCs w:val="24"/>
        </w:rPr>
        <w:footnoteReference w:id="31"/>
      </w:r>
      <w:r w:rsidRPr="008C0475">
        <w:rPr>
          <w:rFonts w:cs="Arial"/>
          <w:szCs w:val="24"/>
        </w:rPr>
        <w:t>.</w:t>
      </w:r>
    </w:p>
    <w:p w14:paraId="0D3D6A21" w14:textId="7B70595F" w:rsidR="008C0475" w:rsidRPr="003975C7" w:rsidRDefault="008C0475" w:rsidP="008C0475">
      <w:pPr>
        <w:pStyle w:val="Titre1"/>
        <w:spacing w:before="120" w:after="120"/>
        <w:jc w:val="both"/>
        <w:rPr>
          <w:sz w:val="24"/>
          <w:szCs w:val="24"/>
        </w:rPr>
      </w:pPr>
      <w:r>
        <w:rPr>
          <w:sz w:val="24"/>
          <w:szCs w:val="24"/>
        </w:rPr>
        <w:t>2</w:t>
      </w:r>
      <w:r w:rsidRPr="00A01956">
        <w:rPr>
          <w:sz w:val="24"/>
          <w:szCs w:val="24"/>
        </w:rPr>
        <w:t xml:space="preserve">- </w:t>
      </w:r>
      <w:r>
        <w:rPr>
          <w:sz w:val="24"/>
          <w:szCs w:val="24"/>
          <w:u w:val="single"/>
        </w:rPr>
        <w:t xml:space="preserve">La gravité objective des infractions </w:t>
      </w:r>
      <w:r w:rsidR="00554136">
        <w:rPr>
          <w:sz w:val="24"/>
          <w:szCs w:val="24"/>
          <w:u w:val="single"/>
        </w:rPr>
        <w:t>de possession de substances en vue d’en faire le trafic</w:t>
      </w:r>
    </w:p>
    <w:p w14:paraId="081D3135" w14:textId="314F95CA" w:rsidR="008C0475" w:rsidRDefault="00554136" w:rsidP="008C0475">
      <w:pPr>
        <w:pStyle w:val="Paragraphe"/>
        <w:numPr>
          <w:ilvl w:val="0"/>
          <w:numId w:val="1"/>
        </w:numPr>
        <w:tabs>
          <w:tab w:val="clear" w:pos="360"/>
          <w:tab w:val="num" w:pos="851"/>
        </w:tabs>
        <w:spacing w:line="240" w:lineRule="auto"/>
      </w:pPr>
      <w:r>
        <w:t xml:space="preserve">La gravité de </w:t>
      </w:r>
      <w:r w:rsidR="00022E5D">
        <w:t>l’</w:t>
      </w:r>
      <w:r>
        <w:t>infraction s’évalue autant objectivement que subjectivement.</w:t>
      </w:r>
    </w:p>
    <w:p w14:paraId="2D8C2547" w14:textId="7535BA7A" w:rsidR="00554136" w:rsidRDefault="00554136" w:rsidP="008C0475">
      <w:pPr>
        <w:pStyle w:val="Paragraphe"/>
        <w:numPr>
          <w:ilvl w:val="0"/>
          <w:numId w:val="1"/>
        </w:numPr>
        <w:tabs>
          <w:tab w:val="clear" w:pos="360"/>
          <w:tab w:val="num" w:pos="851"/>
        </w:tabs>
        <w:spacing w:line="240" w:lineRule="auto"/>
      </w:pPr>
      <w:r>
        <w:t xml:space="preserve">Au chapitre de la gravité objective, à l’art. 5(2)(3)(a) </w:t>
      </w:r>
      <w:r>
        <w:rPr>
          <w:i/>
          <w:iCs/>
        </w:rPr>
        <w:t>L.r.c.d.a.s.</w:t>
      </w:r>
      <w:r>
        <w:t xml:space="preserve">, le législateur prévoit une peine maximale d’emprisonnement à perpétuité. </w:t>
      </w:r>
      <w:r w:rsidR="00022E5D">
        <w:t>On constate que l’infraction fait partie des délits les plus sévèrement sanctionnés par le droit criminel canadien.</w:t>
      </w:r>
    </w:p>
    <w:p w14:paraId="296D6617" w14:textId="36339BF2" w:rsidR="00694391" w:rsidRDefault="00694391" w:rsidP="00022E5D">
      <w:pPr>
        <w:pStyle w:val="Paragraphe"/>
        <w:numPr>
          <w:ilvl w:val="0"/>
          <w:numId w:val="1"/>
        </w:numPr>
        <w:tabs>
          <w:tab w:val="clear" w:pos="360"/>
          <w:tab w:val="num" w:pos="851"/>
        </w:tabs>
        <w:spacing w:line="240" w:lineRule="auto"/>
      </w:pPr>
      <w:r w:rsidRPr="00022E5D">
        <w:t>Le danger que posent les drogues dures pour la communauté est bien connu.</w:t>
      </w:r>
      <w:r w:rsidR="00EE39B9">
        <w:t xml:space="preserve"> À maintes reprises, la jurisprudence des tribunaux d’appel a réitéré que le trafic des stupéfiants constitue un véritable fléau. Il fragilise, de par ses conséquences sur les consommateurs, leurs </w:t>
      </w:r>
      <w:r w:rsidR="00016841">
        <w:t xml:space="preserve">personnes à charge </w:t>
      </w:r>
      <w:r w:rsidR="00EE39B9">
        <w:t>et leurs proches, soit des pans entiers de la société, qui elle en retour consacre d’énormes ressources humaines, matérielles et financières à combattre ce trafic et ses conséquences sur les membres de la collectivité.</w:t>
      </w:r>
    </w:p>
    <w:p w14:paraId="059474C3" w14:textId="78BAB0F2" w:rsidR="00EE39B9" w:rsidRDefault="00EE39B9" w:rsidP="00022E5D">
      <w:pPr>
        <w:pStyle w:val="Paragraphe"/>
        <w:numPr>
          <w:ilvl w:val="0"/>
          <w:numId w:val="1"/>
        </w:numPr>
        <w:tabs>
          <w:tab w:val="clear" w:pos="360"/>
          <w:tab w:val="num" w:pos="851"/>
        </w:tabs>
        <w:spacing w:line="240" w:lineRule="auto"/>
      </w:pPr>
      <w:r>
        <w:t xml:space="preserve">En l’espèce, le danger que posait l’accusé envers la société est proportionnel à la quantité et à la variété des substances </w:t>
      </w:r>
      <w:r w:rsidR="000D3296">
        <w:t>qu’</w:t>
      </w:r>
      <w:r>
        <w:t>il pouvait mettre en circulation.</w:t>
      </w:r>
    </w:p>
    <w:p w14:paraId="0B926A09" w14:textId="56A58560" w:rsidR="001A3B38" w:rsidRDefault="00EE39B9" w:rsidP="00022E5D">
      <w:pPr>
        <w:pStyle w:val="Paragraphe"/>
        <w:numPr>
          <w:ilvl w:val="0"/>
          <w:numId w:val="1"/>
        </w:numPr>
        <w:tabs>
          <w:tab w:val="clear" w:pos="360"/>
          <w:tab w:val="num" w:pos="851"/>
        </w:tabs>
        <w:spacing w:line="240" w:lineRule="auto"/>
      </w:pPr>
      <w:r>
        <w:t>L</w:t>
      </w:r>
      <w:r w:rsidR="00F446D4">
        <w:t>’implication dans le</w:t>
      </w:r>
      <w:r>
        <w:t xml:space="preserve"> commerce de la cocaïne entraînera des sanctions considérables et ce, à tous les niveaux de la chaîne</w:t>
      </w:r>
      <w:r w:rsidR="00F446D4">
        <w:t xml:space="preserve"> in</w:t>
      </w:r>
      <w:r w:rsidR="0036241B">
        <w:t>s</w:t>
      </w:r>
      <w:r w:rsidR="00F446D4">
        <w:t>idieuse</w:t>
      </w:r>
      <w:r>
        <w:t xml:space="preserve"> de distribution</w:t>
      </w:r>
      <w:r>
        <w:rPr>
          <w:rStyle w:val="Appelnotedebasdep"/>
        </w:rPr>
        <w:footnoteReference w:id="32"/>
      </w:r>
      <w:r>
        <w:t>.</w:t>
      </w:r>
      <w:r w:rsidR="0036241B">
        <w:t xml:space="preserve"> De manière constante, les tribunaux</w:t>
      </w:r>
      <w:r w:rsidR="001A3B38">
        <w:t xml:space="preserve"> d’appel du pays</w:t>
      </w:r>
      <w:r w:rsidR="0036241B">
        <w:t xml:space="preserve"> ont </w:t>
      </w:r>
      <w:r w:rsidR="000D3296">
        <w:t>souligné</w:t>
      </w:r>
      <w:r w:rsidR="0036241B">
        <w:t xml:space="preserve"> que le trafic de drogues dures doit donner lieu à des sentences exemplaires et dissuasives</w:t>
      </w:r>
      <w:r w:rsidR="00A521CD">
        <w:t xml:space="preserve">, à défaut de circonstances « vraiment exceptionnelles », afin de refléter le </w:t>
      </w:r>
      <w:r w:rsidR="001A3B38">
        <w:t>caractère inacceptable de</w:t>
      </w:r>
      <w:r w:rsidR="00A521CD">
        <w:t xml:space="preserve"> ce crime odieux et dangereux pour la société</w:t>
      </w:r>
      <w:r w:rsidR="0036241B">
        <w:rPr>
          <w:rStyle w:val="Appelnotedebasdep"/>
        </w:rPr>
        <w:footnoteReference w:id="33"/>
      </w:r>
      <w:r w:rsidR="0036241B">
        <w:t>.</w:t>
      </w:r>
      <w:r w:rsidR="001A3B38">
        <w:t xml:space="preserve"> Les principes de dénonciation et de dissuasion</w:t>
      </w:r>
      <w:r w:rsidR="00632434">
        <w:t xml:space="preserve"> doivent primer</w:t>
      </w:r>
      <w:r w:rsidR="00632434">
        <w:rPr>
          <w:rStyle w:val="Appelnotedebasdep"/>
        </w:rPr>
        <w:footnoteReference w:id="34"/>
      </w:r>
      <w:r w:rsidR="001A3B38">
        <w:t xml:space="preserve"> </w:t>
      </w:r>
      <w:r w:rsidR="00632434">
        <w:t xml:space="preserve">ou à tout le moins se voir attribuer </w:t>
      </w:r>
      <w:r w:rsidR="001A3B38">
        <w:t>une importance particulière</w:t>
      </w:r>
      <w:r w:rsidR="00632434">
        <w:t>.</w:t>
      </w:r>
      <w:r w:rsidR="001A3B38">
        <w:t xml:space="preserve"> </w:t>
      </w:r>
      <w:r w:rsidR="00632434">
        <w:t>I</w:t>
      </w:r>
      <w:r w:rsidR="001A3B38">
        <w:t xml:space="preserve">ls </w:t>
      </w:r>
      <w:r w:rsidR="00120A9D">
        <w:t>seront souvent</w:t>
      </w:r>
      <w:r w:rsidR="001A3B38">
        <w:t xml:space="preserve"> privilégiés sur celui de la réhabilitation du délinquant</w:t>
      </w:r>
      <w:r w:rsidR="00E85AD2">
        <w:rPr>
          <w:rStyle w:val="Appelnotedebasdep"/>
        </w:rPr>
        <w:footnoteReference w:id="35"/>
      </w:r>
      <w:r w:rsidR="001A3B38">
        <w:t>, sans par ailleurs écarter ce dernier facteur.</w:t>
      </w:r>
      <w:r w:rsidR="009A2DCF">
        <w:t xml:space="preserve"> </w:t>
      </w:r>
    </w:p>
    <w:p w14:paraId="7EACD015" w14:textId="5D255849" w:rsidR="001A3B38" w:rsidRDefault="001A3B38" w:rsidP="00022E5D">
      <w:pPr>
        <w:pStyle w:val="Paragraphe"/>
        <w:numPr>
          <w:ilvl w:val="0"/>
          <w:numId w:val="1"/>
        </w:numPr>
        <w:tabs>
          <w:tab w:val="clear" w:pos="360"/>
          <w:tab w:val="num" w:pos="851"/>
        </w:tabs>
        <w:spacing w:line="240" w:lineRule="auto"/>
      </w:pPr>
      <w:r>
        <w:t xml:space="preserve">Dans son analyse, le Tribunal doit considérer </w:t>
      </w:r>
      <w:r w:rsidR="00120A9D">
        <w:t>la motivation de l’infraction, le rôle de l’accusé dans l’aventure, le type et la quantité de drogue impliquée, le besoin (et la capacité) de dissuader spécifiquement le délinquant, son âge et sa situation personnelle</w:t>
      </w:r>
      <w:r w:rsidR="00120A9D">
        <w:rPr>
          <w:rStyle w:val="Appelnotedebasdep"/>
        </w:rPr>
        <w:footnoteReference w:id="36"/>
      </w:r>
      <w:r w:rsidR="00120A9D">
        <w:t>.</w:t>
      </w:r>
    </w:p>
    <w:p w14:paraId="79AAD2FE" w14:textId="00C2EEC6" w:rsidR="00694391" w:rsidRDefault="00120A9D" w:rsidP="00120A9D">
      <w:pPr>
        <w:pStyle w:val="Paragraphe"/>
        <w:numPr>
          <w:ilvl w:val="0"/>
          <w:numId w:val="1"/>
        </w:numPr>
        <w:tabs>
          <w:tab w:val="clear" w:pos="360"/>
          <w:tab w:val="num" w:pos="851"/>
        </w:tabs>
        <w:spacing w:line="240" w:lineRule="auto"/>
      </w:pPr>
      <w:r>
        <w:t xml:space="preserve">En l’espèce, les substances </w:t>
      </w:r>
      <w:r w:rsidRPr="00016841">
        <w:t>saisies sont parmi les plus nocives qui existent : le crack, la cocaïne en poudre et les mét</w:t>
      </w:r>
      <w:r w:rsidR="00016841" w:rsidRPr="00016841">
        <w:t>h</w:t>
      </w:r>
      <w:r w:rsidRPr="00016841">
        <w:t xml:space="preserve">amphétamines. </w:t>
      </w:r>
      <w:r w:rsidR="00694391" w:rsidRPr="00016841">
        <w:t>Chacune de</w:t>
      </w:r>
      <w:r w:rsidR="00694391" w:rsidRPr="00120A9D">
        <w:t xml:space="preserve"> ces substances, à elle seule, est responsable de la dégénérescence progressive mais inexorable d’un bon nombre de citoyens, de la destruction de vies et de familles et de la </w:t>
      </w:r>
      <w:r w:rsidR="00694391" w:rsidRPr="00016841">
        <w:t>criminalité collatéral</w:t>
      </w:r>
      <w:r w:rsidR="00F16403" w:rsidRPr="00016841">
        <w:t>e</w:t>
      </w:r>
      <w:r w:rsidR="00694391" w:rsidRPr="00016841">
        <w:t xml:space="preserve"> immesurable, en raison de l’état de dépendance dévorante qu’elle crée chez </w:t>
      </w:r>
      <w:r w:rsidR="00E6688E" w:rsidRPr="00016841">
        <w:t>ses</w:t>
      </w:r>
      <w:r w:rsidR="00694391" w:rsidRPr="00016841">
        <w:t xml:space="preserve"> usagers</w:t>
      </w:r>
      <w:r w:rsidR="00694391" w:rsidRPr="00120A9D">
        <w:t>.</w:t>
      </w:r>
    </w:p>
    <w:p w14:paraId="2E39C624" w14:textId="47E89CD5" w:rsidR="00120A9D" w:rsidRDefault="00120A9D" w:rsidP="00120A9D">
      <w:pPr>
        <w:pStyle w:val="Paragraphe"/>
        <w:numPr>
          <w:ilvl w:val="0"/>
          <w:numId w:val="1"/>
        </w:numPr>
        <w:tabs>
          <w:tab w:val="clear" w:pos="360"/>
          <w:tab w:val="num" w:pos="851"/>
        </w:tabs>
        <w:spacing w:line="240" w:lineRule="auto"/>
      </w:pPr>
      <w:r>
        <w:t xml:space="preserve">Quant à la cocaïne « traditionnelle » en poudre, dans l’arrêt </w:t>
      </w:r>
      <w:r>
        <w:rPr>
          <w:b/>
          <w:bCs/>
          <w:i/>
          <w:iCs/>
        </w:rPr>
        <w:t xml:space="preserve">R. </w:t>
      </w:r>
      <w:r>
        <w:rPr>
          <w:b/>
          <w:bCs/>
        </w:rPr>
        <w:t xml:space="preserve">v. </w:t>
      </w:r>
      <w:r>
        <w:rPr>
          <w:b/>
          <w:bCs/>
          <w:i/>
          <w:iCs/>
        </w:rPr>
        <w:t>Hamilton &amp; Mason</w:t>
      </w:r>
      <w:r>
        <w:t xml:space="preserve">, le juge Doherty exprimait avec justesse qu’elle est à l’origine d’immenses dommages sociaux économiques. Sa consommation et sa vente tuent et </w:t>
      </w:r>
      <w:r w:rsidR="00795660">
        <w:t>blessent</w:t>
      </w:r>
      <w:r>
        <w:t>, tant directement qu’indirectement. Les effets nocifs sur la santé des consommateurs sont désastreux. La vente et la consommation de cette substance sont étroitement liées aux crimes de violence</w:t>
      </w:r>
      <w:r w:rsidR="00F16403">
        <w:rPr>
          <w:rStyle w:val="Appelnotedebasdep"/>
        </w:rPr>
        <w:footnoteReference w:id="37"/>
      </w:r>
      <w:r>
        <w:t xml:space="preserve">. En ce sens, bien que le trafic de cocaïne (ou sa possession à des fins de trafic) ne </w:t>
      </w:r>
      <w:r w:rsidR="00366F3B">
        <w:t>constitue</w:t>
      </w:r>
      <w:r>
        <w:t xml:space="preserve"> pas un crime violent comme tel, il ne peut être dissocié de ses conséquences collatérales inévitables</w:t>
      </w:r>
      <w:r>
        <w:rPr>
          <w:rStyle w:val="Appelnotedebasdep"/>
        </w:rPr>
        <w:footnoteReference w:id="38"/>
      </w:r>
      <w:r>
        <w:t>.</w:t>
      </w:r>
    </w:p>
    <w:p w14:paraId="44F01637" w14:textId="0CE084C9" w:rsidR="005D247A" w:rsidRDefault="005D247A" w:rsidP="005D247A">
      <w:pPr>
        <w:pStyle w:val="Paragraphe"/>
        <w:numPr>
          <w:ilvl w:val="0"/>
          <w:numId w:val="1"/>
        </w:numPr>
        <w:tabs>
          <w:tab w:val="clear" w:pos="360"/>
          <w:tab w:val="num" w:pos="851"/>
        </w:tabs>
        <w:spacing w:line="240" w:lineRule="auto"/>
      </w:pPr>
      <w:r>
        <w:t xml:space="preserve">Dans l’arrêt </w:t>
      </w:r>
      <w:r>
        <w:rPr>
          <w:b/>
          <w:bCs/>
          <w:i/>
          <w:iCs/>
        </w:rPr>
        <w:t xml:space="preserve">R. </w:t>
      </w:r>
      <w:r>
        <w:rPr>
          <w:b/>
          <w:bCs/>
        </w:rPr>
        <w:t xml:space="preserve">v. </w:t>
      </w:r>
      <w:r>
        <w:rPr>
          <w:b/>
          <w:bCs/>
          <w:i/>
          <w:iCs/>
        </w:rPr>
        <w:t>Byers</w:t>
      </w:r>
      <w:r>
        <w:t>, le juge Hart tenait des propos semblables :</w:t>
      </w:r>
    </w:p>
    <w:p w14:paraId="657A0609" w14:textId="77777777" w:rsidR="008C64D6" w:rsidRPr="009B2B65" w:rsidRDefault="008C64D6" w:rsidP="004F7883">
      <w:pPr>
        <w:pStyle w:val="Paragraphe"/>
        <w:numPr>
          <w:ilvl w:val="0"/>
          <w:numId w:val="0"/>
        </w:numPr>
        <w:spacing w:line="240" w:lineRule="auto"/>
        <w:ind w:left="1418" w:right="1140"/>
        <w:contextualSpacing/>
        <w:rPr>
          <w:i/>
          <w:iCs/>
          <w:sz w:val="22"/>
          <w:szCs w:val="22"/>
        </w:rPr>
      </w:pPr>
    </w:p>
    <w:p w14:paraId="1C52CA18" w14:textId="450B81A9" w:rsidR="004F7883" w:rsidRPr="004F7883" w:rsidRDefault="004F7883" w:rsidP="004F7883">
      <w:pPr>
        <w:pStyle w:val="Paragraphe"/>
        <w:numPr>
          <w:ilvl w:val="0"/>
          <w:numId w:val="0"/>
        </w:numPr>
        <w:spacing w:line="240" w:lineRule="auto"/>
        <w:ind w:left="1418" w:right="1140"/>
        <w:contextualSpacing/>
        <w:rPr>
          <w:sz w:val="22"/>
          <w:szCs w:val="22"/>
          <w:lang w:val="en-CA"/>
        </w:rPr>
      </w:pPr>
      <w:r w:rsidRPr="004F7883">
        <w:rPr>
          <w:i/>
          <w:iCs/>
          <w:sz w:val="22"/>
          <w:szCs w:val="22"/>
          <w:lang w:val="en-CA"/>
        </w:rPr>
        <w:t xml:space="preserve">In my opinion, the time has come for this Court to give warning to all those greedy persons who deal in the supply and distribution of the narcotic cocaine that more severe penalties will be imposed even when relatively small amounts of the drug are involved. Nor should the lack of a criminal record stand in the way of a substantial period of imprisonment. </w:t>
      </w:r>
      <w:r w:rsidRPr="004F7883">
        <w:rPr>
          <w:b/>
          <w:i/>
          <w:iCs/>
          <w:sz w:val="22"/>
          <w:szCs w:val="22"/>
          <w:lang w:val="en-CA"/>
        </w:rPr>
        <w:t>No one today can claim to be so naïve as to think that trafficking in cocaine can be conducted without serious damage to our social structure</w:t>
      </w:r>
      <w:r w:rsidRPr="004F7883">
        <w:rPr>
          <w:rStyle w:val="Appelnotedebasdep"/>
          <w:sz w:val="22"/>
          <w:szCs w:val="22"/>
          <w:lang w:val="en-CA"/>
        </w:rPr>
        <w:footnoteReference w:id="39"/>
      </w:r>
      <w:r w:rsidRPr="004F7883">
        <w:rPr>
          <w:sz w:val="22"/>
          <w:szCs w:val="22"/>
          <w:lang w:val="en-CA"/>
        </w:rPr>
        <w:t>.</w:t>
      </w:r>
    </w:p>
    <w:p w14:paraId="2648FE37" w14:textId="36E9260C" w:rsidR="004F7883" w:rsidRPr="004F7883" w:rsidRDefault="004F7883" w:rsidP="004F7883">
      <w:pPr>
        <w:pStyle w:val="Paragraphe"/>
        <w:numPr>
          <w:ilvl w:val="0"/>
          <w:numId w:val="0"/>
        </w:numPr>
        <w:spacing w:line="240" w:lineRule="auto"/>
        <w:ind w:left="1418" w:right="1140"/>
        <w:contextualSpacing/>
        <w:jc w:val="right"/>
        <w:rPr>
          <w:sz w:val="22"/>
          <w:szCs w:val="22"/>
          <w:lang w:val="en-CA"/>
        </w:rPr>
      </w:pPr>
      <w:r w:rsidRPr="004F7883">
        <w:rPr>
          <w:sz w:val="22"/>
          <w:szCs w:val="22"/>
          <w:lang w:val="en-CA"/>
        </w:rPr>
        <w:t xml:space="preserve">[gras </w:t>
      </w:r>
      <w:r w:rsidR="00795660">
        <w:rPr>
          <w:sz w:val="22"/>
          <w:szCs w:val="22"/>
          <w:lang w:val="en-CA"/>
        </w:rPr>
        <w:t>ajouté</w:t>
      </w:r>
      <w:r w:rsidRPr="004F7883">
        <w:rPr>
          <w:sz w:val="22"/>
          <w:szCs w:val="22"/>
          <w:lang w:val="en-CA"/>
        </w:rPr>
        <w:t>]</w:t>
      </w:r>
    </w:p>
    <w:p w14:paraId="212B34A5" w14:textId="0E3E60C4" w:rsidR="005D247A" w:rsidRDefault="00502565" w:rsidP="00502565">
      <w:pPr>
        <w:pStyle w:val="Paragraphe"/>
        <w:numPr>
          <w:ilvl w:val="0"/>
          <w:numId w:val="1"/>
        </w:numPr>
        <w:tabs>
          <w:tab w:val="clear" w:pos="360"/>
          <w:tab w:val="num" w:pos="851"/>
        </w:tabs>
        <w:spacing w:line="240" w:lineRule="auto"/>
      </w:pPr>
      <w:r>
        <w:t xml:space="preserve">La cocaïne </w:t>
      </w:r>
      <w:r w:rsidR="005D53B6">
        <w:t>sous</w:t>
      </w:r>
      <w:r>
        <w:t xml:space="preserve"> forme de crack est encore plus pernicieuse et sa vente, même pour des quantités minimes, a entraîné des sentences considérables infligées par notre Cour d’appel ainsi que des tribunaux de première instance à travers le Québec. Les peines plus élevées correspondent au fait que le crack est encore plus addictif et nuisible que la cocaïne traditionnelle.</w:t>
      </w:r>
    </w:p>
    <w:p w14:paraId="73DB281B" w14:textId="0BB5DB6B" w:rsidR="006449C8" w:rsidRDefault="00502565" w:rsidP="00D8798D">
      <w:pPr>
        <w:pStyle w:val="Paragraphe"/>
        <w:numPr>
          <w:ilvl w:val="0"/>
          <w:numId w:val="1"/>
        </w:numPr>
        <w:tabs>
          <w:tab w:val="clear" w:pos="360"/>
          <w:tab w:val="num" w:pos="851"/>
        </w:tabs>
        <w:spacing w:line="240" w:lineRule="auto"/>
      </w:pPr>
      <w:r>
        <w:t xml:space="preserve">Dès l’arrêt </w:t>
      </w:r>
      <w:r>
        <w:rPr>
          <w:b/>
          <w:bCs/>
          <w:i/>
          <w:iCs/>
        </w:rPr>
        <w:t xml:space="preserve">R. </w:t>
      </w:r>
      <w:r>
        <w:rPr>
          <w:b/>
          <w:bCs/>
        </w:rPr>
        <w:t xml:space="preserve">c. </w:t>
      </w:r>
      <w:r>
        <w:rPr>
          <w:b/>
          <w:bCs/>
          <w:i/>
          <w:iCs/>
        </w:rPr>
        <w:t>Dorvilus</w:t>
      </w:r>
      <w:r>
        <w:t>, notre Cour d’appel décriait à quel point le crack dé</w:t>
      </w:r>
      <w:r w:rsidR="00D8798D">
        <w:t xml:space="preserve">chire </w:t>
      </w:r>
      <w:r>
        <w:t>le tissu social</w:t>
      </w:r>
      <w:r w:rsidR="00D8798D">
        <w:t xml:space="preserve">, créant chez l’usager une sensation intense et une dépendance forte et pratiquement immédiate, tout en étant plus accessible et abordable que d’autres drogues dures. Sous la plume du juge Baudouin, les juges majoritaires n’ont pas ménagé leurs mots. En des termes on ne peut plus clairs, ils ont exprimé que « les tribunaux ont </w:t>
      </w:r>
      <w:r w:rsidR="00D8798D" w:rsidRPr="00D8798D">
        <w:rPr>
          <w:b/>
          <w:bCs/>
        </w:rPr>
        <w:t>le devoir</w:t>
      </w:r>
      <w:r w:rsidR="00D8798D">
        <w:t xml:space="preserve"> de se montrer sévères et non complaisants en matière de trafic de crack »</w:t>
      </w:r>
      <w:r w:rsidR="00D8798D">
        <w:rPr>
          <w:rStyle w:val="Appelnotedebasdep"/>
        </w:rPr>
        <w:footnoteReference w:id="40"/>
      </w:r>
      <w:r w:rsidR="00D8798D">
        <w:t>.</w:t>
      </w:r>
      <w:r w:rsidR="006449C8">
        <w:t xml:space="preserve"> La Cour a ciblé une fourchette générale de peines de 6 à 54 mois d’emprisonnement pour le trafic de crack.</w:t>
      </w:r>
    </w:p>
    <w:p w14:paraId="3E6DBE53" w14:textId="42A82C87" w:rsidR="00D8798D" w:rsidRPr="00366F3B" w:rsidRDefault="006449C8" w:rsidP="00D8798D">
      <w:pPr>
        <w:pStyle w:val="Paragraphe"/>
        <w:numPr>
          <w:ilvl w:val="0"/>
          <w:numId w:val="1"/>
        </w:numPr>
        <w:tabs>
          <w:tab w:val="clear" w:pos="360"/>
          <w:tab w:val="num" w:pos="851"/>
        </w:tabs>
        <w:spacing w:line="240" w:lineRule="auto"/>
      </w:pPr>
      <w:r>
        <w:t>Au final</w:t>
      </w:r>
      <w:r w:rsidR="00D8798D">
        <w:t xml:space="preserve">, la Cour a confirmé </w:t>
      </w:r>
      <w:r w:rsidR="00D8798D" w:rsidRPr="00366F3B">
        <w:t xml:space="preserve">une peine de </w:t>
      </w:r>
      <w:r w:rsidR="00D8798D" w:rsidRPr="00366F3B">
        <w:rPr>
          <w:rFonts w:cs="Arial"/>
        </w:rPr>
        <w:t>2 ans</w:t>
      </w:r>
      <w:r w:rsidR="00D8798D" w:rsidRPr="00366F3B">
        <w:rPr>
          <w:rFonts w:cs="Arial"/>
          <w:vertAlign w:val="superscript"/>
        </w:rPr>
        <w:t>-1jour</w:t>
      </w:r>
      <w:r w:rsidR="00D8798D" w:rsidRPr="00366F3B">
        <w:rPr>
          <w:rFonts w:cs="Arial"/>
        </w:rPr>
        <w:t xml:space="preserve"> d'emprisonnement pour deux ventes totalisant 8 roches de crack à un agent double. L'accusé n'avait aucun antécédent judiciaire et avait plaidé coupable. Âgé de 34 ans, il était marié et père de quatre enfants.  De plus, il était lui-même consommateur et était payé directement en drogue, plutôt qu'en argent. La Cour a reconnu qu'il était un «</w:t>
      </w:r>
      <w:r w:rsidR="00E551A9">
        <w:rPr>
          <w:rFonts w:cs="Arial"/>
        </w:rPr>
        <w:t> </w:t>
      </w:r>
      <w:r w:rsidR="00D8798D" w:rsidRPr="00366F3B">
        <w:rPr>
          <w:rFonts w:cs="Arial"/>
        </w:rPr>
        <w:t>petit trafiquant</w:t>
      </w:r>
      <w:r w:rsidR="00E551A9">
        <w:rPr>
          <w:rFonts w:cs="Arial"/>
        </w:rPr>
        <w:t> </w:t>
      </w:r>
      <w:r w:rsidR="00D8798D" w:rsidRPr="00366F3B">
        <w:rPr>
          <w:rFonts w:cs="Arial"/>
        </w:rPr>
        <w:t>». Qui plus est, Dorvilus avait plaidé coupable, contrairement à Kensey Simon.</w:t>
      </w:r>
    </w:p>
    <w:p w14:paraId="1B3ABF95" w14:textId="6ADAE387" w:rsidR="00D8798D" w:rsidRPr="00366F3B" w:rsidRDefault="006449C8" w:rsidP="00D8798D">
      <w:pPr>
        <w:pStyle w:val="Paragraphe"/>
        <w:numPr>
          <w:ilvl w:val="0"/>
          <w:numId w:val="1"/>
        </w:numPr>
        <w:tabs>
          <w:tab w:val="clear" w:pos="360"/>
          <w:tab w:val="num" w:pos="851"/>
        </w:tabs>
        <w:spacing w:line="240" w:lineRule="auto"/>
      </w:pPr>
      <w:r w:rsidRPr="00366F3B">
        <w:t xml:space="preserve">La Cour d’appel a adopté la même approche dans l’arrêt </w:t>
      </w:r>
      <w:r w:rsidRPr="00366F3B">
        <w:rPr>
          <w:b/>
          <w:bCs/>
          <w:i/>
          <w:iCs/>
        </w:rPr>
        <w:t xml:space="preserve">R. </w:t>
      </w:r>
      <w:r w:rsidRPr="00366F3B">
        <w:rPr>
          <w:b/>
          <w:bCs/>
        </w:rPr>
        <w:t xml:space="preserve">c. </w:t>
      </w:r>
      <w:r w:rsidRPr="00366F3B">
        <w:rPr>
          <w:b/>
          <w:bCs/>
          <w:i/>
          <w:iCs/>
        </w:rPr>
        <w:t>Blagrove</w:t>
      </w:r>
      <w:r w:rsidRPr="00366F3B">
        <w:t>, dans lequel elle a exprimé que les trafiquants insensibles méritent de longues peines d’incarcération</w:t>
      </w:r>
      <w:r w:rsidRPr="00366F3B">
        <w:rPr>
          <w:rStyle w:val="Appelnotedebasdep"/>
        </w:rPr>
        <w:footnoteReference w:id="41"/>
      </w:r>
      <w:r w:rsidRPr="00366F3B">
        <w:t>. L’accusé avait plaidé coupable et il n’avait aucun</w:t>
      </w:r>
      <w:r w:rsidR="00C64A3B">
        <w:t xml:space="preserve"> </w:t>
      </w:r>
      <w:r w:rsidRPr="00366F3B">
        <w:t>antécédent</w:t>
      </w:r>
      <w:r w:rsidR="00C64A3B">
        <w:t xml:space="preserve"> </w:t>
      </w:r>
      <w:r w:rsidR="0022258E">
        <w:t xml:space="preserve"> </w:t>
      </w:r>
      <w:r w:rsidRPr="00366F3B">
        <w:t xml:space="preserve">judiciaire. Arrivé au Canada quatre ans avant les infractions, il était marié et père de deux enfants. Il travaillait, quoiqu’il s’était adonné au trafic à des fins de lucre. La Cour d’appel est </w:t>
      </w:r>
      <w:r w:rsidRPr="00016841">
        <w:t xml:space="preserve">intervenue pour annuler une peine de 14 mois pour des trafics de 13 roches de crack en tout, </w:t>
      </w:r>
      <w:r w:rsidR="00C64A3B" w:rsidRPr="00016841">
        <w:t xml:space="preserve">en lui </w:t>
      </w:r>
      <w:r w:rsidRPr="00016841">
        <w:t>substituant</w:t>
      </w:r>
      <w:r w:rsidRPr="00366F3B">
        <w:t xml:space="preserve"> une peine de 30 mois d’emprisonnement.</w:t>
      </w:r>
    </w:p>
    <w:p w14:paraId="7C688B9D" w14:textId="6E6A8388" w:rsidR="006449C8" w:rsidRPr="00366F3B" w:rsidRDefault="00AE5DEC" w:rsidP="00D8798D">
      <w:pPr>
        <w:pStyle w:val="Paragraphe"/>
        <w:numPr>
          <w:ilvl w:val="0"/>
          <w:numId w:val="1"/>
        </w:numPr>
        <w:tabs>
          <w:tab w:val="clear" w:pos="360"/>
          <w:tab w:val="num" w:pos="851"/>
        </w:tabs>
        <w:spacing w:line="240" w:lineRule="auto"/>
      </w:pPr>
      <w:r w:rsidRPr="00366F3B">
        <w:t xml:space="preserve">Ces principes ont été réaffirmés il y a dix ans dans l’arrêt </w:t>
      </w:r>
      <w:r w:rsidRPr="00366F3B">
        <w:rPr>
          <w:b/>
          <w:bCs/>
          <w:i/>
          <w:iCs/>
        </w:rPr>
        <w:t xml:space="preserve">R. </w:t>
      </w:r>
      <w:r w:rsidRPr="00366F3B">
        <w:rPr>
          <w:b/>
          <w:bCs/>
        </w:rPr>
        <w:t xml:space="preserve">c. </w:t>
      </w:r>
      <w:r w:rsidRPr="00366F3B">
        <w:rPr>
          <w:b/>
          <w:bCs/>
          <w:i/>
          <w:iCs/>
        </w:rPr>
        <w:t>Moreira</w:t>
      </w:r>
      <w:r w:rsidRPr="00366F3B">
        <w:t>, dans lequel la Cour d’appel est intervenue pour substituer une peine de</w:t>
      </w:r>
      <w:r w:rsidR="00016841">
        <w:t xml:space="preserve"> 2 </w:t>
      </w:r>
      <w:r w:rsidRPr="00366F3B">
        <w:t>ans d’emprisonnement à un homme de 25 ans sans antécédents judiciaires qui avait plaidé coupable.</w:t>
      </w:r>
      <w:r w:rsidR="00BE05BC" w:rsidRPr="00366F3B">
        <w:t xml:space="preserve"> Il avait eu en sa possession 26 roches de crack et 26 quarts </w:t>
      </w:r>
      <w:r w:rsidR="00BE05BC" w:rsidRPr="00016841">
        <w:t>de gramme</w:t>
      </w:r>
      <w:r w:rsidR="0022258E" w:rsidRPr="00016841">
        <w:t xml:space="preserve"> </w:t>
      </w:r>
      <w:r w:rsidR="00BE05BC" w:rsidRPr="00366F3B">
        <w:t>de cocaïne en poudre. Encore une fois, la Cour a souligné que des peines significatives s’imposent en raison de la nature dangereuse de la substance et ce, même lorsque les quantités sont petites et même en présence de circonstances atténuantes</w:t>
      </w:r>
      <w:r w:rsidR="00BE05BC" w:rsidRPr="00366F3B">
        <w:rPr>
          <w:rStyle w:val="Appelnotedebasdep"/>
        </w:rPr>
        <w:footnoteReference w:id="42"/>
      </w:r>
      <w:r w:rsidR="00BE05BC" w:rsidRPr="00366F3B">
        <w:t>.</w:t>
      </w:r>
    </w:p>
    <w:p w14:paraId="7B79AD08" w14:textId="1242C26A" w:rsidR="006449C8" w:rsidRDefault="00BE05BC" w:rsidP="00BE05BC">
      <w:pPr>
        <w:pStyle w:val="Paragraphe"/>
        <w:numPr>
          <w:ilvl w:val="0"/>
          <w:numId w:val="1"/>
        </w:numPr>
        <w:tabs>
          <w:tab w:val="clear" w:pos="360"/>
          <w:tab w:val="num" w:pos="851"/>
        </w:tabs>
        <w:spacing w:line="240" w:lineRule="auto"/>
      </w:pPr>
      <w:r w:rsidRPr="00366F3B">
        <w:t xml:space="preserve">Plus récemment dans l’arrêt </w:t>
      </w:r>
      <w:r w:rsidRPr="00366F3B">
        <w:rPr>
          <w:b/>
          <w:bCs/>
          <w:i/>
          <w:iCs/>
        </w:rPr>
        <w:t xml:space="preserve">R. </w:t>
      </w:r>
      <w:r w:rsidRPr="00366F3B">
        <w:rPr>
          <w:b/>
          <w:bCs/>
        </w:rPr>
        <w:t xml:space="preserve">v. </w:t>
      </w:r>
      <w:r w:rsidRPr="00366F3B">
        <w:rPr>
          <w:b/>
          <w:bCs/>
          <w:i/>
          <w:iCs/>
        </w:rPr>
        <w:t>Barrett</w:t>
      </w:r>
      <w:r w:rsidRPr="00366F3B">
        <w:t xml:space="preserve">, la Cour d’appel a augmenté une peine de 24 mois à 42 mois d’emprisonnement pour un accusé âgé de 28 ans qui avait plaidé coupable à des infractions impliquant une quantité </w:t>
      </w:r>
      <w:r w:rsidR="00765088" w:rsidRPr="00366F3B">
        <w:t>substantielle de crack. Il avait un</w:t>
      </w:r>
      <w:r w:rsidR="00765088">
        <w:t xml:space="preserve"> casier judiciaire et il était père de quatre enfants. Bien que la quantité en cause était largement supérieure à celle en l’espèce, les infractions avaient été commises dans un but de lucre par un homme qui n’était pas un consommateur</w:t>
      </w:r>
      <w:r w:rsidR="00765088">
        <w:rPr>
          <w:rStyle w:val="Appelnotedebasdep"/>
        </w:rPr>
        <w:footnoteReference w:id="43"/>
      </w:r>
      <w:r w:rsidR="008A6A67">
        <w:t>, comme dans le présent dossier</w:t>
      </w:r>
      <w:r w:rsidR="00765088">
        <w:t>. Dans sa décision, la Cour a réitéré la fourchette générale de 6 à 54 mois d’emprisonnement.</w:t>
      </w:r>
    </w:p>
    <w:p w14:paraId="1CA74165" w14:textId="489B03E9" w:rsidR="00B82584" w:rsidRDefault="00B82584" w:rsidP="00BE05BC">
      <w:pPr>
        <w:pStyle w:val="Paragraphe"/>
        <w:numPr>
          <w:ilvl w:val="0"/>
          <w:numId w:val="1"/>
        </w:numPr>
        <w:tabs>
          <w:tab w:val="clear" w:pos="360"/>
          <w:tab w:val="num" w:pos="851"/>
        </w:tabs>
        <w:spacing w:line="240" w:lineRule="auto"/>
      </w:pPr>
      <w:r>
        <w:t xml:space="preserve">Cette même fourchette de 6 à 54 mois a été avalisée à nouveau dans l’arrêt </w:t>
      </w:r>
      <w:r>
        <w:rPr>
          <w:b/>
          <w:bCs/>
          <w:i/>
          <w:iCs/>
        </w:rPr>
        <w:t xml:space="preserve">R. </w:t>
      </w:r>
      <w:r>
        <w:rPr>
          <w:b/>
          <w:bCs/>
        </w:rPr>
        <w:t xml:space="preserve">c. </w:t>
      </w:r>
      <w:r>
        <w:rPr>
          <w:b/>
          <w:bCs/>
          <w:i/>
          <w:iCs/>
        </w:rPr>
        <w:t>Daquin</w:t>
      </w:r>
      <w:r>
        <w:t xml:space="preserve"> en 2017</w:t>
      </w:r>
      <w:r>
        <w:rPr>
          <w:rStyle w:val="Appelnotedebasdep"/>
        </w:rPr>
        <w:footnoteReference w:id="44"/>
      </w:r>
      <w:r>
        <w:t>. Dans cette affaire, la Cour d’appel a souligné que la peine de 11 mois d’emprisonnement pour une possession de 16 roches en vue de trafic, qui était le fruit d’une suggestion commune des parties (et donc pratiquement intouchable, même si déraisonnable</w:t>
      </w:r>
      <w:r>
        <w:rPr>
          <w:rStyle w:val="Appelnotedebasdep"/>
        </w:rPr>
        <w:footnoteReference w:id="45"/>
      </w:r>
      <w:r>
        <w:t>), était « certainement clémente »</w:t>
      </w:r>
      <w:r>
        <w:rPr>
          <w:rStyle w:val="Appelnotedebasdep"/>
        </w:rPr>
        <w:footnoteReference w:id="46"/>
      </w:r>
      <w:r>
        <w:t xml:space="preserve">. </w:t>
      </w:r>
    </w:p>
    <w:p w14:paraId="1F75F25F" w14:textId="3CC42322" w:rsidR="00D03B87" w:rsidRDefault="00D03B87" w:rsidP="00443382">
      <w:pPr>
        <w:pStyle w:val="Paragraphe"/>
        <w:numPr>
          <w:ilvl w:val="0"/>
          <w:numId w:val="1"/>
        </w:numPr>
        <w:tabs>
          <w:tab w:val="clear" w:pos="360"/>
          <w:tab w:val="num" w:pos="851"/>
        </w:tabs>
        <w:spacing w:before="240" w:line="240" w:lineRule="auto"/>
      </w:pPr>
      <w:r>
        <w:t xml:space="preserve">Dans </w:t>
      </w:r>
      <w:r w:rsidRPr="00016841">
        <w:t xml:space="preserve">l’arrêt </w:t>
      </w:r>
      <w:r w:rsidRPr="00016841">
        <w:rPr>
          <w:b/>
          <w:bCs/>
          <w:i/>
          <w:iCs/>
        </w:rPr>
        <w:t xml:space="preserve">R. </w:t>
      </w:r>
      <w:r w:rsidRPr="00016841">
        <w:rPr>
          <w:b/>
          <w:bCs/>
        </w:rPr>
        <w:t xml:space="preserve">c. </w:t>
      </w:r>
      <w:r w:rsidRPr="00016841">
        <w:rPr>
          <w:b/>
          <w:bCs/>
          <w:i/>
          <w:iCs/>
        </w:rPr>
        <w:t>Onwualu</w:t>
      </w:r>
      <w:r w:rsidRPr="00016841">
        <w:t>, la Cour d’appel a observé que pour la possession dans le but de trafic de 8 g de crack, les</w:t>
      </w:r>
      <w:r>
        <w:t xml:space="preserve"> tribunaux imposent des peines d’emprisonnement sévères dont le point de départ se situe autour de 24 mois</w:t>
      </w:r>
      <w:r>
        <w:rPr>
          <w:rStyle w:val="Appelnotedebasdep"/>
        </w:rPr>
        <w:footnoteReference w:id="47"/>
      </w:r>
      <w:r>
        <w:t>.</w:t>
      </w:r>
      <w:r w:rsidR="00F938FE">
        <w:t xml:space="preserve"> </w:t>
      </w:r>
    </w:p>
    <w:p w14:paraId="4B70AA49" w14:textId="53BC168F" w:rsidR="00D03B87" w:rsidRDefault="00D03B87" w:rsidP="00BE05BC">
      <w:pPr>
        <w:pStyle w:val="Paragraphe"/>
        <w:numPr>
          <w:ilvl w:val="0"/>
          <w:numId w:val="1"/>
        </w:numPr>
        <w:tabs>
          <w:tab w:val="clear" w:pos="360"/>
          <w:tab w:val="num" w:pos="851"/>
        </w:tabs>
        <w:spacing w:line="240" w:lineRule="auto"/>
      </w:pPr>
      <w:r>
        <w:t>La jurisprudence du Québec démontre qu’en matière de crack, en principe, il mérite qu’on mette de l’avant les facteurs de dissuasion et de dénonciation</w:t>
      </w:r>
      <w:r>
        <w:rPr>
          <w:rStyle w:val="Appelnotedebasdep"/>
        </w:rPr>
        <w:footnoteReference w:id="48"/>
      </w:r>
      <w:r>
        <w:t>.</w:t>
      </w:r>
    </w:p>
    <w:p w14:paraId="71BA3DFE" w14:textId="241A4080" w:rsidR="00D03B87" w:rsidRDefault="00790046" w:rsidP="00BE05BC">
      <w:pPr>
        <w:pStyle w:val="Paragraphe"/>
        <w:numPr>
          <w:ilvl w:val="0"/>
          <w:numId w:val="1"/>
        </w:numPr>
        <w:tabs>
          <w:tab w:val="clear" w:pos="360"/>
          <w:tab w:val="num" w:pos="851"/>
        </w:tabs>
        <w:spacing w:line="240" w:lineRule="auto"/>
      </w:pPr>
      <w:r>
        <w:t xml:space="preserve">Le </w:t>
      </w:r>
      <w:r w:rsidRPr="00016841">
        <w:t xml:space="preserve">commerce du crack suscite la même aversion dans les autres provinces, dont les </w:t>
      </w:r>
      <w:r w:rsidR="00420560" w:rsidRPr="00016841">
        <w:t xml:space="preserve">cours </w:t>
      </w:r>
      <w:r w:rsidRPr="00016841">
        <w:t>d’appel</w:t>
      </w:r>
      <w:r>
        <w:t xml:space="preserve"> ont aussi dénoncé le caractère sérieux et souligné l’importance d’infliger des peines sévères.</w:t>
      </w:r>
    </w:p>
    <w:p w14:paraId="76AD7145" w14:textId="6553F6B6" w:rsidR="00790046" w:rsidRDefault="00790046" w:rsidP="00BE05BC">
      <w:pPr>
        <w:pStyle w:val="Paragraphe"/>
        <w:numPr>
          <w:ilvl w:val="0"/>
          <w:numId w:val="1"/>
        </w:numPr>
        <w:tabs>
          <w:tab w:val="clear" w:pos="360"/>
          <w:tab w:val="num" w:pos="851"/>
        </w:tabs>
        <w:spacing w:line="240" w:lineRule="auto"/>
      </w:pPr>
      <w:r>
        <w:t xml:space="preserve">Dans l’arrêt </w:t>
      </w:r>
      <w:r>
        <w:rPr>
          <w:b/>
          <w:bCs/>
          <w:i/>
          <w:iCs/>
        </w:rPr>
        <w:t xml:space="preserve">R. </w:t>
      </w:r>
      <w:r>
        <w:rPr>
          <w:b/>
          <w:bCs/>
        </w:rPr>
        <w:t xml:space="preserve">c. </w:t>
      </w:r>
      <w:r>
        <w:rPr>
          <w:b/>
          <w:bCs/>
          <w:i/>
          <w:iCs/>
        </w:rPr>
        <w:t>Cormier</w:t>
      </w:r>
      <w:r>
        <w:t>, bien qu’elle ait choisi de n</w:t>
      </w:r>
      <w:r w:rsidR="00AA0D56">
        <w:t>e</w:t>
      </w:r>
      <w:r>
        <w:t xml:space="preserve"> pas définir et fixer une fourchette définitive en matière de trafic de crack, </w:t>
      </w:r>
      <w:r w:rsidR="00AA0D56">
        <w:t>la Cour d’appel du Nouveau-Brunswick a tout de même énoncé que les accusés n’échapperont que rarement et exceptionnellement à une peine importante. Les peines varient généralement entre 2</w:t>
      </w:r>
      <w:r w:rsidR="00420560">
        <w:t> </w:t>
      </w:r>
      <w:r w:rsidR="00AA0D56">
        <w:t>ans</w:t>
      </w:r>
      <w:r w:rsidR="00420560">
        <w:t> </w:t>
      </w:r>
      <w:r w:rsidR="00AA0D56">
        <w:rPr>
          <w:vertAlign w:val="superscript"/>
        </w:rPr>
        <w:t>-1jour</w:t>
      </w:r>
      <w:r w:rsidR="00AA0D56">
        <w:t xml:space="preserve"> et 6 ans d’emprisonnement, selon la quantité de crack en cause et le niveau de participation de l’accusé. Après avoir procédé à une revue de la jurisprudence à travers le pays, elle a exprimé que les tribunaux doivent faire valoir la dénonciation et la dissuasion en raison des effets dévastateurs qu’ont ces substances sur </w:t>
      </w:r>
      <w:r w:rsidR="00366F3B">
        <w:t>la</w:t>
      </w:r>
      <w:r w:rsidR="00AA0D56">
        <w:t xml:space="preserve"> société et sur les personnes victimes de leurs propriété</w:t>
      </w:r>
      <w:r w:rsidR="00795660">
        <w:t>s</w:t>
      </w:r>
      <w:r w:rsidR="00AA0D56">
        <w:t xml:space="preserve"> viles et extrêmement toxicomanogènes</w:t>
      </w:r>
      <w:r w:rsidR="00AA0D56">
        <w:rPr>
          <w:rStyle w:val="Appelnotedebasdep"/>
        </w:rPr>
        <w:footnoteReference w:id="49"/>
      </w:r>
      <w:r w:rsidR="00AA0D56">
        <w:t>.</w:t>
      </w:r>
      <w:r w:rsidR="00876015">
        <w:t xml:space="preserve"> Dans son analyse, la Cour d’appel a reconnu que le crack est plus dangereux et plus nuisible que la cocaïne en poudre traditionnelle</w:t>
      </w:r>
      <w:r w:rsidR="00876015">
        <w:rPr>
          <w:rStyle w:val="Appelnotedebasdep"/>
        </w:rPr>
        <w:footnoteReference w:id="50"/>
      </w:r>
      <w:r w:rsidR="00876015">
        <w:t>.</w:t>
      </w:r>
    </w:p>
    <w:p w14:paraId="116BAD78" w14:textId="0C686442" w:rsidR="00876015" w:rsidRDefault="006F70B6" w:rsidP="00BE05BC">
      <w:pPr>
        <w:pStyle w:val="Paragraphe"/>
        <w:numPr>
          <w:ilvl w:val="0"/>
          <w:numId w:val="1"/>
        </w:numPr>
        <w:tabs>
          <w:tab w:val="clear" w:pos="360"/>
          <w:tab w:val="num" w:pos="851"/>
        </w:tabs>
        <w:spacing w:line="240" w:lineRule="auto"/>
      </w:pPr>
      <w:r>
        <w:t xml:space="preserve">En fin de compte, elle a infligé une peine de 3 ans d’emprisonnement pour la possession en vue de trafic de 24.7 g de crack et 50 comprimés de Percocet, s’appuyant surtout sur le fait que l’accusé était retourné aux études depuis son incarcération. Il avait 25 ans et il était père d’un jeune enfant de </w:t>
      </w:r>
      <w:r w:rsidR="00016841">
        <w:t xml:space="preserve">6 </w:t>
      </w:r>
      <w:r>
        <w:t xml:space="preserve">ans. Il n’avait aucun antécédent en matière de stupéfiants. Il souffrait d’une accoutumance à l’oxycodone et de dépression. Son enfance avait été définie par les activités criminelles de ses parents. Il avait un réel désir de s’améliorer. La Cour a privilégié une peine « plus courte » en raison de la possible </w:t>
      </w:r>
      <w:r w:rsidR="005D53B6">
        <w:t>réhabilitation</w:t>
      </w:r>
      <w:r>
        <w:t>.</w:t>
      </w:r>
    </w:p>
    <w:p w14:paraId="73451AE5" w14:textId="7426891A" w:rsidR="006F70B6" w:rsidRDefault="006F70B6" w:rsidP="00BE05BC">
      <w:pPr>
        <w:pStyle w:val="Paragraphe"/>
        <w:numPr>
          <w:ilvl w:val="0"/>
          <w:numId w:val="1"/>
        </w:numPr>
        <w:tabs>
          <w:tab w:val="clear" w:pos="360"/>
          <w:tab w:val="num" w:pos="851"/>
        </w:tabs>
        <w:spacing w:line="240" w:lineRule="auto"/>
      </w:pPr>
      <w:r>
        <w:t xml:space="preserve">Dans l’arrêt </w:t>
      </w:r>
      <w:r>
        <w:rPr>
          <w:b/>
          <w:bCs/>
          <w:i/>
          <w:iCs/>
        </w:rPr>
        <w:t xml:space="preserve">R. </w:t>
      </w:r>
      <w:r>
        <w:rPr>
          <w:b/>
          <w:bCs/>
        </w:rPr>
        <w:t xml:space="preserve">v. </w:t>
      </w:r>
      <w:r>
        <w:rPr>
          <w:b/>
          <w:bCs/>
          <w:i/>
          <w:iCs/>
        </w:rPr>
        <w:t>Ma</w:t>
      </w:r>
      <w:r>
        <w:t>, la Cour d’appel de l’Alberta a décrit le crack comme « extrêmement toxicomanogène » qui engendrait le crime et la prostitution</w:t>
      </w:r>
      <w:r>
        <w:rPr>
          <w:rStyle w:val="Appelnotedebasdep"/>
        </w:rPr>
        <w:footnoteReference w:id="51"/>
      </w:r>
      <w:r>
        <w:t>.</w:t>
      </w:r>
      <w:r w:rsidR="002D03FB">
        <w:t xml:space="preserve"> Tout comme les tribunaux du Québec et du Nouveau-Brunswick, elle a reconnu que le crack était </w:t>
      </w:r>
      <w:r w:rsidR="002D03FB">
        <w:rPr>
          <w:i/>
          <w:iCs/>
        </w:rPr>
        <w:t>plus</w:t>
      </w:r>
      <w:r w:rsidR="002D03FB">
        <w:t xml:space="preserve"> addictif et </w:t>
      </w:r>
      <w:r w:rsidR="002D03FB">
        <w:rPr>
          <w:i/>
          <w:iCs/>
        </w:rPr>
        <w:t>plus</w:t>
      </w:r>
      <w:r w:rsidR="002D03FB">
        <w:t xml:space="preserve"> dangereux que la cocaïne en poudre</w:t>
      </w:r>
      <w:r w:rsidR="002D03FB">
        <w:rPr>
          <w:rStyle w:val="Appelnotedebasdep"/>
        </w:rPr>
        <w:footnoteReference w:id="52"/>
      </w:r>
      <w:r w:rsidR="002D03FB">
        <w:t xml:space="preserve">. Dans l’arrêt </w:t>
      </w:r>
      <w:r w:rsidR="002D03FB">
        <w:rPr>
          <w:b/>
          <w:bCs/>
          <w:i/>
          <w:iCs/>
        </w:rPr>
        <w:t xml:space="preserve">R. </w:t>
      </w:r>
      <w:r w:rsidR="002D03FB">
        <w:rPr>
          <w:b/>
          <w:bCs/>
        </w:rPr>
        <w:t xml:space="preserve">v. </w:t>
      </w:r>
      <w:r w:rsidR="002D03FB">
        <w:rPr>
          <w:b/>
          <w:bCs/>
          <w:i/>
          <w:iCs/>
        </w:rPr>
        <w:t>Carvery</w:t>
      </w:r>
      <w:r w:rsidR="002D03FB">
        <w:t>, la Cour d’appel de la Nouvelle-Écosse a décrit le crack comme une drogue « cruellement addictive » tellement corrosive au tissu social que les peines doivent prioriser la dissuasion avant tout autre facteur et ce, même quand le délinquant n’a aucun antécédent</w:t>
      </w:r>
      <w:r w:rsidR="002D03FB">
        <w:rPr>
          <w:rStyle w:val="Appelnotedebasdep"/>
        </w:rPr>
        <w:footnoteReference w:id="53"/>
      </w:r>
      <w:r w:rsidR="002D03FB">
        <w:t>.</w:t>
      </w:r>
      <w:r w:rsidR="00936DD7">
        <w:t xml:space="preserve"> Dans </w:t>
      </w:r>
      <w:r w:rsidR="00936DD7">
        <w:rPr>
          <w:b/>
          <w:bCs/>
          <w:i/>
          <w:iCs/>
        </w:rPr>
        <w:t xml:space="preserve">R. </w:t>
      </w:r>
      <w:r w:rsidR="00936DD7">
        <w:rPr>
          <w:b/>
          <w:bCs/>
        </w:rPr>
        <w:t xml:space="preserve">v. </w:t>
      </w:r>
      <w:r w:rsidR="00936DD7">
        <w:rPr>
          <w:b/>
          <w:bCs/>
          <w:i/>
          <w:iCs/>
        </w:rPr>
        <w:t>Woolcock</w:t>
      </w:r>
      <w:r w:rsidR="00936DD7">
        <w:t>, la Cour d’appel de l’Ontario a décrit le crack comme une drogue « extrêmement dangereuse et insidieuse susceptible de causer un tort énorme à la société et aux individus »</w:t>
      </w:r>
      <w:r w:rsidR="00936DD7">
        <w:rPr>
          <w:rStyle w:val="Appelnotedebasdep"/>
        </w:rPr>
        <w:footnoteReference w:id="54"/>
      </w:r>
      <w:r w:rsidR="00936DD7">
        <w:t>.</w:t>
      </w:r>
    </w:p>
    <w:p w14:paraId="056696CC" w14:textId="443642A1" w:rsidR="00163EC7" w:rsidRPr="00FC1801" w:rsidRDefault="00163EC7" w:rsidP="00BE05BC">
      <w:pPr>
        <w:pStyle w:val="Paragraphe"/>
        <w:numPr>
          <w:ilvl w:val="0"/>
          <w:numId w:val="1"/>
        </w:numPr>
        <w:tabs>
          <w:tab w:val="clear" w:pos="360"/>
          <w:tab w:val="num" w:pos="851"/>
        </w:tabs>
        <w:spacing w:line="240" w:lineRule="auto"/>
      </w:pPr>
      <w:r>
        <w:t>Dans les grands centres métropolitains comme Montréal, le crack engendre toute une toile de criminalité qui détruit des couches sociales entières, laissant la vie des consommateurs en lambeaux. La substance est hautement destructive. Par ailleurs, elle est très profitable pour ceux qui en font le trafic, exploitant par le fait même la fragilité et la misère de leurs clients. De plus</w:t>
      </w:r>
      <w:r w:rsidRPr="00FC1801">
        <w:t xml:space="preserve">, le trafic de stupéfiants implique </w:t>
      </w:r>
      <w:r w:rsidR="005E1E45" w:rsidRPr="00FC1801">
        <w:t>une certaine réflexion par le délinquant qui décide, en toute connaissance de cause, à s’adonner à cette activité. Il ne s’agit pas d’un crime spontané.</w:t>
      </w:r>
    </w:p>
    <w:p w14:paraId="5FB55C7D" w14:textId="2196B292" w:rsidR="00A234EC" w:rsidRDefault="00A234EC" w:rsidP="00BE05BC">
      <w:pPr>
        <w:pStyle w:val="Paragraphe"/>
        <w:numPr>
          <w:ilvl w:val="0"/>
          <w:numId w:val="1"/>
        </w:numPr>
        <w:tabs>
          <w:tab w:val="clear" w:pos="360"/>
          <w:tab w:val="num" w:pos="851"/>
        </w:tabs>
        <w:spacing w:line="240" w:lineRule="auto"/>
      </w:pPr>
      <w:r>
        <w:t xml:space="preserve">Enfin, on ne saurait banaliser le trafic </w:t>
      </w:r>
      <w:r w:rsidRPr="00FC1801">
        <w:t xml:space="preserve">de </w:t>
      </w:r>
      <w:r w:rsidR="00E6688E" w:rsidRPr="00FC1801">
        <w:t>méthamphétamines</w:t>
      </w:r>
      <w:r>
        <w:t>, dont la nocivité n’est plus à démontrer</w:t>
      </w:r>
      <w:r>
        <w:rPr>
          <w:rStyle w:val="Appelnotedebasdep"/>
        </w:rPr>
        <w:footnoteReference w:id="55"/>
      </w:r>
      <w:r>
        <w:t>.</w:t>
      </w:r>
    </w:p>
    <w:p w14:paraId="71F941AF" w14:textId="77777777" w:rsidR="008C0475" w:rsidRPr="003975C7" w:rsidRDefault="008C0475" w:rsidP="008C0475">
      <w:pPr>
        <w:pStyle w:val="Titre1"/>
        <w:spacing w:before="120" w:after="120"/>
        <w:jc w:val="both"/>
        <w:rPr>
          <w:sz w:val="24"/>
          <w:szCs w:val="24"/>
        </w:rPr>
      </w:pPr>
      <w:r>
        <w:rPr>
          <w:sz w:val="24"/>
          <w:szCs w:val="24"/>
        </w:rPr>
        <w:t>3</w:t>
      </w:r>
      <w:r w:rsidRPr="00A01956">
        <w:rPr>
          <w:sz w:val="24"/>
          <w:szCs w:val="24"/>
        </w:rPr>
        <w:t xml:space="preserve">- </w:t>
      </w:r>
      <w:r>
        <w:rPr>
          <w:sz w:val="24"/>
          <w:szCs w:val="24"/>
          <w:u w:val="single"/>
        </w:rPr>
        <w:t>Les facteurs aggravants et atténuants et l’individualisation de la peine</w:t>
      </w:r>
    </w:p>
    <w:p w14:paraId="0259CDAD" w14:textId="77777777" w:rsidR="008C0475" w:rsidRDefault="008C0475" w:rsidP="00D03AC5">
      <w:pPr>
        <w:pStyle w:val="Titre2"/>
        <w:numPr>
          <w:ilvl w:val="0"/>
          <w:numId w:val="10"/>
        </w:numPr>
        <w:spacing w:before="120" w:after="120"/>
        <w:rPr>
          <w:i w:val="0"/>
          <w:u w:val="single"/>
        </w:rPr>
      </w:pPr>
      <w:r>
        <w:rPr>
          <w:i w:val="0"/>
          <w:u w:val="single"/>
        </w:rPr>
        <w:t>Les facteurs atténuants</w:t>
      </w:r>
    </w:p>
    <w:p w14:paraId="4A3421B7" w14:textId="7EDF08C3" w:rsidR="008C0475" w:rsidRPr="00FC1801" w:rsidRDefault="00554136" w:rsidP="00554136">
      <w:pPr>
        <w:pStyle w:val="Paragraphe"/>
        <w:numPr>
          <w:ilvl w:val="0"/>
          <w:numId w:val="1"/>
        </w:numPr>
        <w:tabs>
          <w:tab w:val="clear" w:pos="360"/>
          <w:tab w:val="num" w:pos="851"/>
        </w:tabs>
        <w:spacing w:line="240" w:lineRule="auto"/>
      </w:pPr>
      <w:r w:rsidRPr="00B43FAC">
        <w:t xml:space="preserve">Il n’y a aucun facteur atténuant au dossier </w:t>
      </w:r>
      <w:r w:rsidR="008C0475" w:rsidRPr="00B43FAC">
        <w:t xml:space="preserve">au sens de l’arrêt </w:t>
      </w:r>
      <w:r w:rsidR="008C0475" w:rsidRPr="00B43FAC">
        <w:rPr>
          <w:b/>
          <w:i/>
        </w:rPr>
        <w:t xml:space="preserve">R. </w:t>
      </w:r>
      <w:r w:rsidR="008C0475" w:rsidRPr="00B43FAC">
        <w:rPr>
          <w:b/>
        </w:rPr>
        <w:t xml:space="preserve">c. </w:t>
      </w:r>
      <w:r w:rsidR="008C0475" w:rsidRPr="00B43FAC">
        <w:rPr>
          <w:b/>
          <w:i/>
        </w:rPr>
        <w:t>Suter</w:t>
      </w:r>
      <w:r w:rsidR="008C0475" w:rsidRPr="00B43FAC">
        <w:t>, c’est</w:t>
      </w:r>
      <w:r w:rsidR="00BC07E3">
        <w:noBreakHyphen/>
      </w:r>
      <w:r w:rsidR="008C0475" w:rsidRPr="00B43FAC">
        <w:t>à</w:t>
      </w:r>
      <w:r w:rsidR="00BC07E3">
        <w:noBreakHyphen/>
      </w:r>
      <w:r w:rsidR="008C0475" w:rsidRPr="00B43FAC">
        <w:t xml:space="preserve">dire, qui </w:t>
      </w:r>
      <w:r w:rsidR="008C0475" w:rsidRPr="00FC1801">
        <w:t>se rattache à la gravité de l’infraction ou au degré de responsabilité du délinquant</w:t>
      </w:r>
      <w:r w:rsidR="008C0475" w:rsidRPr="00FC1801">
        <w:rPr>
          <w:rStyle w:val="Appelnotedebasdep"/>
        </w:rPr>
        <w:footnoteReference w:id="56"/>
      </w:r>
      <w:r w:rsidR="008C0475" w:rsidRPr="00FC1801">
        <w:t>.</w:t>
      </w:r>
    </w:p>
    <w:p w14:paraId="78E44435" w14:textId="2D4D57C4" w:rsidR="00C11064" w:rsidRPr="00C11064" w:rsidRDefault="008C0475" w:rsidP="008C0475">
      <w:pPr>
        <w:pStyle w:val="Paragraphe"/>
        <w:numPr>
          <w:ilvl w:val="0"/>
          <w:numId w:val="1"/>
        </w:numPr>
        <w:tabs>
          <w:tab w:val="clear" w:pos="360"/>
          <w:tab w:val="num" w:pos="851"/>
        </w:tabs>
        <w:spacing w:line="240" w:lineRule="auto"/>
      </w:pPr>
      <w:r w:rsidRPr="00FC1801">
        <w:t>En l’espèce, monsieur</w:t>
      </w:r>
      <w:r w:rsidR="00BC07E3" w:rsidRPr="00FC1801">
        <w:t xml:space="preserve"> </w:t>
      </w:r>
      <w:r w:rsidR="00554136" w:rsidRPr="00FC1801">
        <w:t>Simon</w:t>
      </w:r>
      <w:r w:rsidRPr="00C11064">
        <w:t xml:space="preserve"> n’a pas plaidé coupable. Il n’a pas exprimé de remords, ce qui est compréhensible, étant</w:t>
      </w:r>
      <w:r w:rsidR="00C11064" w:rsidRPr="00C11064">
        <w:t xml:space="preserve"> donné qu’il est en désaccord avec le verdict. Il est d’ailleurs actuellement en appel.</w:t>
      </w:r>
    </w:p>
    <w:p w14:paraId="522A20CC" w14:textId="650BD9CC" w:rsidR="008C0475" w:rsidRPr="00C11064" w:rsidRDefault="008C0475" w:rsidP="008C0475">
      <w:pPr>
        <w:pStyle w:val="Paragraphe"/>
        <w:numPr>
          <w:ilvl w:val="0"/>
          <w:numId w:val="1"/>
        </w:numPr>
        <w:tabs>
          <w:tab w:val="clear" w:pos="360"/>
          <w:tab w:val="num" w:pos="851"/>
        </w:tabs>
        <w:spacing w:line="240" w:lineRule="auto"/>
      </w:pPr>
      <w:r w:rsidRPr="00C11064">
        <w:t>Évidemment, au stade de l’imposition de la peine, il ne doit pas être puni plus sévèrement pour avoir exercé son droit constitutionnel de nier sa culpabilité et d’obliger le poursuivant à prouver l’infraction reprochée. Au même chapitre, on ne peut aucunement lui reprocher d’être en désaccord avec la décision du Tribunal quant au verdict. C’est son droit le plus légitime.</w:t>
      </w:r>
    </w:p>
    <w:p w14:paraId="3539213B" w14:textId="3B803D33" w:rsidR="008C0475" w:rsidRPr="00C11064" w:rsidRDefault="008C0475" w:rsidP="008C0475">
      <w:pPr>
        <w:pStyle w:val="Paragraphe"/>
        <w:numPr>
          <w:ilvl w:val="0"/>
          <w:numId w:val="1"/>
        </w:numPr>
        <w:tabs>
          <w:tab w:val="clear" w:pos="360"/>
          <w:tab w:val="num" w:pos="851"/>
        </w:tabs>
        <w:spacing w:line="240" w:lineRule="auto"/>
      </w:pPr>
      <w:r w:rsidRPr="00C11064">
        <w:t>Cela dit, force est de constater qu’il y a ici absence d’un facteur atténuant dont l’impact est généralement considérable</w:t>
      </w:r>
      <w:r w:rsidRPr="00C11064">
        <w:rPr>
          <w:rStyle w:val="Appelnotedebasdep"/>
        </w:rPr>
        <w:footnoteReference w:id="57"/>
      </w:r>
      <w:r w:rsidRPr="00C11064">
        <w:t>. En plus de démontrer des remords sincères et une prise de conscience de la nature et de la gravité des gestes posés, les plaidoyers de culpabilité évitent la tenue d’un procès</w:t>
      </w:r>
      <w:r w:rsidR="00C11064" w:rsidRPr="00C11064">
        <w:t xml:space="preserve"> </w:t>
      </w:r>
      <w:r w:rsidRPr="00C11064">
        <w:t>et libèrent des ressources judiciaires qui sont déjà fortement sollicitées.</w:t>
      </w:r>
      <w:r w:rsidR="00C11064" w:rsidRPr="00C11064">
        <w:t xml:space="preserve"> Le procès en l’espèce a duré 18 jours.</w:t>
      </w:r>
    </w:p>
    <w:p w14:paraId="03402220" w14:textId="15E38028" w:rsidR="00904929" w:rsidRPr="008C0475" w:rsidRDefault="008C0475" w:rsidP="00D065A5">
      <w:pPr>
        <w:pStyle w:val="Paragraphe"/>
        <w:numPr>
          <w:ilvl w:val="0"/>
          <w:numId w:val="1"/>
        </w:numPr>
        <w:tabs>
          <w:tab w:val="clear" w:pos="360"/>
          <w:tab w:val="num" w:pos="851"/>
        </w:tabs>
        <w:spacing w:line="240" w:lineRule="auto"/>
      </w:pPr>
      <w:r w:rsidRPr="00C11064">
        <w:t xml:space="preserve">Ce facteur est absent ici. Le contrevenant ne bénéficie donc pas d’un élément qui aurait pu lui être favorable sur </w:t>
      </w:r>
      <w:r w:rsidRPr="00FC1801">
        <w:t xml:space="preserve">sentence. </w:t>
      </w:r>
      <w:r w:rsidR="00E6688E" w:rsidRPr="00FC1801">
        <w:t>Du point de vue</w:t>
      </w:r>
      <w:r w:rsidRPr="00FC1801">
        <w:t xml:space="preserve"> comparatif</w:t>
      </w:r>
      <w:r w:rsidRPr="00C11064">
        <w:t>, dans l’application du principe de l’harmonisation des peines, cette distinction devient pe</w:t>
      </w:r>
      <w:r w:rsidRPr="00157198">
        <w:t xml:space="preserve">rtinente. Je note que </w:t>
      </w:r>
      <w:r w:rsidR="00157198" w:rsidRPr="00157198">
        <w:t>sept</w:t>
      </w:r>
      <w:r w:rsidR="00C11064" w:rsidRPr="00157198">
        <w:t xml:space="preserve"> des</w:t>
      </w:r>
      <w:r w:rsidRPr="00157198">
        <w:t xml:space="preserve"> décisions invoquées par la défense en l’espèce impliquaient des accusés qui avaient plaidé coupable</w:t>
      </w:r>
      <w:r w:rsidRPr="00157198">
        <w:rPr>
          <w:rStyle w:val="Appelnotedebasdep"/>
        </w:rPr>
        <w:footnoteReference w:id="58"/>
      </w:r>
      <w:r w:rsidRPr="00157198">
        <w:t>. Comme l’a reconnu la Cour</w:t>
      </w:r>
      <w:r w:rsidRPr="00904929">
        <w:t xml:space="preserve"> d’appel du Québec, naturellement, </w:t>
      </w:r>
      <w:r w:rsidRPr="00904929">
        <w:rPr>
          <w:rFonts w:cs="Arial"/>
        </w:rPr>
        <w:t>un accusé qui plaide non coupable serait mal venu de réclamer une identité de traitement avec ceux qui ont pu bénéficier de la clémence du Tribunal pour avoir plaidé coupable</w:t>
      </w:r>
      <w:r w:rsidRPr="00904929">
        <w:rPr>
          <w:rStyle w:val="Appelnotedebasdep"/>
          <w:rFonts w:cs="Arial"/>
        </w:rPr>
        <w:footnoteReference w:id="59"/>
      </w:r>
      <w:r w:rsidRPr="00904929">
        <w:rPr>
          <w:rFonts w:cs="Arial"/>
        </w:rPr>
        <w:t>.</w:t>
      </w:r>
      <w:r w:rsidR="00D065A5">
        <w:rPr>
          <w:rFonts w:cs="Arial"/>
        </w:rPr>
        <w:t xml:space="preserve"> </w:t>
      </w:r>
      <w:r w:rsidR="00904929" w:rsidRPr="00D065A5">
        <w:rPr>
          <w:rFonts w:cs="Arial"/>
        </w:rPr>
        <w:t>Foncièrement</w:t>
      </w:r>
      <w:r w:rsidR="00213822" w:rsidRPr="00D065A5">
        <w:rPr>
          <w:rFonts w:cs="Arial"/>
        </w:rPr>
        <w:t xml:space="preserve"> et</w:t>
      </w:r>
      <w:r w:rsidR="00904929" w:rsidRPr="00D065A5">
        <w:rPr>
          <w:rFonts w:cs="Arial"/>
        </w:rPr>
        <w:t xml:space="preserve"> de manière constante, les tribunaux ont reconnu qu’il doit exister un incitatif pour les accusés qui plaident coupable, qui se traduit par un ajustement</w:t>
      </w:r>
      <w:r w:rsidR="00213822" w:rsidRPr="00D065A5">
        <w:rPr>
          <w:rFonts w:cs="Arial"/>
        </w:rPr>
        <w:t xml:space="preserve"> </w:t>
      </w:r>
      <w:r w:rsidR="00904929" w:rsidRPr="00D065A5">
        <w:rPr>
          <w:rFonts w:cs="Arial"/>
        </w:rPr>
        <w:t xml:space="preserve">à la baisse </w:t>
      </w:r>
      <w:r w:rsidR="00213822" w:rsidRPr="00D065A5">
        <w:rPr>
          <w:rFonts w:cs="Arial"/>
        </w:rPr>
        <w:t>de la peine afin de récompenser l’accusé pour sa décision de renoncer à son droit à un procès</w:t>
      </w:r>
      <w:r w:rsidR="00213822">
        <w:rPr>
          <w:rStyle w:val="Appelnotedebasdep"/>
          <w:rFonts w:cs="Arial"/>
        </w:rPr>
        <w:footnoteReference w:id="60"/>
      </w:r>
      <w:r w:rsidR="00213822" w:rsidRPr="00D065A5">
        <w:rPr>
          <w:rFonts w:cs="Arial"/>
        </w:rPr>
        <w:t>.</w:t>
      </w:r>
    </w:p>
    <w:p w14:paraId="3CDBCE9E" w14:textId="77777777" w:rsidR="008C0475" w:rsidRDefault="008C0475" w:rsidP="00D03AC5">
      <w:pPr>
        <w:pStyle w:val="Titre2"/>
        <w:numPr>
          <w:ilvl w:val="0"/>
          <w:numId w:val="10"/>
        </w:numPr>
        <w:spacing w:before="120" w:after="120"/>
        <w:rPr>
          <w:i w:val="0"/>
          <w:u w:val="single"/>
        </w:rPr>
      </w:pPr>
      <w:r>
        <w:rPr>
          <w:i w:val="0"/>
          <w:u w:val="single"/>
        </w:rPr>
        <w:t>Les facteurs aggravants</w:t>
      </w:r>
    </w:p>
    <w:p w14:paraId="57924901" w14:textId="77777777" w:rsidR="008C0475" w:rsidRPr="00E52184" w:rsidRDefault="008C0475" w:rsidP="008C0475">
      <w:pPr>
        <w:pStyle w:val="Paragraphe"/>
        <w:numPr>
          <w:ilvl w:val="0"/>
          <w:numId w:val="1"/>
        </w:numPr>
        <w:tabs>
          <w:tab w:val="clear" w:pos="360"/>
          <w:tab w:val="num" w:pos="851"/>
        </w:tabs>
        <w:spacing w:line="240" w:lineRule="auto"/>
      </w:pPr>
      <w:r>
        <w:t xml:space="preserve">Quant aux facteurs </w:t>
      </w:r>
      <w:r w:rsidRPr="00E52184">
        <w:t>aggravants, le Tribunal note :</w:t>
      </w:r>
    </w:p>
    <w:p w14:paraId="61AE0980" w14:textId="097319D5" w:rsidR="008C0475" w:rsidRDefault="00E07004" w:rsidP="008C0475">
      <w:pPr>
        <w:pStyle w:val="Paragraphe"/>
        <w:numPr>
          <w:ilvl w:val="0"/>
          <w:numId w:val="5"/>
        </w:numPr>
        <w:spacing w:line="240" w:lineRule="auto"/>
        <w:ind w:left="1418"/>
      </w:pPr>
      <w:r>
        <w:t>La v</w:t>
      </w:r>
      <w:r w:rsidR="00F2528A">
        <w:t>ariété</w:t>
      </w:r>
      <w:r>
        <w:t xml:space="preserve"> de substances impliquées : trois sortes de drogues prévues à l’annexe 1, en plus d’une drogue de l’annexe 4.</w:t>
      </w:r>
    </w:p>
    <w:p w14:paraId="4836FCFA" w14:textId="2FB5B45A" w:rsidR="00F2528A" w:rsidRDefault="00A859F3" w:rsidP="008C0475">
      <w:pPr>
        <w:pStyle w:val="Paragraphe"/>
        <w:numPr>
          <w:ilvl w:val="0"/>
          <w:numId w:val="5"/>
        </w:numPr>
        <w:spacing w:line="240" w:lineRule="auto"/>
        <w:ind w:left="1418"/>
      </w:pPr>
      <w:r>
        <w:t>La nature très nocive des stupéfiants impliqués</w:t>
      </w:r>
      <w:r>
        <w:rPr>
          <w:rStyle w:val="Appelnotedebasdep"/>
        </w:rPr>
        <w:footnoteReference w:id="61"/>
      </w:r>
      <w:r>
        <w:t>.</w:t>
      </w:r>
    </w:p>
    <w:p w14:paraId="344A7D1C" w14:textId="028DEFEA" w:rsidR="00F2528A" w:rsidRDefault="0019055F" w:rsidP="008C0475">
      <w:pPr>
        <w:pStyle w:val="Paragraphe"/>
        <w:numPr>
          <w:ilvl w:val="0"/>
          <w:numId w:val="5"/>
        </w:numPr>
        <w:spacing w:line="240" w:lineRule="auto"/>
        <w:ind w:left="1418"/>
      </w:pPr>
      <w:r>
        <w:t>La quantité importante des stupéfiants</w:t>
      </w:r>
      <w:r>
        <w:rPr>
          <w:rStyle w:val="Appelnotedebasdep"/>
        </w:rPr>
        <w:footnoteReference w:id="62"/>
      </w:r>
      <w:r w:rsidR="000A525B">
        <w:t xml:space="preserve"> dont la valeur totale s’élève à plus de 12</w:t>
      </w:r>
      <w:r w:rsidR="00646621">
        <w:t> </w:t>
      </w:r>
      <w:r w:rsidR="000A525B">
        <w:t>500</w:t>
      </w:r>
      <w:r w:rsidR="00646621">
        <w:t> </w:t>
      </w:r>
      <w:r w:rsidR="000A525B">
        <w:t xml:space="preserve">$ : 368 roches de crack, 3.87 g de cocaïne, 94 comprimés de speed et 412 comprimés de Xanax (voir l’analyse de l’art. 725 </w:t>
      </w:r>
      <w:r w:rsidR="000A525B">
        <w:rPr>
          <w:i/>
          <w:iCs/>
        </w:rPr>
        <w:t>C.cr.</w:t>
      </w:r>
      <w:r w:rsidR="000A525B">
        <w:t xml:space="preserve"> ci</w:t>
      </w:r>
      <w:r w:rsidR="00646621">
        <w:noBreakHyphen/>
      </w:r>
      <w:r w:rsidR="000A525B">
        <w:t>dessous).</w:t>
      </w:r>
    </w:p>
    <w:p w14:paraId="70883ADE" w14:textId="4E78218E" w:rsidR="00A859F3" w:rsidRDefault="000A525B" w:rsidP="008C0475">
      <w:pPr>
        <w:pStyle w:val="Paragraphe"/>
        <w:numPr>
          <w:ilvl w:val="0"/>
          <w:numId w:val="5"/>
        </w:numPr>
        <w:spacing w:line="240" w:lineRule="auto"/>
        <w:ind w:left="1418"/>
      </w:pPr>
      <w:r>
        <w:t>A</w:t>
      </w:r>
      <w:r w:rsidR="00A859F3">
        <w:t>u moment de l’infraction</w:t>
      </w:r>
      <w:r w:rsidR="00E352C2">
        <w:t>,</w:t>
      </w:r>
      <w:r w:rsidR="00A859F3">
        <w:t xml:space="preserve"> l’accusé était astreint au respect de conditions de mise en liberté provisoire dans quatre dossiers, dont deux en semblable matière</w:t>
      </w:r>
      <w:r w:rsidR="000D0B18">
        <w:rPr>
          <w:rStyle w:val="Appelnotedebasdep"/>
        </w:rPr>
        <w:footnoteReference w:id="63"/>
      </w:r>
      <w:r w:rsidR="00A859F3">
        <w:t>. Il était en attente de procès.</w:t>
      </w:r>
      <w:r w:rsidR="00E352C2">
        <w:t xml:space="preserve"> Ceci constitue un facteur aggravant important</w:t>
      </w:r>
      <w:r w:rsidR="00E352C2">
        <w:rPr>
          <w:rStyle w:val="Appelnotedebasdep"/>
        </w:rPr>
        <w:footnoteReference w:id="64"/>
      </w:r>
      <w:r w:rsidR="00E352C2">
        <w:t>.</w:t>
      </w:r>
    </w:p>
    <w:p w14:paraId="63E80682" w14:textId="1FA4EDC5" w:rsidR="00A859F3" w:rsidRDefault="00A859F3" w:rsidP="00A859F3">
      <w:pPr>
        <w:pStyle w:val="Paragraphe"/>
        <w:numPr>
          <w:ilvl w:val="0"/>
          <w:numId w:val="0"/>
        </w:numPr>
        <w:spacing w:line="240" w:lineRule="auto"/>
        <w:ind w:left="1418"/>
      </w:pPr>
      <w:r>
        <w:t>Lors de sa première mise en liberté en mars 2020, il s’était engagé à verser la somme de 1500</w:t>
      </w:r>
      <w:r w:rsidR="00646621">
        <w:t> </w:t>
      </w:r>
      <w:r>
        <w:t>$ en cas de manquement. De plus, deux tiers désignés différents ont chacun déposé la somme de 500</w:t>
      </w:r>
      <w:r w:rsidR="00646621">
        <w:t> </w:t>
      </w:r>
      <w:r>
        <w:t>$ pour garantir le respect des conditions par l’accusé</w:t>
      </w:r>
      <w:r>
        <w:rPr>
          <w:rStyle w:val="Appelnotedebasdep"/>
        </w:rPr>
        <w:footnoteReference w:id="65"/>
      </w:r>
      <w:r>
        <w:t>.</w:t>
      </w:r>
    </w:p>
    <w:p w14:paraId="7BC480CC" w14:textId="154263F4" w:rsidR="00A859F3" w:rsidRDefault="00A859F3" w:rsidP="00A859F3">
      <w:pPr>
        <w:pStyle w:val="Paragraphe"/>
        <w:numPr>
          <w:ilvl w:val="0"/>
          <w:numId w:val="0"/>
        </w:numPr>
        <w:spacing w:line="240" w:lineRule="auto"/>
        <w:ind w:left="1418"/>
      </w:pPr>
      <w:r>
        <w:t>Lors de sa deuxième mise en liberté en juillet 2020, Simon s’était engagé à verser une somme additionnelle de 1500</w:t>
      </w:r>
      <w:r w:rsidR="00646621">
        <w:t> </w:t>
      </w:r>
      <w:r>
        <w:t>$ en cas de manquement. Encore une fois, un tiers désigné a déposé la somme de 500</w:t>
      </w:r>
      <w:r w:rsidR="00646621">
        <w:t> </w:t>
      </w:r>
      <w:r>
        <w:t>$ pour garantir le respect des conditions</w:t>
      </w:r>
      <w:r>
        <w:rPr>
          <w:rStyle w:val="Appelnotedebasdep"/>
        </w:rPr>
        <w:footnoteReference w:id="66"/>
      </w:r>
      <w:r>
        <w:t>.</w:t>
      </w:r>
    </w:p>
    <w:p w14:paraId="16BB751B" w14:textId="65DCD519" w:rsidR="00A859F3" w:rsidRDefault="00A859F3" w:rsidP="00A859F3">
      <w:pPr>
        <w:pStyle w:val="Paragraphe"/>
        <w:numPr>
          <w:ilvl w:val="0"/>
          <w:numId w:val="0"/>
        </w:numPr>
        <w:spacing w:line="240" w:lineRule="auto"/>
        <w:ind w:left="1418"/>
      </w:pPr>
      <w:r>
        <w:t>Tous ces incitatifs pécuniaires n’ont eu aucun effet.</w:t>
      </w:r>
    </w:p>
    <w:p w14:paraId="0653941E" w14:textId="3C711FD4" w:rsidR="00F2528A" w:rsidRDefault="00E352C2" w:rsidP="00F2528A">
      <w:pPr>
        <w:pStyle w:val="Paragraphe"/>
        <w:numPr>
          <w:ilvl w:val="0"/>
          <w:numId w:val="5"/>
        </w:numPr>
        <w:spacing w:line="240" w:lineRule="auto"/>
        <w:ind w:left="1418"/>
      </w:pPr>
      <w:r>
        <w:t>Au moment de l’infraction, l’accusé était en probation</w:t>
      </w:r>
      <w:r>
        <w:rPr>
          <w:rStyle w:val="Appelnotedebasdep"/>
        </w:rPr>
        <w:footnoteReference w:id="67"/>
      </w:r>
      <w:r>
        <w:t>. Pendant l’enquête, à répétition, il a violé la condition spécifique lui interdisant d’avoir la garde ou le contrôle d’un véhicule à moteur.</w:t>
      </w:r>
    </w:p>
    <w:p w14:paraId="5ADEE440" w14:textId="47EC4E7D" w:rsidR="00E352C2" w:rsidRDefault="00E352C2" w:rsidP="00E352C2">
      <w:pPr>
        <w:pStyle w:val="Paragraphe"/>
        <w:numPr>
          <w:ilvl w:val="0"/>
          <w:numId w:val="0"/>
        </w:numPr>
        <w:spacing w:line="240" w:lineRule="auto"/>
        <w:ind w:left="1418"/>
      </w:pPr>
      <w:r>
        <w:t>Il y a lieu de noter que l’ordonnance de probation était toute récente. Elle avait été imposée le 10 novembre 2020</w:t>
      </w:r>
      <w:r>
        <w:rPr>
          <w:rStyle w:val="Appelnotedebasdep"/>
        </w:rPr>
        <w:footnoteReference w:id="68"/>
      </w:r>
      <w:r>
        <w:t>, soit quatre mois avant les nouvelles infractions.</w:t>
      </w:r>
    </w:p>
    <w:p w14:paraId="4F8BFF1B" w14:textId="12D7CBED" w:rsidR="00E352C2" w:rsidRDefault="00E352C2" w:rsidP="00E352C2">
      <w:pPr>
        <w:pStyle w:val="Paragraphe"/>
        <w:numPr>
          <w:ilvl w:val="0"/>
          <w:numId w:val="0"/>
        </w:numPr>
        <w:spacing w:line="240" w:lineRule="auto"/>
        <w:ind w:left="1418"/>
      </w:pPr>
      <w:r>
        <w:t>Plus l’ordonnance violée est récente, plus le caractère aggravant de ce facteur augmentera, car il démontrera un manque flagrant de respect pour l’autorité de la Cour</w:t>
      </w:r>
      <w:r>
        <w:rPr>
          <w:rStyle w:val="Appelnotedebasdep"/>
        </w:rPr>
        <w:footnoteReference w:id="69"/>
      </w:r>
      <w:r>
        <w:t>.</w:t>
      </w:r>
    </w:p>
    <w:p w14:paraId="0CFD2217" w14:textId="77777777" w:rsidR="00145E2F" w:rsidRDefault="00D84C02" w:rsidP="00F2528A">
      <w:pPr>
        <w:pStyle w:val="Paragraphe"/>
        <w:numPr>
          <w:ilvl w:val="0"/>
          <w:numId w:val="5"/>
        </w:numPr>
        <w:spacing w:line="240" w:lineRule="auto"/>
        <w:ind w:left="1418"/>
      </w:pPr>
      <w:r>
        <w:t>Le casier judiciaire de l’accusé.</w:t>
      </w:r>
    </w:p>
    <w:p w14:paraId="1205C35E" w14:textId="59E3CEA2" w:rsidR="00E352C2" w:rsidRDefault="00D84C02" w:rsidP="00145E2F">
      <w:pPr>
        <w:pStyle w:val="Paragraphe"/>
        <w:numPr>
          <w:ilvl w:val="0"/>
          <w:numId w:val="0"/>
        </w:numPr>
        <w:spacing w:line="240" w:lineRule="auto"/>
        <w:ind w:left="1418"/>
      </w:pPr>
      <w:r>
        <w:t>Ses antécédents</w:t>
      </w:r>
      <w:r w:rsidR="000B7539">
        <w:t xml:space="preserve"> entre 2013 et 20</w:t>
      </w:r>
      <w:r w:rsidR="00251C5C">
        <w:t>20</w:t>
      </w:r>
      <w:r>
        <w:t xml:space="preserve"> sont variés</w:t>
      </w:r>
      <w:r w:rsidR="000B7539">
        <w:t>,</w:t>
      </w:r>
      <w:r>
        <w:t xml:space="preserve"> nombreux</w:t>
      </w:r>
      <w:r w:rsidR="000B7539">
        <w:t xml:space="preserve"> et relativement récents</w:t>
      </w:r>
      <w:r>
        <w:t>.</w:t>
      </w:r>
    </w:p>
    <w:p w14:paraId="237226F0" w14:textId="53B8439D" w:rsidR="00D84C02" w:rsidRDefault="000B7539" w:rsidP="00D84C02">
      <w:pPr>
        <w:pStyle w:val="Paragraphe"/>
        <w:numPr>
          <w:ilvl w:val="0"/>
          <w:numId w:val="0"/>
        </w:numPr>
        <w:spacing w:line="240" w:lineRule="auto"/>
        <w:ind w:left="1418"/>
      </w:pPr>
      <w:r>
        <w:t>Notons qu’à</w:t>
      </w:r>
      <w:r w:rsidR="004C0477">
        <w:t xml:space="preserve"> ce stade de l’analyse, les antécédents juvéniles de Simon demeurent pertinents</w:t>
      </w:r>
      <w:r w:rsidR="00145E2F">
        <w:t xml:space="preserve"> et ils doivent être considérés par le Tribunal</w:t>
      </w:r>
      <w:r w:rsidR="009A3199">
        <w:t xml:space="preserve"> en évaluant le caractère normatif du comportement du délinquant</w:t>
      </w:r>
      <w:r w:rsidR="00145E2F">
        <w:rPr>
          <w:rStyle w:val="Appelnotedebasdep"/>
        </w:rPr>
        <w:footnoteReference w:id="70"/>
      </w:r>
      <w:r w:rsidR="00145E2F">
        <w:t>, quoiqu</w:t>
      </w:r>
      <w:r w:rsidR="009A3199">
        <w:t xml:space="preserve">’ils aient moins de poids </w:t>
      </w:r>
      <w:r w:rsidR="009A3199" w:rsidRPr="00FC1801">
        <w:t>en raison de leur</w:t>
      </w:r>
      <w:r w:rsidR="00BC07E3" w:rsidRPr="00FC1801">
        <w:t xml:space="preserve"> </w:t>
      </w:r>
      <w:r w:rsidR="009A3199" w:rsidRPr="00FC1801">
        <w:t>âge</w:t>
      </w:r>
      <w:r w:rsidR="009A3199">
        <w:t xml:space="preserve"> et la culpabilité morale moindre associée à la criminalité adolescente</w:t>
      </w:r>
      <w:r w:rsidR="0089626E">
        <w:rPr>
          <w:rStyle w:val="Appelnotedebasdep"/>
        </w:rPr>
        <w:footnoteReference w:id="71"/>
      </w:r>
      <w:r w:rsidR="004C0477">
        <w:t>.</w:t>
      </w:r>
    </w:p>
    <w:p w14:paraId="6D730290" w14:textId="68B5964C" w:rsidR="000B7539" w:rsidRDefault="000B7539" w:rsidP="00D84C02">
      <w:pPr>
        <w:pStyle w:val="Paragraphe"/>
        <w:numPr>
          <w:ilvl w:val="0"/>
          <w:numId w:val="0"/>
        </w:numPr>
        <w:spacing w:line="240" w:lineRule="auto"/>
        <w:ind w:left="1418"/>
      </w:pPr>
      <w:r>
        <w:t>Le poids relatif qui sera accordé aux antécédents varie selon la nature, le nombre et la proximité temporelle des condamnations antérieures</w:t>
      </w:r>
      <w:r>
        <w:rPr>
          <w:rStyle w:val="Appelnotedebasdep"/>
        </w:rPr>
        <w:footnoteReference w:id="72"/>
      </w:r>
      <w:r>
        <w:t>. Notre Cour d’appel a déjà reconnu le principe de la gradation des peines</w:t>
      </w:r>
      <w:r>
        <w:rPr>
          <w:rStyle w:val="Appelnotedebasdep"/>
        </w:rPr>
        <w:footnoteReference w:id="73"/>
      </w:r>
      <w:r>
        <w:t>, tout en soulignant que le juge doit se garder de punir le délinquant davantage pour ses actes passés que pour ce qui lui est reproché en l’instance</w:t>
      </w:r>
      <w:r>
        <w:rPr>
          <w:rStyle w:val="Appelnotedebasdep"/>
        </w:rPr>
        <w:footnoteReference w:id="74"/>
      </w:r>
      <w:r>
        <w:t>. Le principe de la gradation n’est pas absolu et il ne doit</w:t>
      </w:r>
      <w:r w:rsidR="00E6688E">
        <w:t xml:space="preserve"> </w:t>
      </w:r>
      <w:r w:rsidR="00E6688E" w:rsidRPr="00FC1801">
        <w:t>pas</w:t>
      </w:r>
      <w:r>
        <w:t xml:space="preserve"> être appliqué de façon mathématique</w:t>
      </w:r>
      <w:r>
        <w:rPr>
          <w:rStyle w:val="Appelnotedebasdep"/>
        </w:rPr>
        <w:footnoteReference w:id="75"/>
      </w:r>
      <w:r>
        <w:t>. Évidemment, son incidence sera plus grande lorsque les antécédents sont de semblable nature à l’infraction en litige</w:t>
      </w:r>
      <w:r>
        <w:rPr>
          <w:rStyle w:val="Appelnotedebasdep"/>
        </w:rPr>
        <w:footnoteReference w:id="76"/>
      </w:r>
      <w:r>
        <w:t>.</w:t>
      </w:r>
    </w:p>
    <w:p w14:paraId="7191DD13" w14:textId="1087EEBE" w:rsidR="00765EC0" w:rsidRDefault="00765EC0" w:rsidP="00D84C02">
      <w:pPr>
        <w:pStyle w:val="Paragraphe"/>
        <w:numPr>
          <w:ilvl w:val="0"/>
          <w:numId w:val="0"/>
        </w:numPr>
        <w:spacing w:line="240" w:lineRule="auto"/>
        <w:ind w:left="1418"/>
      </w:pPr>
      <w:r>
        <w:t xml:space="preserve">Ce n’est pas le cas en l’espèce. Simon n’a que deux condamnations antérieures relatives aux </w:t>
      </w:r>
      <w:r w:rsidRPr="00FC1801">
        <w:t>stupéfiants et il</w:t>
      </w:r>
      <w:r w:rsidR="00E6688E" w:rsidRPr="00FC1801">
        <w:t xml:space="preserve"> </w:t>
      </w:r>
      <w:r w:rsidRPr="00FC1801">
        <w:t>s’agit</w:t>
      </w:r>
      <w:r>
        <w:t xml:space="preserve"> d’infractions de possession simple. </w:t>
      </w:r>
      <w:r w:rsidR="009B0296">
        <w:t>En conséquence</w:t>
      </w:r>
      <w:r>
        <w:t>, l’impact de son casier judiciaire est limité.</w:t>
      </w:r>
    </w:p>
    <w:p w14:paraId="754AD0E1" w14:textId="74D06FD4" w:rsidR="00765EC0" w:rsidRDefault="00765EC0" w:rsidP="00D84C02">
      <w:pPr>
        <w:pStyle w:val="Paragraphe"/>
        <w:numPr>
          <w:ilvl w:val="0"/>
          <w:numId w:val="0"/>
        </w:numPr>
        <w:spacing w:line="240" w:lineRule="auto"/>
        <w:ind w:left="1418"/>
      </w:pPr>
      <w:r>
        <w:t>Malgré tout, les condamnations demeurent pertinentes dans la mesure où Simon s’adonne à la criminalité depuis une décennie. Il a été impliqué dans des crimes violents et il a fait preuve d’un flagrant mépris pour les ordonnances de la Cour. Ses sanctions antérieures (placement sous garde, emprisonnement de trois mois, emprisonnement de deux semaines, centaines d’heures de travaux communautaires) ne l’ont pas incité à prendre le bon chemin. Il s’ensuit qu’une peine ferme s’impose pour qu’il comprenne que la criminalité entraînera des peines de plus en plus sévères.</w:t>
      </w:r>
    </w:p>
    <w:p w14:paraId="4AFEBC6E" w14:textId="7975B29B" w:rsidR="002A737D" w:rsidRDefault="002A737D" w:rsidP="00D03AC5">
      <w:pPr>
        <w:pStyle w:val="Titre2"/>
        <w:numPr>
          <w:ilvl w:val="0"/>
          <w:numId w:val="10"/>
        </w:numPr>
        <w:spacing w:before="120" w:after="120"/>
        <w:rPr>
          <w:i w:val="0"/>
          <w:u w:val="single"/>
        </w:rPr>
      </w:pPr>
      <w:r>
        <w:rPr>
          <w:i w:val="0"/>
          <w:u w:val="single"/>
        </w:rPr>
        <w:t>La considération de l’infraction distincte et additionnelle de possession de Clonazépam en vue d’en faire le trafic</w:t>
      </w:r>
      <w:r w:rsidR="00840E6D">
        <w:rPr>
          <w:i w:val="0"/>
          <w:u w:val="single"/>
        </w:rPr>
        <w:t xml:space="preserve"> : art. 725(1)(c) </w:t>
      </w:r>
      <w:r w:rsidR="00840E6D">
        <w:rPr>
          <w:iCs/>
          <w:u w:val="single"/>
        </w:rPr>
        <w:t>C.cr.</w:t>
      </w:r>
    </w:p>
    <w:p w14:paraId="71B0D362" w14:textId="77777777" w:rsidR="00FA7D41" w:rsidRDefault="00FA7D41" w:rsidP="00FA7D41">
      <w:pPr>
        <w:pStyle w:val="Paragraphe"/>
        <w:numPr>
          <w:ilvl w:val="0"/>
          <w:numId w:val="1"/>
        </w:numPr>
        <w:tabs>
          <w:tab w:val="clear" w:pos="360"/>
          <w:tab w:val="num" w:pos="851"/>
        </w:tabs>
        <w:spacing w:line="240" w:lineRule="auto"/>
      </w:pPr>
      <w:r>
        <w:t>Selon la preuve et les admissions</w:t>
      </w:r>
      <w:r>
        <w:rPr>
          <w:rStyle w:val="Appelnotedebasdep"/>
        </w:rPr>
        <w:footnoteReference w:id="77"/>
      </w:r>
      <w:r>
        <w:t xml:space="preserve"> faites au procès</w:t>
      </w:r>
      <w:r w:rsidRPr="00840E6D">
        <w:t xml:space="preserve"> </w:t>
      </w:r>
      <w:r>
        <w:t>et compte tenu des conclusions factuelles du Tribunal en arrivant au verdict, au-delà du crack, de la cocaïne en poudre et des comprimés de speed, l’accusé avait également en sa possession (en vue d’en faire le trafic) 412 comprimés de Clonazépam (Xanax).</w:t>
      </w:r>
    </w:p>
    <w:p w14:paraId="27AA59BA" w14:textId="49DEA280" w:rsidR="00FA7D41" w:rsidRDefault="00FA7D41" w:rsidP="00FA7D41">
      <w:pPr>
        <w:pStyle w:val="Paragraphe"/>
        <w:numPr>
          <w:ilvl w:val="0"/>
          <w:numId w:val="1"/>
        </w:numPr>
        <w:tabs>
          <w:tab w:val="clear" w:pos="360"/>
          <w:tab w:val="num" w:pos="851"/>
        </w:tabs>
        <w:spacing w:line="240" w:lineRule="auto"/>
      </w:pPr>
      <w:r>
        <w:t xml:space="preserve">Or, tel que l’a souligné la procureure de la défense au procès, </w:t>
      </w:r>
      <w:r w:rsidRPr="00FC1801">
        <w:t>monsieur Simon</w:t>
      </w:r>
      <w:r w:rsidR="00BC07E3" w:rsidRPr="00FC1801">
        <w:t xml:space="preserve"> </w:t>
      </w:r>
      <w:r>
        <w:t xml:space="preserve">était seulement accusé de possession de substances de l’annexe 1. Le Clonazépam se retrouve plutôt à l’annexe 4 de la </w:t>
      </w:r>
      <w:r>
        <w:rPr>
          <w:i/>
          <w:iCs/>
        </w:rPr>
        <w:t>Loi réglementant certaines drogues et autres substances</w:t>
      </w:r>
      <w:r>
        <w:t>, dans la section des benzodiazépines.</w:t>
      </w:r>
    </w:p>
    <w:p w14:paraId="4D41099D" w14:textId="711AA35F" w:rsidR="00FA7D41" w:rsidRDefault="00FA7D41" w:rsidP="00FA7D41">
      <w:pPr>
        <w:pStyle w:val="Paragraphe"/>
        <w:numPr>
          <w:ilvl w:val="0"/>
          <w:numId w:val="1"/>
        </w:numPr>
        <w:tabs>
          <w:tab w:val="clear" w:pos="360"/>
          <w:tab w:val="num" w:pos="851"/>
        </w:tabs>
        <w:spacing w:line="240" w:lineRule="auto"/>
      </w:pPr>
      <w:r>
        <w:t xml:space="preserve">Ceci dit, la possession de Clonazépam en vue d’en faire le trafic constitue bel et bien une infraction criminelle prévue à l’art. 5(2)(3)(c)(i) </w:t>
      </w:r>
      <w:r>
        <w:rPr>
          <w:i/>
          <w:iCs/>
        </w:rPr>
        <w:t>L.r.c.d.a.s.</w:t>
      </w:r>
      <w:r>
        <w:t xml:space="preserve"> La preuve de cette infraction a été entièrement faite au procès, hors de tout doute raisonnable. Dans les circonstances, l’art. 725(1)(c) </w:t>
      </w:r>
      <w:r>
        <w:rPr>
          <w:i/>
          <w:iCs/>
        </w:rPr>
        <w:t>C.cr.</w:t>
      </w:r>
      <w:r>
        <w:t xml:space="preserve"> permet au Tribunal de prendre en considération la commission de cette infraction dans l’imposition de la peine, </w:t>
      </w:r>
      <w:r w:rsidRPr="00FC1801">
        <w:t xml:space="preserve">même si elle </w:t>
      </w:r>
      <w:r w:rsidR="00DC1D8F" w:rsidRPr="00FC1801">
        <w:t>avait</w:t>
      </w:r>
      <w:r w:rsidRPr="00FC1801">
        <w:t xml:space="preserve"> pu</w:t>
      </w:r>
      <w:r>
        <w:t xml:space="preserve"> fonder une accusation distincte.</w:t>
      </w:r>
      <w:r w:rsidR="000842A5">
        <w:t xml:space="preserve"> La Couronne invoque cet article dans le présent dossier.</w:t>
      </w:r>
      <w:r>
        <w:t xml:space="preserve"> Je note qu’une telle considération ne requiert pas le consentement de</w:t>
      </w:r>
      <w:r w:rsidR="000842A5">
        <w:t xml:space="preserve"> la défense</w:t>
      </w:r>
      <w:r>
        <w:t>, contrairement aux alinéas (1)(b) et (1)(b.1)</w:t>
      </w:r>
      <w:r>
        <w:rPr>
          <w:rStyle w:val="Appelnotedebasdep"/>
        </w:rPr>
        <w:footnoteReference w:id="78"/>
      </w:r>
      <w:r>
        <w:t>.</w:t>
      </w:r>
    </w:p>
    <w:p w14:paraId="531AAC18" w14:textId="2A08AFE5" w:rsidR="00FA7D41" w:rsidRDefault="00FA7D41" w:rsidP="00FA7D41">
      <w:pPr>
        <w:pStyle w:val="Paragraphe"/>
        <w:numPr>
          <w:ilvl w:val="0"/>
          <w:numId w:val="1"/>
        </w:numPr>
        <w:tabs>
          <w:tab w:val="clear" w:pos="360"/>
          <w:tab w:val="num" w:pos="851"/>
        </w:tabs>
        <w:spacing w:line="240" w:lineRule="auto"/>
      </w:pPr>
      <w:r>
        <w:t>En l’espèce, il est approprié d’exercer mon pouvoir discrétionnaire et d’appliquer l’art. 725(1)(c). La possession de Xanax est évidemment liée à la perpétration de l’infraction sous-jacente relative aux substances de l’annexe 1. La connexité est évidente. Les substances étaient possédées au même endroit, au même moment et dans les mêmes circonstances</w:t>
      </w:r>
      <w:r>
        <w:rPr>
          <w:rStyle w:val="Appelnotedebasdep"/>
        </w:rPr>
        <w:footnoteReference w:id="79"/>
      </w:r>
      <w:r>
        <w:t>. Aucune injustice n</w:t>
      </w:r>
      <w:r w:rsidR="00E57633">
        <w:t>’</w:t>
      </w:r>
      <w:r>
        <w:t>e</w:t>
      </w:r>
      <w:r w:rsidR="00E57633">
        <w:t>n</w:t>
      </w:r>
      <w:r>
        <w:t xml:space="preserve"> découle pour l’accusé, qui a pu exercer son droit à un procès détaillé durant lequel il a exhaustivement contesté toute la preuve de la Couronne. Il n’a pas été pris par surprise. Au contraire, il y a eu mention explicite du Clonazépam dans la preuve</w:t>
      </w:r>
      <w:r>
        <w:rPr>
          <w:rStyle w:val="Appelnotedebasdep"/>
        </w:rPr>
        <w:footnoteReference w:id="80"/>
      </w:r>
      <w:r>
        <w:t>; cette substance a même fait l’objet d’une admission formelle.</w:t>
      </w:r>
    </w:p>
    <w:p w14:paraId="29F83391" w14:textId="77777777" w:rsidR="006C032B" w:rsidRDefault="00FA7D41" w:rsidP="006C032B">
      <w:pPr>
        <w:pStyle w:val="Paragraphe"/>
        <w:numPr>
          <w:ilvl w:val="0"/>
          <w:numId w:val="1"/>
        </w:numPr>
        <w:tabs>
          <w:tab w:val="clear" w:pos="360"/>
          <w:tab w:val="num" w:pos="851"/>
        </w:tabs>
        <w:spacing w:line="240" w:lineRule="auto"/>
      </w:pPr>
      <w:r>
        <w:t>La quantité de comprimés de Xanax est impressionnante. Elle ajoute à la quantité totale et à la variété de substances dont Simon avait la possession à des fins de commerce illicite. Cet élément a donc une incidence certaine sur sa culpabilité morale totale</w:t>
      </w:r>
      <w:r>
        <w:rPr>
          <w:rStyle w:val="Appelnotedebasdep"/>
        </w:rPr>
        <w:footnoteReference w:id="81"/>
      </w:r>
      <w:r>
        <w:t>. La possession additionnelle de cette substance peut donc permettre d’infliger une peine plus sévère</w:t>
      </w:r>
      <w:r>
        <w:rPr>
          <w:rStyle w:val="Appelnotedebasdep"/>
        </w:rPr>
        <w:footnoteReference w:id="82"/>
      </w:r>
      <w:r>
        <w:t>.</w:t>
      </w:r>
    </w:p>
    <w:p w14:paraId="15E55F8C" w14:textId="0FDFB813" w:rsidR="006C032B" w:rsidRDefault="006C032B" w:rsidP="006C032B">
      <w:pPr>
        <w:pStyle w:val="Paragraphe"/>
        <w:numPr>
          <w:ilvl w:val="0"/>
          <w:numId w:val="1"/>
        </w:numPr>
        <w:tabs>
          <w:tab w:val="clear" w:pos="360"/>
          <w:tab w:val="num" w:pos="851"/>
        </w:tabs>
        <w:spacing w:line="240" w:lineRule="auto"/>
      </w:pPr>
      <w:r>
        <w:t>Afin d’éviter toute possibilité de double</w:t>
      </w:r>
      <w:r w:rsidR="00795660">
        <w:t xml:space="preserve"> </w:t>
      </w:r>
      <w:r>
        <w:t>punition</w:t>
      </w:r>
      <w:r>
        <w:rPr>
          <w:rStyle w:val="Appelnotedebasdep"/>
        </w:rPr>
        <w:footnoteReference w:id="83"/>
      </w:r>
      <w:r>
        <w:t xml:space="preserve">, l’acte d’accusation sera noté afin d’y indiquer que l’imposition de la peine en l’espèce prend en considération la possession du Clonazépam en vue d’en faire le trafic, infraction qui aurait pu être déposée en vertu de l’art. 5(2)(3)(c)(i) </w:t>
      </w:r>
      <w:r>
        <w:rPr>
          <w:i/>
          <w:iCs/>
        </w:rPr>
        <w:t>L.r.c.d.a.s</w:t>
      </w:r>
      <w:r>
        <w:t>.</w:t>
      </w:r>
      <w:r>
        <w:rPr>
          <w:rStyle w:val="Appelnotedebasdep"/>
        </w:rPr>
        <w:footnoteReference w:id="84"/>
      </w:r>
      <w:r>
        <w:t>.</w:t>
      </w:r>
    </w:p>
    <w:p w14:paraId="00095C22" w14:textId="00458749" w:rsidR="00FA7D41" w:rsidRDefault="00FA7D41" w:rsidP="00D03AC5">
      <w:pPr>
        <w:pStyle w:val="Titre2"/>
        <w:numPr>
          <w:ilvl w:val="0"/>
          <w:numId w:val="10"/>
        </w:numPr>
        <w:spacing w:before="120" w:after="120"/>
        <w:rPr>
          <w:i w:val="0"/>
          <w:u w:val="single"/>
        </w:rPr>
      </w:pPr>
      <w:r>
        <w:rPr>
          <w:i w:val="0"/>
          <w:u w:val="single"/>
        </w:rPr>
        <w:t>L’âge du délinquant</w:t>
      </w:r>
    </w:p>
    <w:p w14:paraId="737329D4" w14:textId="6A1CBF34" w:rsidR="00CC3D0D" w:rsidRDefault="000842A5" w:rsidP="008C0475">
      <w:pPr>
        <w:pStyle w:val="Paragraphe"/>
        <w:numPr>
          <w:ilvl w:val="0"/>
          <w:numId w:val="1"/>
        </w:numPr>
        <w:tabs>
          <w:tab w:val="clear" w:pos="360"/>
          <w:tab w:val="num" w:pos="851"/>
        </w:tabs>
        <w:spacing w:line="240" w:lineRule="auto"/>
      </w:pPr>
      <w:r>
        <w:t>La défense invoque le « jeune âge » de Simon. Il avait 24 ans au moment de l’infraction. I</w:t>
      </w:r>
      <w:r w:rsidR="00E57633">
        <w:t>l</w:t>
      </w:r>
      <w:r>
        <w:t xml:space="preserve"> a actuellement 2</w:t>
      </w:r>
      <w:r w:rsidR="00E57633">
        <w:t>6</w:t>
      </w:r>
      <w:r>
        <w:t xml:space="preserve"> ans.</w:t>
      </w:r>
    </w:p>
    <w:p w14:paraId="6CBA7604" w14:textId="6DEA49BB" w:rsidR="000842A5" w:rsidRDefault="000842A5" w:rsidP="008C0475">
      <w:pPr>
        <w:pStyle w:val="Paragraphe"/>
        <w:numPr>
          <w:ilvl w:val="0"/>
          <w:numId w:val="1"/>
        </w:numPr>
        <w:tabs>
          <w:tab w:val="clear" w:pos="360"/>
          <w:tab w:val="num" w:pos="851"/>
        </w:tabs>
        <w:spacing w:line="240" w:lineRule="auto"/>
      </w:pPr>
      <w:r>
        <w:t xml:space="preserve">Selon le Tribunal, on peut considérer qu’il était </w:t>
      </w:r>
      <w:r>
        <w:rPr>
          <w:i/>
          <w:iCs/>
        </w:rPr>
        <w:t xml:space="preserve">relativement </w:t>
      </w:r>
      <w:r>
        <w:t>jeune lors de la commission de l’infraction. Je précise toutefois qu’à l’âge de 24 ans, il se trouvait bien après l’entrée dans la vie adulte. Il comprenait manifestement qu’un tel comportement était illégal et il connaissait certainement les conséquences dévastatrices du trafic des stupéfiants dans la communauté.</w:t>
      </w:r>
    </w:p>
    <w:p w14:paraId="7FF0BB79" w14:textId="4A95D5F1" w:rsidR="00FA7D41" w:rsidRDefault="000842A5" w:rsidP="00FA7D41">
      <w:pPr>
        <w:pStyle w:val="Paragraphe"/>
        <w:numPr>
          <w:ilvl w:val="0"/>
          <w:numId w:val="1"/>
        </w:numPr>
        <w:tabs>
          <w:tab w:val="clear" w:pos="360"/>
          <w:tab w:val="num" w:pos="851"/>
        </w:tabs>
        <w:spacing w:line="240" w:lineRule="auto"/>
      </w:pPr>
      <w:r>
        <w:t>C</w:t>
      </w:r>
      <w:r w:rsidR="00FA7D41">
        <w:t>omme le mentionnent les auteurs Parent et Desrosiers, l’importance accordée à l’âge du délinquant décline progressivement à mesure que le contrevenant vieillit</w:t>
      </w:r>
      <w:r w:rsidR="00FA7D41">
        <w:rPr>
          <w:rStyle w:val="Appelnotedebasdep"/>
        </w:rPr>
        <w:footnoteReference w:id="85"/>
      </w:r>
      <w:r w:rsidR="00FA7D41">
        <w:t>.</w:t>
      </w:r>
    </w:p>
    <w:p w14:paraId="515504F2" w14:textId="77777777" w:rsidR="00FA7D41" w:rsidRDefault="00FA7D41" w:rsidP="00FA7D41">
      <w:pPr>
        <w:pStyle w:val="Paragraphe"/>
        <w:numPr>
          <w:ilvl w:val="0"/>
          <w:numId w:val="1"/>
        </w:numPr>
        <w:tabs>
          <w:tab w:val="clear" w:pos="360"/>
          <w:tab w:val="num" w:pos="851"/>
        </w:tabs>
        <w:spacing w:line="240" w:lineRule="auto"/>
      </w:pPr>
      <w:r>
        <w:t>Foncièrement, le chiffre lui-même importe peu. Certains juges sont d’opinion qu’un homme de 24 ans n’est pas considéré « jeune »</w:t>
      </w:r>
      <w:r>
        <w:rPr>
          <w:rStyle w:val="Appelnotedebasdep"/>
        </w:rPr>
        <w:footnoteReference w:id="86"/>
      </w:r>
      <w:r>
        <w:t>; d’autres juges sont d’avis contraire</w:t>
      </w:r>
      <w:r>
        <w:rPr>
          <w:rStyle w:val="Appelnotedebasdep"/>
        </w:rPr>
        <w:footnoteReference w:id="87"/>
      </w:r>
      <w:r>
        <w:t xml:space="preserve">. Dans son ouvrage </w:t>
      </w:r>
      <w:r>
        <w:rPr>
          <w:i/>
        </w:rPr>
        <w:t>Principes de la détermination de la peine</w:t>
      </w:r>
      <w:r>
        <w:t>, le juge Renaud suggère que doit être considéré comme « jeune » un délinquant âgé d’au plus 22 ans en temps normal</w:t>
      </w:r>
      <w:r>
        <w:rPr>
          <w:rStyle w:val="Appelnotedebasdep"/>
        </w:rPr>
        <w:footnoteReference w:id="88"/>
      </w:r>
      <w:r>
        <w:t xml:space="preserve">. Dans son plus récent livre </w:t>
      </w:r>
      <w:r>
        <w:rPr>
          <w:i/>
        </w:rPr>
        <w:t>The Sentencing Code of Canada: Principles and Objectives</w:t>
      </w:r>
      <w:r>
        <w:t>, le juge précise :</w:t>
      </w:r>
    </w:p>
    <w:p w14:paraId="45AB98A5" w14:textId="77777777" w:rsidR="00FA7D41" w:rsidRPr="00B65C44" w:rsidRDefault="00FA7D41" w:rsidP="00FA7D41">
      <w:pPr>
        <w:pStyle w:val="Paragraphe"/>
        <w:numPr>
          <w:ilvl w:val="0"/>
          <w:numId w:val="0"/>
        </w:numPr>
        <w:spacing w:line="240" w:lineRule="auto"/>
        <w:ind w:left="1418" w:right="1140"/>
        <w:rPr>
          <w:i/>
          <w:sz w:val="22"/>
          <w:szCs w:val="22"/>
          <w:lang w:val="en-CA"/>
        </w:rPr>
      </w:pPr>
      <w:r w:rsidRPr="00B65C44">
        <w:rPr>
          <w:i/>
          <w:sz w:val="22"/>
          <w:szCs w:val="22"/>
          <w:lang w:val="en-CA"/>
        </w:rPr>
        <w:t>At what age does an offender cease to be considered youthful?</w:t>
      </w:r>
    </w:p>
    <w:p w14:paraId="630BDEE3" w14:textId="77777777" w:rsidR="00FA7D41" w:rsidRPr="00B65C44" w:rsidRDefault="00FA7D41" w:rsidP="00FA7D41">
      <w:pPr>
        <w:pStyle w:val="Paragraphe"/>
        <w:numPr>
          <w:ilvl w:val="0"/>
          <w:numId w:val="0"/>
        </w:numPr>
        <w:spacing w:line="240" w:lineRule="auto"/>
        <w:ind w:left="1418" w:right="1140"/>
        <w:rPr>
          <w:sz w:val="22"/>
          <w:szCs w:val="22"/>
          <w:lang w:val="en-CA"/>
        </w:rPr>
      </w:pPr>
      <w:r w:rsidRPr="00B65C44">
        <w:rPr>
          <w:i/>
          <w:sz w:val="22"/>
          <w:szCs w:val="22"/>
          <w:lang w:val="en-CA"/>
        </w:rPr>
        <w:t>Having discussed sufficiently the black-letter law proposition that youthful first offenders are entitled to leniency, it will now be useful to consider the question: How old may a youthful offender be? This is an intriguing question in that it is difficult to discover any well-reasoned judgment in which the issue has been analyzed rigorously. […] No case is known to have assigned the designation “youthful” or “young” offender to an individual older than [25]</w:t>
      </w:r>
      <w:r w:rsidRPr="00B65C44">
        <w:rPr>
          <w:rStyle w:val="Appelnotedebasdep"/>
          <w:sz w:val="22"/>
          <w:szCs w:val="22"/>
        </w:rPr>
        <w:footnoteReference w:id="89"/>
      </w:r>
      <w:r w:rsidRPr="00B65C44">
        <w:rPr>
          <w:sz w:val="22"/>
          <w:szCs w:val="22"/>
          <w:lang w:val="en-CA"/>
        </w:rPr>
        <w:t>.</w:t>
      </w:r>
    </w:p>
    <w:p w14:paraId="59728859" w14:textId="127B5926" w:rsidR="00FA7D41" w:rsidRDefault="00FA7D41" w:rsidP="00FA7D41">
      <w:pPr>
        <w:pStyle w:val="Paragraphe"/>
        <w:numPr>
          <w:ilvl w:val="0"/>
          <w:numId w:val="1"/>
        </w:numPr>
        <w:tabs>
          <w:tab w:val="clear" w:pos="360"/>
          <w:tab w:val="num" w:pos="851"/>
        </w:tabs>
        <w:spacing w:line="240" w:lineRule="auto"/>
      </w:pPr>
      <w:r w:rsidRPr="005E2AA3">
        <w:t xml:space="preserve">De par sa nature, le concept </w:t>
      </w:r>
      <w:r>
        <w:t>importe une certaine subjectivité</w:t>
      </w:r>
      <w:r w:rsidRPr="005E2AA3">
        <w:t>.</w:t>
      </w:r>
      <w:r>
        <w:t xml:space="preserve"> Par exemple, dans une décision, la Cour d’appel de l’Alberta a déjà décrit un homme de 22 ans comme étant un « adulte mature »</w:t>
      </w:r>
      <w:r>
        <w:rPr>
          <w:rStyle w:val="Appelnotedebasdep"/>
        </w:rPr>
        <w:footnoteReference w:id="90"/>
      </w:r>
      <w:r>
        <w:t>. Pour sa part, la Cour d’appel de la Colombie-Britannique a déjà décrit un délinquant de 21 ans comme « </w:t>
      </w:r>
      <w:r w:rsidRPr="005E2AA3">
        <w:rPr>
          <w:i/>
        </w:rPr>
        <w:t>relativement</w:t>
      </w:r>
      <w:r>
        <w:t xml:space="preserve"> jeune »</w:t>
      </w:r>
      <w:r>
        <w:rPr>
          <w:rStyle w:val="Appelnotedebasdep"/>
        </w:rPr>
        <w:footnoteReference w:id="91"/>
      </w:r>
      <w:r>
        <w:t xml:space="preserve">. Quant à la Cour d’appel du Manitoba, elle a déjà statué que le délinquant sera généralement considéré « jeune » s’il est </w:t>
      </w:r>
      <w:r w:rsidRPr="00FC1801">
        <w:t xml:space="preserve">âgé </w:t>
      </w:r>
      <w:r w:rsidR="00E6688E" w:rsidRPr="00FC1801">
        <w:t>de 18 à 21 ans</w:t>
      </w:r>
      <w:r w:rsidRPr="00FC1801">
        <w:t>. Par</w:t>
      </w:r>
      <w:r>
        <w:t xml:space="preserve"> ailleurs, il sera considéré « </w:t>
      </w:r>
      <w:r w:rsidRPr="005E2AA3">
        <w:rPr>
          <w:i/>
        </w:rPr>
        <w:t xml:space="preserve">relativement </w:t>
      </w:r>
      <w:r>
        <w:t>jeune » s’il a 25 ans ou moins</w:t>
      </w:r>
      <w:r>
        <w:rPr>
          <w:rStyle w:val="Appelnotedebasdep"/>
        </w:rPr>
        <w:footnoteReference w:id="92"/>
      </w:r>
      <w:r>
        <w:t>.</w:t>
      </w:r>
    </w:p>
    <w:p w14:paraId="537432A5" w14:textId="477A8A6A" w:rsidR="006C032B" w:rsidRDefault="006C032B" w:rsidP="006C032B">
      <w:pPr>
        <w:pStyle w:val="Paragraphe"/>
        <w:numPr>
          <w:ilvl w:val="0"/>
          <w:numId w:val="1"/>
        </w:numPr>
        <w:tabs>
          <w:tab w:val="clear" w:pos="360"/>
          <w:tab w:val="num" w:pos="851"/>
        </w:tabs>
        <w:spacing w:line="240" w:lineRule="auto"/>
      </w:pPr>
      <w:r>
        <w:t xml:space="preserve">Ultimement, </w:t>
      </w:r>
      <w:r w:rsidR="00FA7D41">
        <w:t xml:space="preserve">il </w:t>
      </w:r>
      <w:r>
        <w:t>serait</w:t>
      </w:r>
      <w:r w:rsidR="00FA7D41">
        <w:t xml:space="preserve"> arbitraire d’adopter une approche mathématique en se fiant machinalement à un chiffre donné. L’approche doit plutôt être contextuelle et individualisée.</w:t>
      </w:r>
      <w:r>
        <w:t xml:space="preserve"> Une chose est claire : il y a une énorme différence entre un adolescent de 18 ans et un jeune homme de 24 ans. La société ne s’attend pas au même degré de naïveté et d’immaturité de la part d’un homme de 24 ans dans la situation du contrevenant (surtout si l’on considère sa feuille de route) que de la part d’un jeune sortant fraîchement de l’école secondaire.</w:t>
      </w:r>
    </w:p>
    <w:p w14:paraId="441ADE8F" w14:textId="6161CEB2" w:rsidR="006C032B" w:rsidRDefault="006C032B" w:rsidP="006C032B">
      <w:pPr>
        <w:pStyle w:val="Paragraphe"/>
        <w:numPr>
          <w:ilvl w:val="0"/>
          <w:numId w:val="1"/>
        </w:numPr>
        <w:tabs>
          <w:tab w:val="clear" w:pos="360"/>
          <w:tab w:val="num" w:pos="851"/>
        </w:tabs>
        <w:spacing w:line="240" w:lineRule="auto"/>
      </w:pPr>
      <w:r>
        <w:t xml:space="preserve">À tout événement, </w:t>
      </w:r>
      <w:r w:rsidR="000A4A75">
        <w:t xml:space="preserve">même si </w:t>
      </w:r>
      <w:r>
        <w:t>l’âge du délinquant peut être pertinent dans le processus de la détermination de la peine</w:t>
      </w:r>
      <w:r w:rsidR="000A4A75">
        <w:t>,</w:t>
      </w:r>
      <w:r>
        <w:t xml:space="preserve"> </w:t>
      </w:r>
      <w:r w:rsidR="000A4A75">
        <w:t>l</w:t>
      </w:r>
      <w:r>
        <w:t xml:space="preserve">e principe de modération prend toute son importance lorsqu’il s’agit de déterminer la peine d’un jeune délinquant </w:t>
      </w:r>
      <w:r w:rsidRPr="00F1466A">
        <w:rPr>
          <w:i/>
        </w:rPr>
        <w:t>primaire</w:t>
      </w:r>
      <w:r>
        <w:t xml:space="preserve">. Dans ces cas, ce sont les objectifs de réinsertion sociale et de dissuasion spécifique qui priment, contrairement à la dissuasion générale ou la dénonciation. Si un emprisonnement s’impose absolument, le Tribunal doit tout de même chercher à imposer la période la moins longue possible qui répondrait adéquatement aux principes prévus à l’art. 718 </w:t>
      </w:r>
      <w:r w:rsidRPr="00F1466A">
        <w:rPr>
          <w:i/>
        </w:rPr>
        <w:t>C.cr.</w:t>
      </w:r>
    </w:p>
    <w:p w14:paraId="55D8E3BF" w14:textId="14A570E5" w:rsidR="006C032B" w:rsidRDefault="000A4A75" w:rsidP="006C032B">
      <w:pPr>
        <w:pStyle w:val="Paragraphe"/>
        <w:numPr>
          <w:ilvl w:val="0"/>
          <w:numId w:val="1"/>
        </w:numPr>
        <w:tabs>
          <w:tab w:val="clear" w:pos="360"/>
          <w:tab w:val="num" w:pos="851"/>
        </w:tabs>
        <w:spacing w:line="240" w:lineRule="auto"/>
      </w:pPr>
      <w:r>
        <w:t>Toutefois</w:t>
      </w:r>
      <w:r w:rsidR="006C032B">
        <w:t>, certaines nuances s’imposent. D’abord, l’âge du contrevenant ne permet surtout pas d’occulter les objectifs de dénonciation et de dissuasion générale. Au même effet, l’âge ne suffira pas toujours afin de le soustraire d’une peine sévère.</w:t>
      </w:r>
      <w:r w:rsidR="006C032B" w:rsidRPr="00F1466A">
        <w:t xml:space="preserve"> </w:t>
      </w:r>
      <w:r w:rsidR="006C032B">
        <w:t xml:space="preserve">Rappelons, comme l’a précisé la Cour d’appel dans l’arrêt </w:t>
      </w:r>
      <w:r w:rsidR="006C032B">
        <w:rPr>
          <w:b/>
          <w:i/>
        </w:rPr>
        <w:t xml:space="preserve">R. </w:t>
      </w:r>
      <w:r w:rsidR="006C032B">
        <w:rPr>
          <w:b/>
        </w:rPr>
        <w:t xml:space="preserve">c. </w:t>
      </w:r>
      <w:r w:rsidR="006C032B">
        <w:rPr>
          <w:b/>
          <w:i/>
        </w:rPr>
        <w:t>Fournier </w:t>
      </w:r>
      <w:r w:rsidR="006C032B">
        <w:t>: « il va sans dire toutefois que la jeunesse ne saurait excuser tout comportement et les tribunaux doivent garder présent</w:t>
      </w:r>
      <w:r w:rsidR="00795660">
        <w:t>e</w:t>
      </w:r>
      <w:r w:rsidR="006C032B">
        <w:t xml:space="preserve"> à l’esprit la nécessité de dissuader d’autres jeunes de commettre les mêmes types de comportements que leurs pairs »</w:t>
      </w:r>
      <w:r w:rsidR="006C032B">
        <w:rPr>
          <w:rStyle w:val="Appelnotedebasdep"/>
        </w:rPr>
        <w:footnoteReference w:id="93"/>
      </w:r>
      <w:r w:rsidR="006C032B">
        <w:t>.</w:t>
      </w:r>
    </w:p>
    <w:p w14:paraId="7CA60162" w14:textId="2117AF45" w:rsidR="006C032B" w:rsidRDefault="006C032B" w:rsidP="006C032B">
      <w:pPr>
        <w:pStyle w:val="Paragraphe"/>
        <w:numPr>
          <w:ilvl w:val="0"/>
          <w:numId w:val="1"/>
        </w:numPr>
        <w:tabs>
          <w:tab w:val="clear" w:pos="360"/>
          <w:tab w:val="num" w:pos="851"/>
        </w:tabs>
        <w:spacing w:line="240" w:lineRule="auto"/>
      </w:pPr>
      <w:r>
        <w:t xml:space="preserve">De plus, ces principes ont été établis dans le cadre de dossiers impliquant des jeunes </w:t>
      </w:r>
      <w:r w:rsidRPr="000A4A75">
        <w:rPr>
          <w:i/>
          <w:iCs/>
        </w:rPr>
        <w:t>sans antécédents judiciaires</w:t>
      </w:r>
      <w:r>
        <w:t xml:space="preserve">. </w:t>
      </w:r>
      <w:r w:rsidRPr="00FC1801">
        <w:t xml:space="preserve">De toute évidence, monsieur </w:t>
      </w:r>
      <w:r w:rsidR="000A4A75" w:rsidRPr="00FC1801">
        <w:t>Simon</w:t>
      </w:r>
      <w:r w:rsidR="00BC07E3" w:rsidRPr="00FC1801">
        <w:t xml:space="preserve"> </w:t>
      </w:r>
      <w:r w:rsidRPr="00FC1801">
        <w:t>n’est</w:t>
      </w:r>
      <w:r>
        <w:t xml:space="preserve"> pas un délinquant primaire; il a déjà eu bon nombre de démêlés avec le système judiciaire. Il a également de nombreuses condamnations pour non-respect des ordonnances de la Cour</w:t>
      </w:r>
      <w:r w:rsidR="000A4A75">
        <w:t xml:space="preserve"> et il a commis les présentes infractions alors qu’il était sous conditions</w:t>
      </w:r>
      <w:r>
        <w:t xml:space="preserve">. Cette criminalité constante vient </w:t>
      </w:r>
      <w:r w:rsidR="000A4A75">
        <w:t xml:space="preserve">grandement </w:t>
      </w:r>
      <w:r>
        <w:t>contrebalancer l’effet de son jeune âge dans le processus de la détermination de la peine, sans toutefois lui faire perdre toute sa valeur</w:t>
      </w:r>
      <w:r>
        <w:rPr>
          <w:rStyle w:val="Appelnotedebasdep"/>
          <w:lang w:val="en-CA"/>
        </w:rPr>
        <w:footnoteReference w:id="94"/>
      </w:r>
      <w:r>
        <w:t xml:space="preserve">. Comme l’a résumé le Tribunal dans l’arrêt </w:t>
      </w:r>
      <w:r>
        <w:rPr>
          <w:b/>
          <w:i/>
        </w:rPr>
        <w:t xml:space="preserve">R. </w:t>
      </w:r>
      <w:r>
        <w:rPr>
          <w:b/>
        </w:rPr>
        <w:t xml:space="preserve">v. </w:t>
      </w:r>
      <w:r>
        <w:rPr>
          <w:b/>
          <w:i/>
        </w:rPr>
        <w:t>Scott </w:t>
      </w:r>
      <w:r>
        <w:t>:</w:t>
      </w:r>
    </w:p>
    <w:p w14:paraId="078FF521" w14:textId="77777777" w:rsidR="006C032B" w:rsidRPr="006A3B95" w:rsidRDefault="006C032B" w:rsidP="006C032B">
      <w:pPr>
        <w:pStyle w:val="Paragraphe"/>
        <w:numPr>
          <w:ilvl w:val="0"/>
          <w:numId w:val="0"/>
        </w:numPr>
        <w:spacing w:line="240" w:lineRule="auto"/>
        <w:ind w:left="1418" w:right="1140"/>
        <w:rPr>
          <w:sz w:val="22"/>
          <w:szCs w:val="22"/>
          <w:lang w:val="en-CA"/>
        </w:rPr>
      </w:pPr>
      <w:r w:rsidRPr="006A3B95">
        <w:rPr>
          <w:i/>
          <w:sz w:val="22"/>
          <w:szCs w:val="22"/>
          <w:lang w:val="en-CA"/>
        </w:rPr>
        <w:t xml:space="preserve">[The focus on rehabilitation and supervision for youthful offenders] becomes less important when a young adult has already had a considerable amount of experience in the criminal justice system, has been subject to various forms of probationary and correctional supervision, and has not only breached those conditions but has also reoffended: R. </w:t>
      </w:r>
      <w:r w:rsidRPr="006A3B95">
        <w:rPr>
          <w:sz w:val="22"/>
          <w:szCs w:val="22"/>
          <w:lang w:val="en-CA"/>
        </w:rPr>
        <w:t>v</w:t>
      </w:r>
      <w:r w:rsidRPr="006A3B95">
        <w:rPr>
          <w:i/>
          <w:sz w:val="22"/>
          <w:szCs w:val="22"/>
          <w:lang w:val="en-CA"/>
        </w:rPr>
        <w:t>. Quesnel (1984), 14 C.C.C. (3d) 254 at 255. The respondent has had ample contact with the criminal justice system, and ample time to learn from his past mistakes</w:t>
      </w:r>
      <w:r w:rsidRPr="00121B07">
        <w:rPr>
          <w:rStyle w:val="Appelnotedebasdep"/>
          <w:sz w:val="22"/>
          <w:szCs w:val="22"/>
          <w:lang w:val="en-CA"/>
        </w:rPr>
        <w:footnoteReference w:id="95"/>
      </w:r>
      <w:r>
        <w:rPr>
          <w:sz w:val="22"/>
          <w:szCs w:val="22"/>
          <w:lang w:val="en-CA"/>
        </w:rPr>
        <w:t>.</w:t>
      </w:r>
    </w:p>
    <w:p w14:paraId="38BBB573" w14:textId="56A23F47" w:rsidR="006C032B" w:rsidRDefault="000F1675" w:rsidP="006C032B">
      <w:pPr>
        <w:pStyle w:val="Paragraphe"/>
        <w:numPr>
          <w:ilvl w:val="0"/>
          <w:numId w:val="1"/>
        </w:numPr>
        <w:tabs>
          <w:tab w:val="clear" w:pos="360"/>
          <w:tab w:val="num" w:pos="851"/>
        </w:tabs>
        <w:spacing w:line="240" w:lineRule="auto"/>
      </w:pPr>
      <w:r>
        <w:t>Le</w:t>
      </w:r>
      <w:r w:rsidR="006C032B">
        <w:t xml:space="preserve"> principe de la modération repose </w:t>
      </w:r>
      <w:r>
        <w:t xml:space="preserve">en partie sur le fait que </w:t>
      </w:r>
      <w:r w:rsidR="006C032B">
        <w:t>les tribunaux considèrent que les jeunes contrevenants ont un plus grand potentiel de réinsertion sociale. Dans cette perspective, les tribunaux, dans le but d’assurer la réhabilitation des jeunes délinquants, se montrent cléments et évitent généralement de les placer dans un milieu carcéral où les détenus purgent de longues peines et sont souvent lourdement criminalisés</w:t>
      </w:r>
      <w:r w:rsidR="006C032B">
        <w:rPr>
          <w:rStyle w:val="Appelnotedebasdep"/>
        </w:rPr>
        <w:footnoteReference w:id="96"/>
      </w:r>
      <w:r w:rsidR="006C032B">
        <w:t>.</w:t>
      </w:r>
    </w:p>
    <w:p w14:paraId="142CDB0A" w14:textId="24ABA0D7" w:rsidR="006C032B" w:rsidRDefault="006C032B" w:rsidP="006C032B">
      <w:pPr>
        <w:pStyle w:val="Paragraphe"/>
        <w:numPr>
          <w:ilvl w:val="0"/>
          <w:numId w:val="1"/>
        </w:numPr>
        <w:tabs>
          <w:tab w:val="clear" w:pos="360"/>
          <w:tab w:val="num" w:pos="851"/>
        </w:tabs>
        <w:spacing w:line="240" w:lineRule="auto"/>
      </w:pPr>
      <w:r w:rsidRPr="00FC1801">
        <w:t xml:space="preserve">Or, tel qu’exposé ci-dessous, monsieur </w:t>
      </w:r>
      <w:r w:rsidR="000F1675" w:rsidRPr="00FC1801">
        <w:t>Simon</w:t>
      </w:r>
      <w:r w:rsidR="00BC07E3" w:rsidRPr="00FC1801">
        <w:t xml:space="preserve"> </w:t>
      </w:r>
      <w:r w:rsidRPr="00FC1801">
        <w:t>a déjà démontré</w:t>
      </w:r>
      <w:r>
        <w:t xml:space="preserve"> que son potentiel de réhabilitation est très faible.</w:t>
      </w:r>
      <w:r w:rsidR="000F1675">
        <w:t xml:space="preserve"> Son âge n’a donc aucun effet atténuant sur la peine.</w:t>
      </w:r>
    </w:p>
    <w:p w14:paraId="7F0FE419" w14:textId="6746297A" w:rsidR="00331615" w:rsidRDefault="00331615" w:rsidP="00E807E2">
      <w:pPr>
        <w:pStyle w:val="Titre2"/>
        <w:numPr>
          <w:ilvl w:val="0"/>
          <w:numId w:val="10"/>
        </w:numPr>
        <w:spacing w:before="120" w:after="120"/>
        <w:jc w:val="both"/>
        <w:rPr>
          <w:i w:val="0"/>
          <w:u w:val="single"/>
        </w:rPr>
      </w:pPr>
      <w:r>
        <w:rPr>
          <w:i w:val="0"/>
          <w:u w:val="single"/>
        </w:rPr>
        <w:t>Le principe de la parité</w:t>
      </w:r>
      <w:r w:rsidR="00E807E2">
        <w:rPr>
          <w:i w:val="0"/>
          <w:u w:val="single"/>
        </w:rPr>
        <w:t>,</w:t>
      </w:r>
      <w:r>
        <w:rPr>
          <w:i w:val="0"/>
          <w:u w:val="single"/>
        </w:rPr>
        <w:t xml:space="preserve"> les peines reçues par les </w:t>
      </w:r>
      <w:r w:rsidR="00617ED1" w:rsidRPr="00FC1801">
        <w:rPr>
          <w:i w:val="0"/>
          <w:u w:val="single"/>
        </w:rPr>
        <w:t>co</w:t>
      </w:r>
      <w:r w:rsidR="00617ED1" w:rsidRPr="00FC1801">
        <w:rPr>
          <w:i w:val="0"/>
          <w:u w:val="single"/>
        </w:rPr>
        <w:noBreakHyphen/>
        <w:t>accusés</w:t>
      </w:r>
      <w:r w:rsidR="00617ED1">
        <w:rPr>
          <w:i w:val="0"/>
          <w:u w:val="single"/>
        </w:rPr>
        <w:t xml:space="preserve"> </w:t>
      </w:r>
      <w:r w:rsidR="00E807E2">
        <w:rPr>
          <w:i w:val="0"/>
          <w:u w:val="single"/>
        </w:rPr>
        <w:t>et la peine infligée à Simon en 2022</w:t>
      </w:r>
    </w:p>
    <w:p w14:paraId="0BDED5A3" w14:textId="186A4F66" w:rsidR="00E807E2" w:rsidRDefault="00E807E2" w:rsidP="008C0475">
      <w:pPr>
        <w:pStyle w:val="Paragraphe"/>
        <w:numPr>
          <w:ilvl w:val="0"/>
          <w:numId w:val="1"/>
        </w:numPr>
        <w:tabs>
          <w:tab w:val="clear" w:pos="360"/>
          <w:tab w:val="num" w:pos="851"/>
        </w:tabs>
        <w:spacing w:line="240" w:lineRule="auto"/>
      </w:pPr>
      <w:r>
        <w:t>Selon les représentations des parties, le complice Hakim a plaidé coupable et il s’est vu infliger une peine de 2 ans</w:t>
      </w:r>
      <w:r>
        <w:rPr>
          <w:vertAlign w:val="superscript"/>
        </w:rPr>
        <w:t>-1jour</w:t>
      </w:r>
      <w:r>
        <w:t xml:space="preserve"> d’emprisonnement, le fruit d’une suggestion commune entre les parties.</w:t>
      </w:r>
    </w:p>
    <w:p w14:paraId="4174BCCB" w14:textId="467FE5EA" w:rsidR="00E807E2" w:rsidRDefault="00E807E2" w:rsidP="008C0475">
      <w:pPr>
        <w:pStyle w:val="Paragraphe"/>
        <w:numPr>
          <w:ilvl w:val="0"/>
          <w:numId w:val="1"/>
        </w:numPr>
        <w:tabs>
          <w:tab w:val="clear" w:pos="360"/>
          <w:tab w:val="num" w:pos="851"/>
        </w:tabs>
        <w:spacing w:line="240" w:lineRule="auto"/>
      </w:pPr>
      <w:r>
        <w:t>Cleopha a également plaidé coupable et un juge a entériné une suggestion commune de 42 mois d’emprisonnement.</w:t>
      </w:r>
      <w:r w:rsidR="00AC3345">
        <w:t xml:space="preserve"> Il est à noter qu’en plus de la saisie sur la rue Chambord, Cleopha a plaidé coupable à la possession en vue de trafic des 55.19 g de cocaïne saisis dans l’appartement sur l’avenue Papineau.</w:t>
      </w:r>
    </w:p>
    <w:p w14:paraId="105E8E70" w14:textId="1089FD1E" w:rsidR="002A737D" w:rsidRDefault="00E807E2" w:rsidP="00E807E2">
      <w:pPr>
        <w:pStyle w:val="Paragraphe"/>
        <w:numPr>
          <w:ilvl w:val="0"/>
          <w:numId w:val="1"/>
        </w:numPr>
        <w:tabs>
          <w:tab w:val="clear" w:pos="360"/>
          <w:tab w:val="num" w:pos="851"/>
        </w:tabs>
        <w:spacing w:line="240" w:lineRule="auto"/>
      </w:pPr>
      <w:r>
        <w:t>Ces peines ont un impact minime sur la détermination d’une peine juste en l’espèce. Notamment, d</w:t>
      </w:r>
      <w:r w:rsidR="00454D8A">
        <w:t xml:space="preserve">eux variables importantes entrent en jeu dans l’application de </w:t>
      </w:r>
      <w:r w:rsidR="00F74767">
        <w:t>l’harmonisation</w:t>
      </w:r>
      <w:r w:rsidR="00454D8A">
        <w:t xml:space="preserve"> des peines.</w:t>
      </w:r>
    </w:p>
    <w:p w14:paraId="1127BD28" w14:textId="41D30AB4" w:rsidR="00E807E2" w:rsidRDefault="00E807E2" w:rsidP="00E807E2">
      <w:pPr>
        <w:pStyle w:val="Paragraphe"/>
        <w:numPr>
          <w:ilvl w:val="0"/>
          <w:numId w:val="1"/>
        </w:numPr>
        <w:tabs>
          <w:tab w:val="clear" w:pos="360"/>
          <w:tab w:val="num" w:pos="851"/>
        </w:tabs>
        <w:spacing w:line="240" w:lineRule="auto"/>
      </w:pPr>
      <w:r>
        <w:t xml:space="preserve">D’abord, les deux complices ont plaidé coupable. Tel qu’expliqué ci-dessus, en soi, ce facteur justifie qu’ils aient bénéficié </w:t>
      </w:r>
      <w:r w:rsidRPr="00151213">
        <w:rPr>
          <w:szCs w:val="24"/>
        </w:rPr>
        <w:t>d’une réduction considérable de la peine. Ce facteur est absent en l’espèce. Ainsi, on peut d’emblée s’attendre à une disparité non négligeable.</w:t>
      </w:r>
      <w:r w:rsidR="005270C4" w:rsidRPr="00151213">
        <w:rPr>
          <w:szCs w:val="24"/>
        </w:rPr>
        <w:t xml:space="preserve"> Je ne me sens donc aucunement lié par les </w:t>
      </w:r>
      <w:r w:rsidR="005270C4" w:rsidRPr="00151213">
        <w:rPr>
          <w:i/>
          <w:iCs/>
          <w:szCs w:val="24"/>
        </w:rPr>
        <w:t>quantums</w:t>
      </w:r>
      <w:r w:rsidR="005270C4" w:rsidRPr="00151213">
        <w:rPr>
          <w:szCs w:val="24"/>
        </w:rPr>
        <w:t xml:space="preserve"> imposés à</w:t>
      </w:r>
      <w:r w:rsidR="005270C4">
        <w:t xml:space="preserve"> Hakim et à Cleopha.</w:t>
      </w:r>
    </w:p>
    <w:p w14:paraId="7F285481" w14:textId="46DF80B4" w:rsidR="00F44585" w:rsidRDefault="005270C4" w:rsidP="0033664F">
      <w:pPr>
        <w:pStyle w:val="Paragraphe"/>
        <w:numPr>
          <w:ilvl w:val="0"/>
          <w:numId w:val="1"/>
        </w:numPr>
        <w:tabs>
          <w:tab w:val="clear" w:pos="360"/>
          <w:tab w:val="num" w:pos="851"/>
        </w:tabs>
        <w:spacing w:line="240" w:lineRule="auto"/>
      </w:pPr>
      <w:r>
        <w:t>Qui plus est, au-delà du simple fait que ces peines aient découlé de plaidoyers de culpabilité, ajoutons qu’aucun juge n’a procédé à leur détermination.</w:t>
      </w:r>
      <w:r w:rsidR="00F74767">
        <w:t xml:space="preserve"> En entérinant les suggestions communes, le juge ne confirme même pas qu’elles sont raisonnables ou appropriées.</w:t>
      </w:r>
      <w:r w:rsidR="00F44585">
        <w:t xml:space="preserve"> Au contraire, le critère pour refuser une suggestion commune est notoirement exigeant</w:t>
      </w:r>
      <w:r w:rsidR="00F44585">
        <w:rPr>
          <w:rStyle w:val="Appelnotedebasdep"/>
        </w:rPr>
        <w:footnoteReference w:id="97"/>
      </w:r>
      <w:r w:rsidR="00F44585">
        <w:t>.</w:t>
      </w:r>
    </w:p>
    <w:p w14:paraId="1083B7AE" w14:textId="09B21134" w:rsidR="00F74767" w:rsidRDefault="00F74767" w:rsidP="00E807E2">
      <w:pPr>
        <w:pStyle w:val="Paragraphe"/>
        <w:numPr>
          <w:ilvl w:val="0"/>
          <w:numId w:val="1"/>
        </w:numPr>
        <w:tabs>
          <w:tab w:val="clear" w:pos="360"/>
          <w:tab w:val="num" w:pos="851"/>
        </w:tabs>
        <w:spacing w:line="240" w:lineRule="auto"/>
      </w:pPr>
      <w:r>
        <w:t xml:space="preserve">Dans </w:t>
      </w:r>
      <w:r w:rsidRPr="00FC1801">
        <w:t xml:space="preserve">l’arrêt </w:t>
      </w:r>
      <w:r w:rsidRPr="00FC1801">
        <w:rPr>
          <w:b/>
          <w:bCs/>
          <w:i/>
          <w:iCs/>
        </w:rPr>
        <w:t xml:space="preserve">R. </w:t>
      </w:r>
      <w:r w:rsidRPr="00FC1801">
        <w:rPr>
          <w:b/>
          <w:bCs/>
        </w:rPr>
        <w:t xml:space="preserve">c. </w:t>
      </w:r>
      <w:r w:rsidRPr="00FC1801">
        <w:rPr>
          <w:b/>
          <w:bCs/>
          <w:i/>
          <w:iCs/>
        </w:rPr>
        <w:t>Poirier</w:t>
      </w:r>
      <w:r w:rsidRPr="00FC1801">
        <w:t>, la Cour d’appel a reconnu qu’on peut distinguer le dossier d’un co-accusé</w:t>
      </w:r>
      <w:r w:rsidR="00617ED1" w:rsidRPr="00FC1801">
        <w:t xml:space="preserve"> </w:t>
      </w:r>
      <w:r w:rsidRPr="00FC1801">
        <w:t>lorsque</w:t>
      </w:r>
      <w:r>
        <w:t xml:space="preserve"> sa sentence découle d’une suggestion commune des parties. Ce faisant, elle a rappelé que lorsqu’une telle suggestion est le fruit d’une négociation rigoureuse entre les parties, notamment dans le cadre d’une entente sur plaidoyer de culpabilité, elle est investie d’une force persuasive certaine et elle ne peut être écartée que dans des circonstances limitées</w:t>
      </w:r>
      <w:r>
        <w:rPr>
          <w:rStyle w:val="Appelnotedebasdep"/>
        </w:rPr>
        <w:footnoteReference w:id="98"/>
      </w:r>
      <w:r>
        <w:t xml:space="preserve">. La Cour a repris ce principe dans le récent arrêt </w:t>
      </w:r>
      <w:r>
        <w:rPr>
          <w:b/>
          <w:bCs/>
          <w:i/>
          <w:iCs/>
        </w:rPr>
        <w:t xml:space="preserve">R. </w:t>
      </w:r>
      <w:r>
        <w:rPr>
          <w:b/>
          <w:bCs/>
        </w:rPr>
        <w:t xml:space="preserve">c. </w:t>
      </w:r>
      <w:r>
        <w:rPr>
          <w:b/>
          <w:bCs/>
          <w:i/>
          <w:iCs/>
        </w:rPr>
        <w:t>Giroux </w:t>
      </w:r>
      <w:r>
        <w:t>:</w:t>
      </w:r>
    </w:p>
    <w:p w14:paraId="2681F871" w14:textId="0607469E" w:rsidR="00F74767" w:rsidRPr="00F44585" w:rsidRDefault="00F74767" w:rsidP="00F74767">
      <w:pPr>
        <w:pStyle w:val="Paragraphe"/>
        <w:numPr>
          <w:ilvl w:val="0"/>
          <w:numId w:val="0"/>
        </w:numPr>
        <w:spacing w:line="240" w:lineRule="auto"/>
        <w:ind w:left="1418" w:right="1140"/>
        <w:rPr>
          <w:sz w:val="22"/>
          <w:szCs w:val="22"/>
        </w:rPr>
      </w:pPr>
      <w:r w:rsidRPr="00F44585">
        <w:rPr>
          <w:sz w:val="22"/>
          <w:szCs w:val="22"/>
        </w:rPr>
        <w:t>Son argument se limite à lui reprocher de s’être écarté des principes fondamentaux de la parité et de l’harmonisation des peines.</w:t>
      </w:r>
    </w:p>
    <w:p w14:paraId="602CD82A" w14:textId="3DE400AB" w:rsidR="00F74767" w:rsidRPr="00F44585" w:rsidRDefault="00F74767" w:rsidP="00F74767">
      <w:pPr>
        <w:pStyle w:val="Paragraphe"/>
        <w:numPr>
          <w:ilvl w:val="0"/>
          <w:numId w:val="0"/>
        </w:numPr>
        <w:spacing w:line="240" w:lineRule="auto"/>
        <w:ind w:left="1418" w:right="1140"/>
        <w:rPr>
          <w:sz w:val="22"/>
          <w:szCs w:val="22"/>
        </w:rPr>
      </w:pPr>
      <w:r w:rsidRPr="00F44585">
        <w:rPr>
          <w:sz w:val="22"/>
          <w:szCs w:val="22"/>
        </w:rPr>
        <w:t xml:space="preserve">La suggestion commune des peines à être infligées aux autres accusés résulte d’une négociation entre le ministère public et la défense et est astreinte au critère de l’intérêt public. Dans de tels cas, ni le juge de première instance qui l’entérine ni la Cour d’appel qui la révise </w:t>
      </w:r>
      <w:r w:rsidR="00F44585" w:rsidRPr="00F44585">
        <w:rPr>
          <w:sz w:val="22"/>
          <w:szCs w:val="22"/>
        </w:rPr>
        <w:t>ne doivent se pencher sur le critère de la peine « manifestement non indiquée ». Une entente négociée vigoureusement peut mener à une peine « manifestement non indiquée », tout en servant le bien commun. La suggestion commune qui est susceptible d’en résulter aura alors une force persuasive certaine et ne pourra être écartée que dans des circonstances limitées.</w:t>
      </w:r>
    </w:p>
    <w:p w14:paraId="6EFA7E3A" w14:textId="149754F9" w:rsidR="00F44585" w:rsidRPr="00F44585" w:rsidRDefault="00F44585" w:rsidP="00F74767">
      <w:pPr>
        <w:pStyle w:val="Paragraphe"/>
        <w:numPr>
          <w:ilvl w:val="0"/>
          <w:numId w:val="0"/>
        </w:numPr>
        <w:spacing w:line="240" w:lineRule="auto"/>
        <w:ind w:left="1418" w:right="1140"/>
        <w:rPr>
          <w:sz w:val="22"/>
          <w:szCs w:val="22"/>
        </w:rPr>
      </w:pPr>
      <w:r w:rsidRPr="00F44585">
        <w:rPr>
          <w:sz w:val="22"/>
          <w:szCs w:val="22"/>
        </w:rPr>
        <w:t>En l’espèce, l’appelant n’a pas participé aux négociations entre le ministère public et les coaccusés et il ne peut aujourd’hui plaider qu’il a le droit d’en tirer tous les bénéfices</w:t>
      </w:r>
      <w:r w:rsidRPr="00F44585">
        <w:rPr>
          <w:rStyle w:val="Appelnotedebasdep"/>
          <w:sz w:val="22"/>
          <w:szCs w:val="22"/>
        </w:rPr>
        <w:footnoteReference w:id="99"/>
      </w:r>
      <w:r w:rsidRPr="00F44585">
        <w:rPr>
          <w:sz w:val="22"/>
          <w:szCs w:val="22"/>
        </w:rPr>
        <w:t>.</w:t>
      </w:r>
    </w:p>
    <w:p w14:paraId="6A61F492" w14:textId="4C6594C9" w:rsidR="008E4F00" w:rsidRDefault="000A221A" w:rsidP="00E807E2">
      <w:pPr>
        <w:pStyle w:val="Paragraphe"/>
        <w:numPr>
          <w:ilvl w:val="0"/>
          <w:numId w:val="1"/>
        </w:numPr>
        <w:tabs>
          <w:tab w:val="clear" w:pos="360"/>
          <w:tab w:val="num" w:pos="851"/>
        </w:tabs>
        <w:spacing w:line="240" w:lineRule="auto"/>
      </w:pPr>
      <w:r>
        <w:t>Les autres tribunaux d’appel ont avalisé le même principe.</w:t>
      </w:r>
      <w:r w:rsidR="008E4F00">
        <w:t xml:space="preserve"> Dans les arrêts </w:t>
      </w:r>
      <w:r w:rsidR="008E4F00">
        <w:rPr>
          <w:b/>
          <w:bCs/>
          <w:i/>
          <w:iCs/>
        </w:rPr>
        <w:t xml:space="preserve">R. </w:t>
      </w:r>
      <w:r w:rsidR="008E4F00">
        <w:rPr>
          <w:b/>
          <w:bCs/>
        </w:rPr>
        <w:t xml:space="preserve">v. </w:t>
      </w:r>
      <w:r w:rsidR="008E4F00">
        <w:rPr>
          <w:b/>
          <w:bCs/>
          <w:i/>
          <w:iCs/>
        </w:rPr>
        <w:t>Mohamed</w:t>
      </w:r>
      <w:r w:rsidR="008E4F00">
        <w:t xml:space="preserve"> et </w:t>
      </w:r>
      <w:r w:rsidR="00EC1445">
        <w:rPr>
          <w:b/>
          <w:bCs/>
          <w:i/>
          <w:iCs/>
        </w:rPr>
        <w:t xml:space="preserve">R. </w:t>
      </w:r>
      <w:r w:rsidR="00EC1445">
        <w:rPr>
          <w:b/>
          <w:bCs/>
        </w:rPr>
        <w:t xml:space="preserve">v. </w:t>
      </w:r>
      <w:r w:rsidR="00EC1445">
        <w:rPr>
          <w:b/>
          <w:bCs/>
          <w:i/>
          <w:iCs/>
        </w:rPr>
        <w:t>Belakziz</w:t>
      </w:r>
      <w:r w:rsidR="008E4F00">
        <w:t xml:space="preserve">, la Cour d’appel de l’Alberta a énoncé que les suggestions communes ne sont pas </w:t>
      </w:r>
      <w:r w:rsidR="00EC1445">
        <w:t>des « </w:t>
      </w:r>
      <w:r w:rsidR="00EC1445">
        <w:rPr>
          <w:i/>
          <w:iCs/>
        </w:rPr>
        <w:t>meaningful comparators</w:t>
      </w:r>
      <w:r w:rsidR="00EC1445">
        <w:t> », compte tenu du caractère confidentiel de l’évaluation des facteurs pertinents</w:t>
      </w:r>
      <w:r w:rsidR="00EC1445">
        <w:rPr>
          <w:rStyle w:val="Appelnotedebasdep"/>
        </w:rPr>
        <w:footnoteReference w:id="100"/>
      </w:r>
      <w:r w:rsidR="00EC1445">
        <w:t>.</w:t>
      </w:r>
    </w:p>
    <w:p w14:paraId="790B96BB" w14:textId="53832CFE" w:rsidR="008E4F00" w:rsidRPr="008E4F00" w:rsidRDefault="000A221A" w:rsidP="00E807E2">
      <w:pPr>
        <w:pStyle w:val="Paragraphe"/>
        <w:numPr>
          <w:ilvl w:val="0"/>
          <w:numId w:val="1"/>
        </w:numPr>
        <w:tabs>
          <w:tab w:val="clear" w:pos="360"/>
          <w:tab w:val="num" w:pos="851"/>
        </w:tabs>
        <w:spacing w:line="240" w:lineRule="auto"/>
      </w:pPr>
      <w:r w:rsidRPr="000A221A">
        <w:rPr>
          <w:lang w:val="en-CA"/>
        </w:rPr>
        <w:t xml:space="preserve">Dans l’arrêt </w:t>
      </w:r>
      <w:r w:rsidRPr="000A221A">
        <w:rPr>
          <w:b/>
          <w:bCs/>
          <w:i/>
          <w:iCs/>
          <w:lang w:val="en-CA"/>
        </w:rPr>
        <w:t xml:space="preserve">R. </w:t>
      </w:r>
      <w:r w:rsidRPr="000A221A">
        <w:rPr>
          <w:b/>
          <w:bCs/>
          <w:lang w:val="en-CA"/>
        </w:rPr>
        <w:t xml:space="preserve">v. </w:t>
      </w:r>
      <w:r w:rsidRPr="000A221A">
        <w:rPr>
          <w:b/>
          <w:bCs/>
          <w:i/>
          <w:iCs/>
          <w:lang w:val="en-CA"/>
        </w:rPr>
        <w:t>MacLeod</w:t>
      </w:r>
      <w:r w:rsidRPr="000A221A">
        <w:rPr>
          <w:lang w:val="en-CA"/>
        </w:rPr>
        <w:t xml:space="preserve">, la Cour d’appel de la Saskatchewan a exprimé que « </w:t>
      </w:r>
      <w:r w:rsidRPr="000A221A">
        <w:rPr>
          <w:i/>
          <w:iCs/>
          <w:lang w:val="en-CA"/>
        </w:rPr>
        <w:t xml:space="preserve">since a joint submission is not directly evaluated for its fitness under </w:t>
      </w:r>
      <w:r>
        <w:rPr>
          <w:i/>
          <w:iCs/>
          <w:lang w:val="en-CA"/>
        </w:rPr>
        <w:t>the fundamental principle of sentencing, the sentence imposed on a co-accused under a joint submission loses much of its value as a comparator when it comes to the sentencing of any co-accused who has not entered into a joint submission</w:t>
      </w:r>
      <w:r w:rsidRPr="000A221A">
        <w:rPr>
          <w:lang w:val="en-CA"/>
        </w:rPr>
        <w:t> »</w:t>
      </w:r>
      <w:r>
        <w:rPr>
          <w:rStyle w:val="Appelnotedebasdep"/>
          <w:lang w:val="en-CA"/>
        </w:rPr>
        <w:footnoteReference w:id="101"/>
      </w:r>
      <w:r w:rsidRPr="000A221A">
        <w:rPr>
          <w:lang w:val="en-CA"/>
        </w:rPr>
        <w:t>.</w:t>
      </w:r>
      <w:r w:rsidR="008E4F00">
        <w:rPr>
          <w:lang w:val="en-CA"/>
        </w:rPr>
        <w:t xml:space="preserve"> </w:t>
      </w:r>
      <w:r w:rsidR="008E4F00" w:rsidRPr="008E4F00">
        <w:t xml:space="preserve">Dans l’arrêt </w:t>
      </w:r>
      <w:r w:rsidR="008E4F00" w:rsidRPr="008E4F00">
        <w:rPr>
          <w:b/>
          <w:bCs/>
          <w:i/>
          <w:iCs/>
        </w:rPr>
        <w:t xml:space="preserve">R. </w:t>
      </w:r>
      <w:r w:rsidR="008E4F00" w:rsidRPr="008E4F00">
        <w:rPr>
          <w:b/>
          <w:bCs/>
        </w:rPr>
        <w:t xml:space="preserve">v. </w:t>
      </w:r>
      <w:r w:rsidR="008E4F00" w:rsidRPr="008E4F00">
        <w:rPr>
          <w:b/>
          <w:bCs/>
          <w:i/>
          <w:iCs/>
        </w:rPr>
        <w:t>McKay</w:t>
      </w:r>
      <w:r w:rsidR="008E4F00" w:rsidRPr="008E4F00">
        <w:t>, cette même Cour a c</w:t>
      </w:r>
      <w:r w:rsidR="008E4F00">
        <w:t>onclu qu’il s’agissait d’une erreur de droit de se fier à la peine d’un complice résultant d’une suggestion commune, à des fins d’harmonisation</w:t>
      </w:r>
      <w:r w:rsidR="008E4F00">
        <w:rPr>
          <w:rStyle w:val="Appelnotedebasdep"/>
        </w:rPr>
        <w:footnoteReference w:id="102"/>
      </w:r>
      <w:r w:rsidR="008E4F00">
        <w:t>.</w:t>
      </w:r>
    </w:p>
    <w:p w14:paraId="4FCFFAF1" w14:textId="0F4AB03D" w:rsidR="00F74767" w:rsidRDefault="008E4F00" w:rsidP="00E807E2">
      <w:pPr>
        <w:pStyle w:val="Paragraphe"/>
        <w:numPr>
          <w:ilvl w:val="0"/>
          <w:numId w:val="1"/>
        </w:numPr>
        <w:tabs>
          <w:tab w:val="clear" w:pos="360"/>
          <w:tab w:val="num" w:pos="851"/>
        </w:tabs>
        <w:spacing w:line="240" w:lineRule="auto"/>
        <w:rPr>
          <w:lang w:val="en-CA"/>
        </w:rPr>
      </w:pPr>
      <w:r w:rsidRPr="008E4F00">
        <w:t xml:space="preserve">Dans </w:t>
      </w:r>
      <w:r w:rsidRPr="00FC1801">
        <w:t xml:space="preserve">l’arrêt </w:t>
      </w:r>
      <w:r w:rsidRPr="00FC1801">
        <w:rPr>
          <w:b/>
          <w:bCs/>
          <w:i/>
          <w:iCs/>
        </w:rPr>
        <w:t xml:space="preserve">R. </w:t>
      </w:r>
      <w:r w:rsidRPr="00FC1801">
        <w:rPr>
          <w:b/>
          <w:bCs/>
        </w:rPr>
        <w:t xml:space="preserve">v. </w:t>
      </w:r>
      <w:r w:rsidRPr="00FC1801">
        <w:rPr>
          <w:b/>
          <w:bCs/>
          <w:i/>
          <w:iCs/>
        </w:rPr>
        <w:t>Buffone</w:t>
      </w:r>
      <w:r w:rsidRPr="00FC1801">
        <w:t xml:space="preserve">, la Cour d’appel de l’Ontario a </w:t>
      </w:r>
      <w:r w:rsidR="00E57633" w:rsidRPr="00FC1801">
        <w:t xml:space="preserve">aussi </w:t>
      </w:r>
      <w:r w:rsidRPr="00FC1801">
        <w:t>statué que le</w:t>
      </w:r>
      <w:r w:rsidR="000A221A" w:rsidRPr="00FC1801">
        <w:t xml:space="preserve"> </w:t>
      </w:r>
      <w:r w:rsidRPr="00FC1801">
        <w:t>juge de première instance avait carrément erré en droit sur la question de l’harmonisation, en se fiant à tort aux peines des co-accusés</w:t>
      </w:r>
      <w:r w:rsidR="00617ED1" w:rsidRPr="00FC1801">
        <w:t xml:space="preserve"> </w:t>
      </w:r>
      <w:r w:rsidRPr="00FC1801">
        <w:t>alors</w:t>
      </w:r>
      <w:r>
        <w:t xml:space="preserve"> que celles-ci découlaient de suggestions communes</w:t>
      </w:r>
      <w:r>
        <w:rPr>
          <w:rStyle w:val="Appelnotedebasdep"/>
        </w:rPr>
        <w:footnoteReference w:id="103"/>
      </w:r>
      <w:r>
        <w:t>. Elle est intervenue en conséquence et elle a substitué des peines plus sévères.</w:t>
      </w:r>
      <w:r w:rsidR="00EC1445">
        <w:t xml:space="preserve"> </w:t>
      </w:r>
      <w:r w:rsidR="00EC1445" w:rsidRPr="00EC1445">
        <w:rPr>
          <w:lang w:val="en-CA"/>
        </w:rPr>
        <w:t xml:space="preserve">Dans l’arrêt </w:t>
      </w:r>
      <w:r w:rsidR="00EC1445" w:rsidRPr="00EC1445">
        <w:rPr>
          <w:b/>
          <w:bCs/>
          <w:i/>
          <w:iCs/>
          <w:lang w:val="en-CA"/>
        </w:rPr>
        <w:t xml:space="preserve">R. </w:t>
      </w:r>
      <w:r w:rsidR="00EC1445" w:rsidRPr="00EC1445">
        <w:rPr>
          <w:b/>
          <w:bCs/>
          <w:lang w:val="en-CA"/>
        </w:rPr>
        <w:t xml:space="preserve">v. </w:t>
      </w:r>
      <w:r w:rsidR="00EC1445" w:rsidRPr="00EC1445">
        <w:rPr>
          <w:b/>
          <w:bCs/>
          <w:i/>
          <w:iCs/>
          <w:lang w:val="en-CA"/>
        </w:rPr>
        <w:t>Benlolo</w:t>
      </w:r>
      <w:r w:rsidR="00EC1445" w:rsidRPr="00EC1445">
        <w:rPr>
          <w:lang w:val="en-CA"/>
        </w:rPr>
        <w:t>, la Cour a exprimé que « </w:t>
      </w:r>
      <w:r w:rsidR="00EC1445" w:rsidRPr="00EC1445">
        <w:rPr>
          <w:i/>
          <w:iCs/>
          <w:lang w:val="en-CA"/>
        </w:rPr>
        <w:t>the result in cases where th</w:t>
      </w:r>
      <w:r w:rsidR="00EC1445">
        <w:rPr>
          <w:i/>
          <w:iCs/>
          <w:lang w:val="en-CA"/>
        </w:rPr>
        <w:t>ere is a guilty plea and a joint submission cannot be taken as precedential</w:t>
      </w:r>
      <w:r w:rsidR="00EC1445" w:rsidRPr="00EC1445">
        <w:rPr>
          <w:lang w:val="en-CA"/>
        </w:rPr>
        <w:t> »</w:t>
      </w:r>
      <w:r w:rsidR="00EC1445">
        <w:rPr>
          <w:rStyle w:val="Appelnotedebasdep"/>
          <w:lang w:val="en-CA"/>
        </w:rPr>
        <w:footnoteReference w:id="104"/>
      </w:r>
      <w:r w:rsidR="00EC1445">
        <w:rPr>
          <w:lang w:val="en-CA"/>
        </w:rPr>
        <w:t>.</w:t>
      </w:r>
    </w:p>
    <w:p w14:paraId="48E4EF38" w14:textId="2C69CDCF" w:rsidR="0099676A" w:rsidRDefault="0099676A" w:rsidP="00E807E2">
      <w:pPr>
        <w:pStyle w:val="Paragraphe"/>
        <w:numPr>
          <w:ilvl w:val="0"/>
          <w:numId w:val="1"/>
        </w:numPr>
        <w:tabs>
          <w:tab w:val="clear" w:pos="360"/>
          <w:tab w:val="num" w:pos="851"/>
        </w:tabs>
        <w:spacing w:line="240" w:lineRule="auto"/>
        <w:rPr>
          <w:lang w:val="en-CA"/>
        </w:rPr>
      </w:pPr>
      <w:r w:rsidRPr="0099676A">
        <w:rPr>
          <w:lang w:val="en-CA"/>
        </w:rPr>
        <w:t xml:space="preserve">Au même effet, dans l’arrêt </w:t>
      </w:r>
      <w:r w:rsidRPr="0099676A">
        <w:rPr>
          <w:b/>
          <w:bCs/>
          <w:i/>
          <w:iCs/>
          <w:lang w:val="en-CA"/>
        </w:rPr>
        <w:t xml:space="preserve">R. </w:t>
      </w:r>
      <w:r w:rsidRPr="0099676A">
        <w:rPr>
          <w:b/>
          <w:bCs/>
          <w:lang w:val="en-CA"/>
        </w:rPr>
        <w:t xml:space="preserve">v. </w:t>
      </w:r>
      <w:r w:rsidRPr="0099676A">
        <w:rPr>
          <w:b/>
          <w:bCs/>
          <w:i/>
          <w:iCs/>
          <w:lang w:val="en-CA"/>
        </w:rPr>
        <w:t>Johnston</w:t>
      </w:r>
      <w:r w:rsidRPr="0099676A">
        <w:rPr>
          <w:lang w:val="en-CA"/>
        </w:rPr>
        <w:t>, la Cour d’appel de Terre-Neuve a souligné que « </w:t>
      </w:r>
      <w:r w:rsidRPr="0099676A">
        <w:rPr>
          <w:i/>
          <w:iCs/>
          <w:lang w:val="en-CA"/>
        </w:rPr>
        <w:t>sentences resulting from an accepted joint submission are considered to have little</w:t>
      </w:r>
      <w:r>
        <w:rPr>
          <w:i/>
          <w:iCs/>
          <w:lang w:val="en-CA"/>
        </w:rPr>
        <w:t xml:space="preserve"> or no precedential value</w:t>
      </w:r>
      <w:r w:rsidRPr="0099676A">
        <w:rPr>
          <w:lang w:val="en-CA"/>
        </w:rPr>
        <w:t> »</w:t>
      </w:r>
      <w:r>
        <w:rPr>
          <w:rStyle w:val="Appelnotedebasdep"/>
          <w:lang w:val="en-CA"/>
        </w:rPr>
        <w:footnoteReference w:id="105"/>
      </w:r>
      <w:r w:rsidRPr="0099676A">
        <w:rPr>
          <w:lang w:val="en-CA"/>
        </w:rPr>
        <w:t>.</w:t>
      </w:r>
    </w:p>
    <w:p w14:paraId="036E7416" w14:textId="36F4275C" w:rsidR="00AD58F3" w:rsidRDefault="00AD58F3" w:rsidP="00AD58F3">
      <w:pPr>
        <w:pStyle w:val="Paragraphe"/>
        <w:numPr>
          <w:ilvl w:val="0"/>
          <w:numId w:val="1"/>
        </w:numPr>
        <w:tabs>
          <w:tab w:val="clear" w:pos="360"/>
          <w:tab w:val="num" w:pos="851"/>
        </w:tabs>
        <w:spacing w:line="240" w:lineRule="auto"/>
      </w:pPr>
      <w:r w:rsidRPr="00AD58F3">
        <w:t>En l’espèce, le Tribunal co</w:t>
      </w:r>
      <w:r>
        <w:t>nnaît les antécédents judiciaires de Hakim et Cleopha</w:t>
      </w:r>
      <w:r>
        <w:rPr>
          <w:rStyle w:val="Appelnotedebasdep"/>
        </w:rPr>
        <w:footnoteReference w:id="106"/>
      </w:r>
      <w:r>
        <w:t xml:space="preserve">. Par contre, il ne connaît rien de leur situation personnelle, leur potentiel de réhabilitation ou leur </w:t>
      </w:r>
      <w:r w:rsidRPr="00FC1801">
        <w:t>reconnaissance de responsabilité, le cas échéant. Le Tribunal ne connaît même pas quels faits</w:t>
      </w:r>
      <w:r w:rsidR="002008A9" w:rsidRPr="00FC1801">
        <w:t xml:space="preserve"> spécifiques</w:t>
      </w:r>
      <w:r w:rsidR="007638CF" w:rsidRPr="00FC1801">
        <w:t xml:space="preserve"> </w:t>
      </w:r>
      <w:r w:rsidRPr="00FC1801">
        <w:t>ils ont reconnu</w:t>
      </w:r>
      <w:r>
        <w:t xml:space="preserve"> dans le cadre de leurs règlements respectifs. Enfin, fondamentalement, le Tribunal ne connaît pas quels compromis et quels avantages a tirés chaque partie de leur négociation, puisque ces éléments sont privilégiés.</w:t>
      </w:r>
      <w:r w:rsidR="002008A9">
        <w:t xml:space="preserve"> Dans le cadre de telles ententes, il est commun que les parties </w:t>
      </w:r>
      <w:r w:rsidR="002008A9" w:rsidRPr="00FC1801">
        <w:t xml:space="preserve">prennent </w:t>
      </w:r>
      <w:r w:rsidR="00732052" w:rsidRPr="00FC1801">
        <w:t xml:space="preserve">en </w:t>
      </w:r>
      <w:r w:rsidR="002008A9" w:rsidRPr="00FC1801">
        <w:t>compte</w:t>
      </w:r>
      <w:r w:rsidR="002008A9">
        <w:t xml:space="preserve"> de facteurs qui sont extrinsèques aux accusations elles</w:t>
      </w:r>
      <w:r w:rsidR="00732052">
        <w:noBreakHyphen/>
      </w:r>
      <w:r w:rsidR="002008A9">
        <w:t>mêmes.</w:t>
      </w:r>
    </w:p>
    <w:p w14:paraId="6933AA1E" w14:textId="0A769CEA" w:rsidR="005270C4" w:rsidRDefault="00286D29" w:rsidP="00AD58F3">
      <w:pPr>
        <w:pStyle w:val="Paragraphe"/>
        <w:numPr>
          <w:ilvl w:val="0"/>
          <w:numId w:val="1"/>
        </w:numPr>
        <w:tabs>
          <w:tab w:val="clear" w:pos="360"/>
          <w:tab w:val="num" w:pos="851"/>
        </w:tabs>
        <w:spacing w:line="240" w:lineRule="auto"/>
      </w:pPr>
      <w:r>
        <w:t>En pareil cas, il serait hasardeux d’attribuer une quelconque importance aux chiffres finaux.</w:t>
      </w:r>
    </w:p>
    <w:p w14:paraId="4EFB0457" w14:textId="2FD7A86A" w:rsidR="002D6DFD" w:rsidRDefault="00AD58F3" w:rsidP="002D6DFD">
      <w:pPr>
        <w:pStyle w:val="Paragraphe"/>
        <w:numPr>
          <w:ilvl w:val="0"/>
          <w:numId w:val="1"/>
        </w:numPr>
        <w:tabs>
          <w:tab w:val="clear" w:pos="360"/>
          <w:tab w:val="num" w:pos="851"/>
        </w:tabs>
        <w:spacing w:line="240" w:lineRule="auto"/>
      </w:pPr>
      <w:r>
        <w:t xml:space="preserve">Les mêmes remarques s’appliquent – à des fins comparatives – </w:t>
      </w:r>
      <w:r w:rsidR="00B60FF7">
        <w:t xml:space="preserve">à la peine infligée à Simon par </w:t>
      </w:r>
      <w:r>
        <w:t>un autre juge</w:t>
      </w:r>
      <w:r w:rsidR="00B60FF7">
        <w:t xml:space="preserve"> en septembre 2022.</w:t>
      </w:r>
      <w:r>
        <w:t xml:space="preserve"> </w:t>
      </w:r>
      <w:r w:rsidR="00B60FF7" w:rsidRPr="00B60FF7">
        <w:t>Elle a fait l’objet d’une suggestion commune. Ainsi, le s</w:t>
      </w:r>
      <w:r w:rsidR="00B60FF7">
        <w:t xml:space="preserve">oussigné ne se voit aucunement lié par le fait qu’une peine de 17 </w:t>
      </w:r>
      <w:r w:rsidR="002D6DFD">
        <w:t>m</w:t>
      </w:r>
      <w:r w:rsidR="00B60FF7">
        <w:t xml:space="preserve">ois d’emprisonnement </w:t>
      </w:r>
      <w:r w:rsidR="002D6DFD">
        <w:t xml:space="preserve">lui </w:t>
      </w:r>
      <w:r w:rsidR="00B60FF7">
        <w:t xml:space="preserve">a été imposée pour la possession de </w:t>
      </w:r>
      <w:r w:rsidR="002D6DFD">
        <w:t>591 roches</w:t>
      </w:r>
      <w:r w:rsidR="00B60FF7">
        <w:t xml:space="preserve"> de crack en vue d’en faire le trafic. </w:t>
      </w:r>
      <w:r w:rsidR="002D6DFD">
        <w:t>Avec égards, c</w:t>
      </w:r>
      <w:r w:rsidR="00B60FF7" w:rsidRPr="002E1928">
        <w:t>ette peine me paraît excessivement clémente</w:t>
      </w:r>
      <w:r w:rsidR="002D6DFD">
        <w:t xml:space="preserve">, contraire à la jurisprudence et susceptible d’entraîner la banalisation du crack, un courant qui doit être fermement freiné par les tribunaux et par la société. Elle n’a pas fait l’objet d’une détermination judiciaire indépendante. Elle a plutôt été négociée par les parties, pour des considérations qui leur sont propres et qui ne m’ont pas été exposées. L’autre juge était tenu de l’entériner. Le </w:t>
      </w:r>
      <w:r w:rsidR="002D6DFD">
        <w:rPr>
          <w:i/>
          <w:iCs/>
        </w:rPr>
        <w:t>quantum</w:t>
      </w:r>
      <w:r w:rsidR="002D6DFD">
        <w:t xml:space="preserve"> ne saurait être avalisé, directement ou indirectement, par le soussigné. Au contraire, je m’en dissocie explicitement.</w:t>
      </w:r>
    </w:p>
    <w:p w14:paraId="301DC997" w14:textId="57FD8E63" w:rsidR="00331615" w:rsidRDefault="002D6DFD" w:rsidP="00AD7E39">
      <w:pPr>
        <w:pStyle w:val="Paragraphe"/>
        <w:numPr>
          <w:ilvl w:val="0"/>
          <w:numId w:val="1"/>
        </w:numPr>
        <w:tabs>
          <w:tab w:val="clear" w:pos="360"/>
          <w:tab w:val="num" w:pos="851"/>
        </w:tabs>
        <w:spacing w:line="240" w:lineRule="auto"/>
      </w:pPr>
      <w:r>
        <w:t xml:space="preserve">Comme l’a si bien énoncé la Cour d’appel de l’Ontario dans l’arrêt </w:t>
      </w:r>
      <w:r>
        <w:rPr>
          <w:b/>
          <w:bCs/>
          <w:i/>
          <w:iCs/>
        </w:rPr>
        <w:t xml:space="preserve">R. </w:t>
      </w:r>
      <w:r>
        <w:rPr>
          <w:b/>
          <w:bCs/>
        </w:rPr>
        <w:t xml:space="preserve">v. </w:t>
      </w:r>
      <w:r>
        <w:rPr>
          <w:b/>
          <w:bCs/>
          <w:i/>
          <w:iCs/>
        </w:rPr>
        <w:t>Noël</w:t>
      </w:r>
      <w:r>
        <w:t>, le fait que l’accusé ait pu bénéficier d’une peine très clémente par le passé ne l’empêche pas de recevoir une peine appropriée en l’espèce</w:t>
      </w:r>
      <w:r>
        <w:rPr>
          <w:rStyle w:val="Appelnotedebasdep"/>
        </w:rPr>
        <w:footnoteReference w:id="107"/>
      </w:r>
      <w:r>
        <w:t>.</w:t>
      </w:r>
    </w:p>
    <w:p w14:paraId="4F05CC9F" w14:textId="77777777" w:rsidR="00307769" w:rsidRDefault="00307769" w:rsidP="00307769">
      <w:pPr>
        <w:pStyle w:val="Titre2"/>
        <w:numPr>
          <w:ilvl w:val="0"/>
          <w:numId w:val="10"/>
        </w:numPr>
        <w:spacing w:before="120" w:after="120"/>
        <w:rPr>
          <w:i w:val="0"/>
          <w:u w:val="single"/>
        </w:rPr>
      </w:pPr>
      <w:r>
        <w:rPr>
          <w:i w:val="0"/>
          <w:u w:val="single"/>
        </w:rPr>
        <w:t>Le principe de la totalité n’a aucune application en l’espèce</w:t>
      </w:r>
    </w:p>
    <w:p w14:paraId="22A55809" w14:textId="3C7C4CC6" w:rsidR="00307769" w:rsidRDefault="00307769" w:rsidP="00AD7E39">
      <w:pPr>
        <w:pStyle w:val="Paragraphe"/>
        <w:numPr>
          <w:ilvl w:val="0"/>
          <w:numId w:val="1"/>
        </w:numPr>
        <w:tabs>
          <w:tab w:val="clear" w:pos="360"/>
          <w:tab w:val="num" w:pos="851"/>
        </w:tabs>
        <w:spacing w:line="240" w:lineRule="auto"/>
      </w:pPr>
      <w:r>
        <w:t>Lors des représentations, la procureure de la défense a fait une brève allusion au principe de la totalité des peines. Peu d’attention a été consacrée à cette question. Par conséquent, le Tribunal s’en tiendra aux observations succinctes suivantes.</w:t>
      </w:r>
    </w:p>
    <w:p w14:paraId="6D8DE59E" w14:textId="10B6C4D9" w:rsidR="00307769" w:rsidRPr="00307769" w:rsidRDefault="00307769" w:rsidP="00307769">
      <w:pPr>
        <w:pStyle w:val="Paragraphe"/>
        <w:numPr>
          <w:ilvl w:val="0"/>
          <w:numId w:val="1"/>
        </w:numPr>
        <w:tabs>
          <w:tab w:val="clear" w:pos="360"/>
          <w:tab w:val="num" w:pos="851"/>
        </w:tabs>
        <w:spacing w:line="240" w:lineRule="auto"/>
      </w:pPr>
      <w:r>
        <w:t xml:space="preserve">Le principe de la totalité ne s’applique pas en l’espèce. Je suis saisi de la détermination de la peine pour l’infraction du 17 mars 2021. Rien de plus, rien de moins. La peine reçue en septembre 2022 n’a aucune incidence sur la présente analyse, notamment parce qu’elle est </w:t>
      </w:r>
      <w:r w:rsidRPr="00307769">
        <w:t>déjà entièrement purgée.</w:t>
      </w:r>
    </w:p>
    <w:p w14:paraId="34A7BBC6" w14:textId="5CA300AE" w:rsidR="00307769" w:rsidRPr="00307769" w:rsidRDefault="00307769" w:rsidP="00307769">
      <w:pPr>
        <w:pStyle w:val="Paragraphe"/>
        <w:numPr>
          <w:ilvl w:val="0"/>
          <w:numId w:val="1"/>
        </w:numPr>
        <w:tabs>
          <w:tab w:val="clear" w:pos="360"/>
          <w:tab w:val="num" w:pos="851"/>
        </w:tabs>
        <w:spacing w:line="240" w:lineRule="auto"/>
      </w:pPr>
      <w:r w:rsidRPr="00307769">
        <w:t>En temps normal, le principe de la totalité sera appliqué par un juge qui inflige des peines à un délinquant pour des infractions multiples lors d’une même séance. Ceci dit, comme l’a reconnu la jurisprudence, le Tribunal doit tout autant considérer une peine préexistante au moment de l’application du principe, c’est-à-dire, une peine que l’accusé est déjà en train de purger</w:t>
      </w:r>
      <w:r w:rsidRPr="00307769">
        <w:rPr>
          <w:rStyle w:val="Appelnotedebasdep"/>
        </w:rPr>
        <w:footnoteReference w:id="108"/>
      </w:r>
      <w:r w:rsidRPr="00307769">
        <w:t>.</w:t>
      </w:r>
    </w:p>
    <w:p w14:paraId="4EAA6929" w14:textId="21DB7AEB" w:rsidR="00307769" w:rsidRPr="00307769" w:rsidRDefault="00307769" w:rsidP="00307769">
      <w:pPr>
        <w:pStyle w:val="Paragraphe"/>
        <w:numPr>
          <w:ilvl w:val="0"/>
          <w:numId w:val="1"/>
        </w:numPr>
        <w:tabs>
          <w:tab w:val="clear" w:pos="360"/>
          <w:tab w:val="num" w:pos="851"/>
        </w:tabs>
        <w:spacing w:line="240" w:lineRule="auto"/>
      </w:pPr>
      <w:r w:rsidRPr="00307769">
        <w:t xml:space="preserve">Toutefois, il est de jurisprudence constante que dans une telle situation, dans l’application du principe de la totalité, le Tribunal ne pourra considérer </w:t>
      </w:r>
      <w:r w:rsidRPr="00307769">
        <w:rPr>
          <w:i/>
        </w:rPr>
        <w:t>que</w:t>
      </w:r>
      <w:r w:rsidRPr="00307769">
        <w:t xml:space="preserve"> la portion non purgée de la peine antérieure et non pas sa durée entière</w:t>
      </w:r>
      <w:r w:rsidRPr="00307769">
        <w:rPr>
          <w:rStyle w:val="Appelnotedebasdep"/>
        </w:rPr>
        <w:footnoteReference w:id="109"/>
      </w:r>
      <w:r w:rsidRPr="00307769">
        <w:t>.</w:t>
      </w:r>
    </w:p>
    <w:p w14:paraId="1D6CF67F" w14:textId="29BE0260" w:rsidR="00307769" w:rsidRPr="00AD7E39" w:rsidRDefault="00307769" w:rsidP="00AD7E39">
      <w:pPr>
        <w:pStyle w:val="Paragraphe"/>
        <w:numPr>
          <w:ilvl w:val="0"/>
          <w:numId w:val="1"/>
        </w:numPr>
        <w:tabs>
          <w:tab w:val="clear" w:pos="360"/>
          <w:tab w:val="num" w:pos="851"/>
        </w:tabs>
        <w:spacing w:line="240" w:lineRule="auto"/>
      </w:pPr>
      <w:r>
        <w:t xml:space="preserve">Si l’autre peine est déjà </w:t>
      </w:r>
      <w:r w:rsidR="00B72602">
        <w:t xml:space="preserve">entièrement </w:t>
      </w:r>
      <w:r>
        <w:t>purgée, le principe de la totalité n’est pas enclenché</w:t>
      </w:r>
      <w:r>
        <w:rPr>
          <w:rStyle w:val="Appelnotedebasdep"/>
        </w:rPr>
        <w:footnoteReference w:id="110"/>
      </w:r>
      <w:r>
        <w:t>.</w:t>
      </w:r>
    </w:p>
    <w:p w14:paraId="6720F058" w14:textId="77777777" w:rsidR="008E0F8B" w:rsidRPr="003975C7" w:rsidRDefault="008E0F8B" w:rsidP="008E0F8B">
      <w:pPr>
        <w:pStyle w:val="Titre1"/>
        <w:spacing w:before="120" w:after="120"/>
        <w:jc w:val="both"/>
        <w:rPr>
          <w:sz w:val="24"/>
          <w:szCs w:val="24"/>
        </w:rPr>
      </w:pPr>
      <w:r>
        <w:rPr>
          <w:sz w:val="24"/>
          <w:szCs w:val="24"/>
        </w:rPr>
        <w:t>4</w:t>
      </w:r>
      <w:r w:rsidRPr="00A01956">
        <w:rPr>
          <w:sz w:val="24"/>
          <w:szCs w:val="24"/>
        </w:rPr>
        <w:t xml:space="preserve">- </w:t>
      </w:r>
      <w:r>
        <w:rPr>
          <w:sz w:val="24"/>
          <w:szCs w:val="24"/>
          <w:u w:val="single"/>
        </w:rPr>
        <w:t>La détermination d’une peine proportionnelle en l’espèce</w:t>
      </w:r>
    </w:p>
    <w:p w14:paraId="2695FC18" w14:textId="77777777" w:rsidR="00BB7533" w:rsidRPr="00BB7533" w:rsidRDefault="00BB7533" w:rsidP="00BB7533">
      <w:pPr>
        <w:pStyle w:val="Paragraphe"/>
        <w:numPr>
          <w:ilvl w:val="0"/>
          <w:numId w:val="1"/>
        </w:numPr>
        <w:tabs>
          <w:tab w:val="clear" w:pos="360"/>
          <w:tab w:val="num" w:pos="851"/>
        </w:tabs>
        <w:spacing w:line="240" w:lineRule="auto"/>
      </w:pPr>
      <w:r w:rsidRPr="00BB7533">
        <w:t>Le Tribunal doit déterminer une peine individualisée, respectant le principe de proportionnalité crime-sanction et reflétant les circonstances de la commission des actes délictuels, la gravité de ceux-ci ainsi que la situation particulière du délinquant.</w:t>
      </w:r>
    </w:p>
    <w:p w14:paraId="62F4DF9C" w14:textId="63BFC9DA" w:rsidR="00BB7533" w:rsidRPr="00BB7533" w:rsidRDefault="00BB7533" w:rsidP="00BB7533">
      <w:pPr>
        <w:pStyle w:val="Paragraphe"/>
        <w:numPr>
          <w:ilvl w:val="0"/>
          <w:numId w:val="1"/>
        </w:numPr>
        <w:tabs>
          <w:tab w:val="clear" w:pos="360"/>
          <w:tab w:val="num" w:pos="851"/>
        </w:tabs>
        <w:spacing w:line="240" w:lineRule="auto"/>
      </w:pPr>
      <w:r w:rsidRPr="00BB7533">
        <w:t>Les facteurs aggravants sont nombreux. La responsabilité morale de l’accusé est très élevée.</w:t>
      </w:r>
    </w:p>
    <w:p w14:paraId="53D9DAFC" w14:textId="7C8A5A80" w:rsidR="00BB7533" w:rsidRPr="00BB7533" w:rsidRDefault="00BB7533" w:rsidP="00BB7533">
      <w:pPr>
        <w:pStyle w:val="Paragraphe"/>
        <w:numPr>
          <w:ilvl w:val="0"/>
          <w:numId w:val="1"/>
        </w:numPr>
        <w:tabs>
          <w:tab w:val="clear" w:pos="360"/>
          <w:tab w:val="num" w:pos="851"/>
        </w:tabs>
        <w:spacing w:line="240" w:lineRule="auto"/>
      </w:pPr>
      <w:r w:rsidRPr="00BB7533">
        <w:t>Tel qu’indiqué ci-dessus, la peine doit communiquer la répulsion sociale à l’égard du crime. Or, en matière de stupéfiants, il est difficile d’imaginer un scénario plus répugnant que la possession en vue de trafic de quantités importantes et d’une variété de drogues dures, alors que l’accusé est justement sous le coup d’ordonnances de mise en liberté dans d’autres dossiers pendants pour trafic.</w:t>
      </w:r>
    </w:p>
    <w:p w14:paraId="0445114D" w14:textId="7C523ACB" w:rsidR="00BB7533" w:rsidRPr="00BB7533" w:rsidRDefault="00BB7533" w:rsidP="00BB7533">
      <w:pPr>
        <w:pStyle w:val="Paragraphe"/>
        <w:numPr>
          <w:ilvl w:val="0"/>
          <w:numId w:val="1"/>
        </w:numPr>
        <w:tabs>
          <w:tab w:val="clear" w:pos="360"/>
          <w:tab w:val="num" w:pos="851"/>
        </w:tabs>
        <w:spacing w:line="240" w:lineRule="auto"/>
      </w:pPr>
      <w:r w:rsidRPr="00BB7533">
        <w:t>Simon est un individu qui n’hésite pas à s’impliquer lucidement à répandre ce fléau pour fin de lucre. Il ne constitue surtout pas du menu fretin et il n’est pas un consommateur-vendeur.</w:t>
      </w:r>
      <w:r>
        <w:t xml:space="preserve"> </w:t>
      </w:r>
    </w:p>
    <w:p w14:paraId="3C4ED38E" w14:textId="61FE32E4" w:rsidR="00F422A9" w:rsidRPr="00F422A9" w:rsidRDefault="00BB7533" w:rsidP="00F422A9">
      <w:pPr>
        <w:pStyle w:val="Paragraphe"/>
        <w:numPr>
          <w:ilvl w:val="0"/>
          <w:numId w:val="1"/>
        </w:numPr>
        <w:tabs>
          <w:tab w:val="clear" w:pos="360"/>
          <w:tab w:val="num" w:pos="851"/>
        </w:tabs>
        <w:spacing w:line="240" w:lineRule="auto"/>
      </w:pPr>
      <w:r w:rsidRPr="00F422A9">
        <w:t>Le fait qu’il ait eu en sa possession 368 roches de crack en mars 2021</w:t>
      </w:r>
      <w:r w:rsidR="00F422A9" w:rsidRPr="00F422A9">
        <w:t xml:space="preserve"> (en plus des autres substances)</w:t>
      </w:r>
      <w:r w:rsidRPr="00F422A9">
        <w:t xml:space="preserve">, cumulé au fait qu’il ait eu en sa possession 591 roches de crack en février 2020, démontre sans l’ombre d’un doute que Kensey Simon </w:t>
      </w:r>
      <w:r w:rsidR="00F422A9" w:rsidRPr="00F422A9">
        <w:t xml:space="preserve">occupe un poste important dans le </w:t>
      </w:r>
      <w:r w:rsidRPr="00F422A9">
        <w:t>commerce des substances illicites.</w:t>
      </w:r>
      <w:r w:rsidR="00F422A9" w:rsidRPr="00F422A9">
        <w:t xml:space="preserve"> Le 17 mars 2021, Simon avait aussi une clé pour l’appartement 5 du 5880, ainsi qu’une clé pour l’un des autres endroits perquisitionnés. </w:t>
      </w:r>
      <w:r w:rsidR="00F422A9" w:rsidRPr="00F422A9">
        <w:rPr>
          <w:rFonts w:cs="Arial"/>
        </w:rPr>
        <w:t>Une jurisprudence abondante des tribunaux d’appel du pays reconnaît qu’il est raisonnable d’inférer que les organisations ne confieront pas la garde des quantités importantes de stupéfiants ou des sommes importantes d’argent à des personnes, à moins qu’elles leur fassent confiance</w:t>
      </w:r>
      <w:r w:rsidR="00F422A9" w:rsidRPr="00F422A9">
        <w:rPr>
          <w:rStyle w:val="Appelnotedebasdep"/>
          <w:rFonts w:cs="Arial"/>
        </w:rPr>
        <w:footnoteReference w:id="111"/>
      </w:r>
      <w:r w:rsidR="00F422A9" w:rsidRPr="00F422A9">
        <w:rPr>
          <w:rFonts w:cs="Arial"/>
        </w:rPr>
        <w:t>. En l’espèce, même si Cleopha et Hakim avaient aussi accès à l’appartement et même s’ils possédaient conjointement les stupéfiants, le même raisonnement s’applique tout de même.</w:t>
      </w:r>
    </w:p>
    <w:p w14:paraId="136AAA06" w14:textId="6D9D346F" w:rsidR="00BB7533" w:rsidRDefault="00BB7533" w:rsidP="00BB7533">
      <w:pPr>
        <w:pStyle w:val="Paragraphe"/>
        <w:numPr>
          <w:ilvl w:val="0"/>
          <w:numId w:val="1"/>
        </w:numPr>
        <w:tabs>
          <w:tab w:val="clear" w:pos="360"/>
          <w:tab w:val="num" w:pos="851"/>
        </w:tabs>
        <w:spacing w:line="240" w:lineRule="auto"/>
      </w:pPr>
      <w:r>
        <w:t>Le risque de récidive</w:t>
      </w:r>
      <w:r w:rsidR="00A56F36">
        <w:t xml:space="preserve"> en l’espèce </w:t>
      </w:r>
      <w:r>
        <w:t>est évident et élevé.</w:t>
      </w:r>
    </w:p>
    <w:p w14:paraId="42F16A47" w14:textId="16D54A84" w:rsidR="00A67076" w:rsidRDefault="00A67076" w:rsidP="00BB7533">
      <w:pPr>
        <w:pStyle w:val="Paragraphe"/>
        <w:numPr>
          <w:ilvl w:val="0"/>
          <w:numId w:val="1"/>
        </w:numPr>
        <w:tabs>
          <w:tab w:val="clear" w:pos="360"/>
          <w:tab w:val="num" w:pos="851"/>
        </w:tabs>
        <w:spacing w:line="240" w:lineRule="auto"/>
      </w:pPr>
      <w:r>
        <w:t>Le fait que l’accusé était sous le coup de deux ordonnances de mise en liberté (dans quatre dossiers) et une ordonnance de probation récente démontre que Simon n’a aucun respect pour le système judiciaire, pour l’autorité ou pour le bien-être de sa communauté.</w:t>
      </w:r>
      <w:r w:rsidR="00B42660">
        <w:t xml:space="preserve"> Les détentions provisoires de 30 jours en février 2020</w:t>
      </w:r>
      <w:r w:rsidR="00B42660">
        <w:rPr>
          <w:rStyle w:val="Appelnotedebasdep"/>
        </w:rPr>
        <w:footnoteReference w:id="112"/>
      </w:r>
      <w:r w:rsidR="00B42660">
        <w:t xml:space="preserve"> et de 12 jours en juillet </w:t>
      </w:r>
      <w:r w:rsidR="00B42660" w:rsidRPr="00714591">
        <w:t>2020</w:t>
      </w:r>
      <w:r w:rsidR="00B42660" w:rsidRPr="00714591">
        <w:rPr>
          <w:rStyle w:val="Appelnotedebasdep"/>
        </w:rPr>
        <w:footnoteReference w:id="113"/>
      </w:r>
      <w:r w:rsidR="00B42660" w:rsidRPr="00714591">
        <w:t xml:space="preserve"> n’ont pas eu d’effet. Les deux engagements personnels totalisant 3000</w:t>
      </w:r>
      <w:r w:rsidR="00646621" w:rsidRPr="00714591">
        <w:t> </w:t>
      </w:r>
      <w:r w:rsidR="00B42660" w:rsidRPr="00714591">
        <w:t>$ et les trois dépôts par des tiers</w:t>
      </w:r>
      <w:r w:rsidR="00B42660">
        <w:t xml:space="preserve"> désignés totalisant 1500</w:t>
      </w:r>
      <w:r w:rsidR="00646621">
        <w:t> </w:t>
      </w:r>
      <w:r w:rsidR="00B42660">
        <w:t>$ n’ont pas eu d’effet non plus.</w:t>
      </w:r>
    </w:p>
    <w:p w14:paraId="1BD31206" w14:textId="7328DB5B" w:rsidR="00A67076" w:rsidRDefault="00A67076" w:rsidP="00A67076">
      <w:pPr>
        <w:pStyle w:val="Paragraphe"/>
        <w:numPr>
          <w:ilvl w:val="0"/>
          <w:numId w:val="1"/>
        </w:numPr>
        <w:tabs>
          <w:tab w:val="clear" w:pos="360"/>
          <w:tab w:val="num" w:pos="851"/>
        </w:tabs>
        <w:spacing w:line="240" w:lineRule="auto"/>
      </w:pPr>
      <w:r>
        <w:t>C’est dans ce contexte qu’il est pertinent de considérer l’infraction de possession en vue de trafic de crack du 12 février 2020, pour laquelle Simon s’est vu imposer une peine de 17 mois d’emprisonnement en septembre 2022. Tel que mentionné ci-dessus, elle ne s’agit pas d’un « antécédent judiciaire ». Elle n’entre surtout pas en ligne de compte dans l’application de la gradation des peines</w:t>
      </w:r>
      <w:r w:rsidR="00505A9A">
        <w:t xml:space="preserve"> et elle ne constitue pas un facteur aggravant</w:t>
      </w:r>
      <w:r>
        <w:t xml:space="preserve">. Le crime a bel et bien été commis </w:t>
      </w:r>
      <w:r w:rsidRPr="00A67076">
        <w:rPr>
          <w:i/>
          <w:iCs/>
        </w:rPr>
        <w:t>avant</w:t>
      </w:r>
      <w:r>
        <w:t xml:space="preserve"> celui dont je suis saisi, mais la sentence a été infligée après. Rappelons que l’infraction à l’époque était très semblable à celle en cause en l’espèce :</w:t>
      </w:r>
    </w:p>
    <w:p w14:paraId="0B672A7A" w14:textId="77777777" w:rsidR="00A67076" w:rsidRDefault="00A67076" w:rsidP="00A67076">
      <w:pPr>
        <w:pStyle w:val="Paragraphe"/>
        <w:numPr>
          <w:ilvl w:val="0"/>
          <w:numId w:val="0"/>
        </w:numPr>
        <w:spacing w:line="240" w:lineRule="auto"/>
      </w:pPr>
    </w:p>
    <w:tbl>
      <w:tblPr>
        <w:tblStyle w:val="Grilledutableau"/>
        <w:tblW w:w="0" w:type="auto"/>
        <w:tblLook w:val="04A0" w:firstRow="1" w:lastRow="0" w:firstColumn="1" w:lastColumn="0" w:noHBand="0" w:noVBand="1"/>
      </w:tblPr>
      <w:tblGrid>
        <w:gridCol w:w="4676"/>
        <w:gridCol w:w="4676"/>
      </w:tblGrid>
      <w:tr w:rsidR="00A67076" w:rsidRPr="007E0EBF" w14:paraId="12A4B056" w14:textId="77777777" w:rsidTr="00B41CDC">
        <w:tc>
          <w:tcPr>
            <w:tcW w:w="4676" w:type="dxa"/>
            <w:shd w:val="clear" w:color="auto" w:fill="D9D9D9" w:themeFill="background1" w:themeFillShade="D9"/>
          </w:tcPr>
          <w:p w14:paraId="0FD549F0" w14:textId="77777777" w:rsidR="00A67076" w:rsidRPr="007E0EBF" w:rsidRDefault="00A67076" w:rsidP="00B41CDC">
            <w:pPr>
              <w:pStyle w:val="Paragraphe"/>
              <w:numPr>
                <w:ilvl w:val="0"/>
                <w:numId w:val="0"/>
              </w:numPr>
              <w:spacing w:before="0" w:line="240" w:lineRule="auto"/>
              <w:contextualSpacing/>
              <w:jc w:val="left"/>
              <w:rPr>
                <w:b/>
                <w:bCs/>
                <w:sz w:val="20"/>
              </w:rPr>
            </w:pPr>
            <w:r>
              <w:rPr>
                <w:b/>
                <w:bCs/>
                <w:sz w:val="20"/>
              </w:rPr>
              <w:t>12 février 2020</w:t>
            </w:r>
          </w:p>
        </w:tc>
        <w:tc>
          <w:tcPr>
            <w:tcW w:w="4676" w:type="dxa"/>
            <w:shd w:val="clear" w:color="auto" w:fill="D9D9D9" w:themeFill="background1" w:themeFillShade="D9"/>
          </w:tcPr>
          <w:p w14:paraId="048237D6" w14:textId="77777777" w:rsidR="00A67076" w:rsidRPr="007E0EBF" w:rsidRDefault="00A67076" w:rsidP="00B41CDC">
            <w:pPr>
              <w:pStyle w:val="Paragraphe"/>
              <w:numPr>
                <w:ilvl w:val="0"/>
                <w:numId w:val="0"/>
              </w:numPr>
              <w:spacing w:before="0" w:line="240" w:lineRule="auto"/>
              <w:contextualSpacing/>
              <w:jc w:val="left"/>
              <w:rPr>
                <w:b/>
                <w:bCs/>
                <w:sz w:val="20"/>
              </w:rPr>
            </w:pPr>
            <w:r>
              <w:rPr>
                <w:b/>
                <w:bCs/>
                <w:sz w:val="20"/>
              </w:rPr>
              <w:t>17 mars 2021</w:t>
            </w:r>
          </w:p>
        </w:tc>
      </w:tr>
      <w:tr w:rsidR="00A67076" w:rsidRPr="007E0EBF" w14:paraId="61F5AE8C" w14:textId="77777777" w:rsidTr="00B41CDC">
        <w:tc>
          <w:tcPr>
            <w:tcW w:w="4676" w:type="dxa"/>
          </w:tcPr>
          <w:p w14:paraId="530D916F" w14:textId="77777777" w:rsidR="00A67076" w:rsidRDefault="00A67076" w:rsidP="00B41CDC">
            <w:pPr>
              <w:pStyle w:val="Paragraphe"/>
              <w:numPr>
                <w:ilvl w:val="0"/>
                <w:numId w:val="0"/>
              </w:numPr>
              <w:spacing w:before="0" w:line="240" w:lineRule="auto"/>
              <w:contextualSpacing/>
              <w:jc w:val="left"/>
              <w:rPr>
                <w:sz w:val="20"/>
              </w:rPr>
            </w:pPr>
            <w:r>
              <w:rPr>
                <w:sz w:val="20"/>
              </w:rPr>
              <w:t>-Poss. en vue de trafic de plusieurs drogues dans un appartement.</w:t>
            </w:r>
          </w:p>
          <w:p w14:paraId="4A912006" w14:textId="77777777" w:rsidR="00A67076" w:rsidRDefault="00A67076" w:rsidP="00B41CDC">
            <w:pPr>
              <w:pStyle w:val="Paragraphe"/>
              <w:numPr>
                <w:ilvl w:val="0"/>
                <w:numId w:val="15"/>
              </w:numPr>
              <w:spacing w:before="0" w:line="240" w:lineRule="auto"/>
              <w:contextualSpacing/>
              <w:jc w:val="left"/>
              <w:rPr>
                <w:sz w:val="20"/>
              </w:rPr>
            </w:pPr>
            <w:r>
              <w:rPr>
                <w:sz w:val="20"/>
              </w:rPr>
              <w:t>591 roches de crack;</w:t>
            </w:r>
          </w:p>
          <w:p w14:paraId="3C8651B5" w14:textId="77777777" w:rsidR="00A67076" w:rsidRDefault="00A67076" w:rsidP="00B41CDC">
            <w:pPr>
              <w:pStyle w:val="Paragraphe"/>
              <w:numPr>
                <w:ilvl w:val="0"/>
                <w:numId w:val="15"/>
              </w:numPr>
              <w:spacing w:before="0" w:line="240" w:lineRule="auto"/>
              <w:contextualSpacing/>
              <w:jc w:val="left"/>
              <w:rPr>
                <w:sz w:val="20"/>
              </w:rPr>
            </w:pPr>
            <w:r>
              <w:rPr>
                <w:sz w:val="20"/>
              </w:rPr>
              <w:t>3.24 g de cocaïne en poudre;</w:t>
            </w:r>
          </w:p>
          <w:p w14:paraId="07F96A31" w14:textId="77777777" w:rsidR="00A67076" w:rsidRDefault="00A67076" w:rsidP="00B41CDC">
            <w:pPr>
              <w:pStyle w:val="Paragraphe"/>
              <w:numPr>
                <w:ilvl w:val="0"/>
                <w:numId w:val="15"/>
              </w:numPr>
              <w:spacing w:before="0" w:line="240" w:lineRule="auto"/>
              <w:contextualSpacing/>
              <w:jc w:val="left"/>
              <w:rPr>
                <w:sz w:val="20"/>
              </w:rPr>
            </w:pPr>
            <w:r>
              <w:rPr>
                <w:sz w:val="20"/>
              </w:rPr>
              <w:t>183 comprimés de speed;</w:t>
            </w:r>
          </w:p>
          <w:p w14:paraId="066BA0B0" w14:textId="1775D4D9" w:rsidR="00A67076" w:rsidRDefault="00A67076" w:rsidP="00B41CDC">
            <w:pPr>
              <w:pStyle w:val="Paragraphe"/>
              <w:numPr>
                <w:ilvl w:val="0"/>
                <w:numId w:val="15"/>
              </w:numPr>
              <w:spacing w:before="0" w:line="240" w:lineRule="auto"/>
              <w:contextualSpacing/>
              <w:jc w:val="left"/>
              <w:rPr>
                <w:sz w:val="20"/>
              </w:rPr>
            </w:pPr>
            <w:r>
              <w:rPr>
                <w:sz w:val="20"/>
              </w:rPr>
              <w:t>66.65 g de ha</w:t>
            </w:r>
            <w:r w:rsidR="00795660">
              <w:rPr>
                <w:sz w:val="20"/>
              </w:rPr>
              <w:t>chic</w:t>
            </w:r>
            <w:r>
              <w:rPr>
                <w:sz w:val="20"/>
              </w:rPr>
              <w:t>h;</w:t>
            </w:r>
          </w:p>
          <w:p w14:paraId="6A002CF8" w14:textId="77777777" w:rsidR="00A67076" w:rsidRDefault="00A67076" w:rsidP="00B41CDC">
            <w:pPr>
              <w:pStyle w:val="Paragraphe"/>
              <w:numPr>
                <w:ilvl w:val="0"/>
                <w:numId w:val="15"/>
              </w:numPr>
              <w:spacing w:before="0" w:line="240" w:lineRule="auto"/>
              <w:contextualSpacing/>
              <w:jc w:val="left"/>
              <w:rPr>
                <w:sz w:val="20"/>
              </w:rPr>
            </w:pPr>
            <w:r>
              <w:rPr>
                <w:sz w:val="20"/>
              </w:rPr>
              <w:t>3371$ confisqués.</w:t>
            </w:r>
          </w:p>
          <w:p w14:paraId="23CA064E" w14:textId="77777777" w:rsidR="00A67076" w:rsidRPr="007E0EBF" w:rsidRDefault="00A67076" w:rsidP="00B41CDC">
            <w:pPr>
              <w:pStyle w:val="Paragraphe"/>
              <w:numPr>
                <w:ilvl w:val="0"/>
                <w:numId w:val="0"/>
              </w:numPr>
              <w:spacing w:before="0" w:line="240" w:lineRule="auto"/>
              <w:contextualSpacing/>
              <w:jc w:val="left"/>
              <w:rPr>
                <w:sz w:val="20"/>
              </w:rPr>
            </w:pPr>
          </w:p>
        </w:tc>
        <w:tc>
          <w:tcPr>
            <w:tcW w:w="4676" w:type="dxa"/>
          </w:tcPr>
          <w:p w14:paraId="18609A82" w14:textId="77777777" w:rsidR="00A67076" w:rsidRDefault="00A67076" w:rsidP="00B41CDC">
            <w:pPr>
              <w:pStyle w:val="Paragraphe"/>
              <w:numPr>
                <w:ilvl w:val="0"/>
                <w:numId w:val="0"/>
              </w:numPr>
              <w:spacing w:before="0" w:line="240" w:lineRule="auto"/>
              <w:contextualSpacing/>
              <w:jc w:val="left"/>
              <w:rPr>
                <w:sz w:val="20"/>
              </w:rPr>
            </w:pPr>
            <w:r>
              <w:rPr>
                <w:sz w:val="20"/>
              </w:rPr>
              <w:t>-Poss. en vue de trafic de plusieurs drogues dans un appartement.</w:t>
            </w:r>
          </w:p>
          <w:p w14:paraId="4D141B3B" w14:textId="77777777" w:rsidR="00A67076" w:rsidRDefault="00A67076" w:rsidP="00B41CDC">
            <w:pPr>
              <w:pStyle w:val="Paragraphe"/>
              <w:numPr>
                <w:ilvl w:val="0"/>
                <w:numId w:val="15"/>
              </w:numPr>
              <w:spacing w:before="0" w:line="240" w:lineRule="auto"/>
              <w:contextualSpacing/>
              <w:jc w:val="left"/>
              <w:rPr>
                <w:sz w:val="20"/>
              </w:rPr>
            </w:pPr>
            <w:r>
              <w:rPr>
                <w:sz w:val="20"/>
              </w:rPr>
              <w:t>368 roches de crack;</w:t>
            </w:r>
          </w:p>
          <w:p w14:paraId="17659482" w14:textId="77777777" w:rsidR="00A67076" w:rsidRDefault="00A67076" w:rsidP="00B41CDC">
            <w:pPr>
              <w:pStyle w:val="Paragraphe"/>
              <w:numPr>
                <w:ilvl w:val="0"/>
                <w:numId w:val="15"/>
              </w:numPr>
              <w:spacing w:before="0" w:line="240" w:lineRule="auto"/>
              <w:contextualSpacing/>
              <w:jc w:val="left"/>
              <w:rPr>
                <w:sz w:val="20"/>
              </w:rPr>
            </w:pPr>
            <w:r>
              <w:rPr>
                <w:sz w:val="20"/>
              </w:rPr>
              <w:t>3.87 g de cocaïne en poudre;</w:t>
            </w:r>
          </w:p>
          <w:p w14:paraId="2EFEEC2F" w14:textId="77777777" w:rsidR="00A67076" w:rsidRDefault="00A67076" w:rsidP="00B41CDC">
            <w:pPr>
              <w:pStyle w:val="Paragraphe"/>
              <w:numPr>
                <w:ilvl w:val="0"/>
                <w:numId w:val="15"/>
              </w:numPr>
              <w:spacing w:before="0" w:line="240" w:lineRule="auto"/>
              <w:contextualSpacing/>
              <w:jc w:val="left"/>
              <w:rPr>
                <w:sz w:val="20"/>
              </w:rPr>
            </w:pPr>
            <w:r>
              <w:rPr>
                <w:sz w:val="20"/>
              </w:rPr>
              <w:t>94 comprimés de speed;</w:t>
            </w:r>
          </w:p>
          <w:p w14:paraId="04B7A051" w14:textId="77777777" w:rsidR="00A67076" w:rsidRDefault="00A67076" w:rsidP="00B41CDC">
            <w:pPr>
              <w:pStyle w:val="Paragraphe"/>
              <w:numPr>
                <w:ilvl w:val="0"/>
                <w:numId w:val="15"/>
              </w:numPr>
              <w:spacing w:before="0" w:line="240" w:lineRule="auto"/>
              <w:contextualSpacing/>
              <w:jc w:val="left"/>
              <w:rPr>
                <w:sz w:val="20"/>
              </w:rPr>
            </w:pPr>
            <w:r>
              <w:rPr>
                <w:sz w:val="20"/>
              </w:rPr>
              <w:t>412 comprimés de Xanax;</w:t>
            </w:r>
          </w:p>
          <w:p w14:paraId="138E03B8" w14:textId="77777777" w:rsidR="00A67076" w:rsidRDefault="00A67076" w:rsidP="00B41CDC">
            <w:pPr>
              <w:pStyle w:val="Paragraphe"/>
              <w:numPr>
                <w:ilvl w:val="0"/>
                <w:numId w:val="15"/>
              </w:numPr>
              <w:spacing w:before="0" w:line="240" w:lineRule="auto"/>
              <w:contextualSpacing/>
              <w:jc w:val="left"/>
              <w:rPr>
                <w:sz w:val="20"/>
              </w:rPr>
            </w:pPr>
            <w:r>
              <w:rPr>
                <w:sz w:val="20"/>
              </w:rPr>
              <w:t>4065$.</w:t>
            </w:r>
          </w:p>
          <w:p w14:paraId="4A31577A" w14:textId="77777777" w:rsidR="00A67076" w:rsidRPr="007E0EBF" w:rsidRDefault="00A67076" w:rsidP="00B41CDC">
            <w:pPr>
              <w:pStyle w:val="Paragraphe"/>
              <w:numPr>
                <w:ilvl w:val="0"/>
                <w:numId w:val="0"/>
              </w:numPr>
              <w:spacing w:before="0" w:line="240" w:lineRule="auto"/>
              <w:contextualSpacing/>
              <w:jc w:val="left"/>
              <w:rPr>
                <w:sz w:val="20"/>
              </w:rPr>
            </w:pPr>
          </w:p>
        </w:tc>
      </w:tr>
    </w:tbl>
    <w:p w14:paraId="293618C9" w14:textId="77777777" w:rsidR="00A67076" w:rsidRPr="007E0EBF" w:rsidRDefault="00A67076" w:rsidP="00A67076">
      <w:pPr>
        <w:pStyle w:val="Paragraphe"/>
        <w:numPr>
          <w:ilvl w:val="0"/>
          <w:numId w:val="0"/>
        </w:numPr>
        <w:spacing w:before="0" w:line="240" w:lineRule="auto"/>
        <w:contextualSpacing/>
        <w:rPr>
          <w:sz w:val="20"/>
        </w:rPr>
      </w:pPr>
    </w:p>
    <w:p w14:paraId="1B61AE63" w14:textId="77777777" w:rsidR="00A67076" w:rsidRDefault="00A67076" w:rsidP="00A67076">
      <w:pPr>
        <w:pStyle w:val="Paragraphe"/>
        <w:numPr>
          <w:ilvl w:val="0"/>
          <w:numId w:val="1"/>
        </w:numPr>
        <w:tabs>
          <w:tab w:val="clear" w:pos="360"/>
          <w:tab w:val="num" w:pos="851"/>
        </w:tabs>
        <w:spacing w:line="240" w:lineRule="auto"/>
      </w:pPr>
      <w:r>
        <w:t>De toute évidence, plus les choses changent, plus elles sont pareilles…</w:t>
      </w:r>
    </w:p>
    <w:p w14:paraId="7E2B2F36" w14:textId="365AB40F" w:rsidR="00A67076" w:rsidRDefault="00A67076" w:rsidP="00227557">
      <w:pPr>
        <w:pStyle w:val="Paragraphe"/>
        <w:numPr>
          <w:ilvl w:val="0"/>
          <w:numId w:val="1"/>
        </w:numPr>
        <w:tabs>
          <w:tab w:val="clear" w:pos="360"/>
          <w:tab w:val="num" w:pos="851"/>
        </w:tabs>
        <w:spacing w:line="240" w:lineRule="auto"/>
      </w:pPr>
      <w:r>
        <w:t>En mars 2021, au moment de la commission de la présente infraction, Simon avait donc cette cause pendante qui est bel et bien devenue une condamnation formelle plus tard.</w:t>
      </w:r>
      <w:r w:rsidR="00227557">
        <w:t xml:space="preserve"> </w:t>
      </w:r>
      <w:r>
        <w:t xml:space="preserve">Dans une série de décisions, la Cour d’appel du Québec a confirmé que de telles causes pendantes sont pertinentes à la détermination de la </w:t>
      </w:r>
      <w:r w:rsidRPr="00E37F73">
        <w:t>peine</w:t>
      </w:r>
      <w:r w:rsidR="007638CF" w:rsidRPr="00E37F73">
        <w:t>,</w:t>
      </w:r>
      <w:r>
        <w:t xml:space="preserve"> car elles permettent de faire la lumière sur le genre d’individu, la situation et la personnalité de l’accusé</w:t>
      </w:r>
      <w:r>
        <w:rPr>
          <w:rStyle w:val="Appelnotedebasdep"/>
        </w:rPr>
        <w:footnoteReference w:id="114"/>
      </w:r>
      <w:r>
        <w:t>.</w:t>
      </w:r>
    </w:p>
    <w:p w14:paraId="59BF3934" w14:textId="75B459ED" w:rsidR="00A67076" w:rsidRDefault="00A67076" w:rsidP="00A67076">
      <w:pPr>
        <w:pStyle w:val="Paragraphe"/>
        <w:numPr>
          <w:ilvl w:val="0"/>
          <w:numId w:val="1"/>
        </w:numPr>
        <w:tabs>
          <w:tab w:val="clear" w:pos="360"/>
          <w:tab w:val="num" w:pos="851"/>
        </w:tabs>
        <w:spacing w:line="240" w:lineRule="auto"/>
      </w:pPr>
      <w:r>
        <w:t>Réduit à son plus simple, l’accusé a commis un crime sérieux en février 2020. Malgré son arrestation, sa détention</w:t>
      </w:r>
      <w:r w:rsidR="00B965C3">
        <w:t>, ses conditions de mise en liberté</w:t>
      </w:r>
      <w:r>
        <w:t xml:space="preserve"> et le risque réel qu’il écope d’une peine significative, il a </w:t>
      </w:r>
      <w:r w:rsidRPr="007638CF">
        <w:t xml:space="preserve">recommis </w:t>
      </w:r>
      <w:r w:rsidRPr="00B965C3">
        <w:rPr>
          <w:i/>
          <w:iCs/>
        </w:rPr>
        <w:t>le</w:t>
      </w:r>
      <w:r>
        <w:t xml:space="preserve"> </w:t>
      </w:r>
      <w:r w:rsidRPr="00B965C3">
        <w:rPr>
          <w:i/>
          <w:iCs/>
        </w:rPr>
        <w:t>même</w:t>
      </w:r>
      <w:r>
        <w:t xml:space="preserve"> crime en mars 2021. Cet historique démontre de façon éloquente le risque de récidive que présente l’accusé, son incapacité (ou son refus) de respecter la loi et son faible potentiel de réhabilitation</w:t>
      </w:r>
      <w:r>
        <w:rPr>
          <w:rStyle w:val="Appelnotedebasdep"/>
        </w:rPr>
        <w:footnoteReference w:id="115"/>
      </w:r>
      <w:r>
        <w:t xml:space="preserve">. </w:t>
      </w:r>
    </w:p>
    <w:p w14:paraId="7F0A59F1" w14:textId="1A3A49E6" w:rsidR="00227557" w:rsidRDefault="00227557" w:rsidP="00227557">
      <w:pPr>
        <w:pStyle w:val="Paragraphe"/>
        <w:numPr>
          <w:ilvl w:val="0"/>
          <w:numId w:val="1"/>
        </w:numPr>
        <w:tabs>
          <w:tab w:val="clear" w:pos="360"/>
          <w:tab w:val="num" w:pos="851"/>
        </w:tabs>
        <w:spacing w:line="240" w:lineRule="auto"/>
      </w:pPr>
      <w:r>
        <w:t>S</w:t>
      </w:r>
      <w:r w:rsidRPr="00227557">
        <w:t>elon la preuve au procès, l’accusé s’entoure de mauvaises fréquentations. Ses complices Hakim et Cleopha, avec lesquels l’accusé se trouvait fréquemment pendant l’enquête, sont fortement criminalisés. Hakim avait une panoplie d’antécédents judiciaires de trafic de drogues dures, de recel, de bris de probation, de bris de conditions et d’entrave au travail d’un policier</w:t>
      </w:r>
      <w:r w:rsidRPr="00227557">
        <w:rPr>
          <w:rStyle w:val="Appelnotedebasdep"/>
        </w:rPr>
        <w:footnoteReference w:id="116"/>
      </w:r>
      <w:r w:rsidRPr="00227557">
        <w:t>. Quant à Cleopha, il avait plusieurs antécédents de trafic de drogues, de bris de conditions et d’entrave au travail d’un policier</w:t>
      </w:r>
      <w:r w:rsidRPr="00227557">
        <w:rPr>
          <w:rStyle w:val="Appelnotedebasdep"/>
        </w:rPr>
        <w:footnoteReference w:id="117"/>
      </w:r>
      <w:r w:rsidRPr="00227557">
        <w:t>.</w:t>
      </w:r>
    </w:p>
    <w:p w14:paraId="4931B414" w14:textId="1D37AD88" w:rsidR="00B42660" w:rsidRDefault="00B42660" w:rsidP="00227557">
      <w:pPr>
        <w:pStyle w:val="Paragraphe"/>
        <w:numPr>
          <w:ilvl w:val="0"/>
          <w:numId w:val="1"/>
        </w:numPr>
        <w:tabs>
          <w:tab w:val="clear" w:pos="360"/>
          <w:tab w:val="num" w:pos="851"/>
        </w:tabs>
        <w:spacing w:line="240" w:lineRule="auto"/>
      </w:pPr>
      <w:r>
        <w:t>Simon avait une munition d’arme à feu dans la console centrale de son véhicule. Ceci n’est guère rassurant.</w:t>
      </w:r>
    </w:p>
    <w:p w14:paraId="50C4880A" w14:textId="170274E7" w:rsidR="00227557" w:rsidRDefault="00227557" w:rsidP="00227557">
      <w:pPr>
        <w:pStyle w:val="Paragraphe"/>
        <w:numPr>
          <w:ilvl w:val="0"/>
          <w:numId w:val="1"/>
        </w:numPr>
        <w:tabs>
          <w:tab w:val="clear" w:pos="360"/>
          <w:tab w:val="num" w:pos="851"/>
        </w:tabs>
        <w:spacing w:line="240" w:lineRule="auto"/>
      </w:pPr>
      <w:r>
        <w:t>Il appert que le mode de vie de Simon est entièrement axé sur la criminalité.</w:t>
      </w:r>
    </w:p>
    <w:p w14:paraId="69C0CD19" w14:textId="2926C6F5" w:rsidR="00227557" w:rsidRDefault="00227557" w:rsidP="00227557">
      <w:pPr>
        <w:pStyle w:val="Paragraphe"/>
        <w:numPr>
          <w:ilvl w:val="0"/>
          <w:numId w:val="1"/>
        </w:numPr>
        <w:tabs>
          <w:tab w:val="clear" w:pos="360"/>
          <w:tab w:val="num" w:pos="851"/>
        </w:tabs>
        <w:spacing w:line="240" w:lineRule="auto"/>
      </w:pPr>
      <w:r>
        <w:t>Le Tribunal accorde un poids prépondérant aux facteurs de dénonciation et de dissuasion, tant générale que spécifique. La peine imposée doit au premier plan lancer un sérieux message à Simon. Il a besoin d’une bonne sonnette d’alarme pour qu’il comprenne qu’il doit se mobiliser et changer ses anciennes habitudes, même si elles sont bien ancrées.</w:t>
      </w:r>
    </w:p>
    <w:p w14:paraId="40C97BAA" w14:textId="50D0C795" w:rsidR="00227557" w:rsidRDefault="00227557" w:rsidP="00227557">
      <w:pPr>
        <w:pStyle w:val="Paragraphe"/>
        <w:numPr>
          <w:ilvl w:val="0"/>
          <w:numId w:val="1"/>
        </w:numPr>
        <w:tabs>
          <w:tab w:val="clear" w:pos="360"/>
          <w:tab w:val="num" w:pos="851"/>
        </w:tabs>
        <w:spacing w:line="240" w:lineRule="auto"/>
      </w:pPr>
      <w:r>
        <w:t>La peine doit aussi décourager tous ceux qui seraient enclins à s’adonner à des activités semblables. Le crime de poss</w:t>
      </w:r>
      <w:r w:rsidRPr="00714591">
        <w:t>ession en vue de trafic est continu; il ne s’agit pas d’une infraction impulsive, spontanée</w:t>
      </w:r>
      <w:r w:rsidR="00714591" w:rsidRPr="00714591">
        <w:t xml:space="preserve"> o</w:t>
      </w:r>
      <w:r w:rsidRPr="00714591">
        <w:t>u résultant</w:t>
      </w:r>
      <w:r>
        <w:t xml:space="preserve"> d’une erreur de jugement momentanée. Le message de dissuasion est donc pleinement engagé. Il agit comme avertissement on ne peut plus </w:t>
      </w:r>
      <w:r w:rsidR="00B42660">
        <w:t>simple : si vous vous lancez dans le commerce du crack, de longues peines d’emprisonnement sont à prévoir.</w:t>
      </w:r>
    </w:p>
    <w:p w14:paraId="36B198AE" w14:textId="74C84E18" w:rsidR="00227557" w:rsidRDefault="00227557" w:rsidP="00B42660">
      <w:pPr>
        <w:pStyle w:val="Paragraphe"/>
        <w:numPr>
          <w:ilvl w:val="0"/>
          <w:numId w:val="1"/>
        </w:numPr>
        <w:tabs>
          <w:tab w:val="clear" w:pos="360"/>
          <w:tab w:val="num" w:pos="851"/>
        </w:tabs>
        <w:spacing w:line="240" w:lineRule="auto"/>
      </w:pPr>
      <w:r>
        <w:t>Certes, dans certains cas, le facteur de réhabilitation peut être un critère prépondérant « en présence d’une démonstration particulièrement convaincante ». En l’espèce, aucune preuve du potentiel de réhabilitation de Simon n’a été faite</w:t>
      </w:r>
      <w:r>
        <w:rPr>
          <w:rStyle w:val="Appelnotedebasdep"/>
          <w:rFonts w:cs="Arial"/>
          <w:color w:val="000000"/>
        </w:rPr>
        <w:footnoteReference w:id="118"/>
      </w:r>
      <w:r>
        <w:t xml:space="preserve">. Elle n’est pas convaincante; elle est </w:t>
      </w:r>
      <w:r w:rsidR="00B42660">
        <w:t xml:space="preserve">plutôt </w:t>
      </w:r>
      <w:r>
        <w:t>nulle.</w:t>
      </w:r>
    </w:p>
    <w:p w14:paraId="77BABEEC" w14:textId="77777777" w:rsidR="00B42660" w:rsidRDefault="00B42660" w:rsidP="00B42660">
      <w:pPr>
        <w:pStyle w:val="Paragraphe"/>
        <w:numPr>
          <w:ilvl w:val="0"/>
          <w:numId w:val="1"/>
        </w:numPr>
        <w:tabs>
          <w:tab w:val="clear" w:pos="360"/>
          <w:tab w:val="num" w:pos="851"/>
        </w:tabs>
        <w:spacing w:line="240" w:lineRule="auto"/>
      </w:pPr>
      <w:r>
        <w:t xml:space="preserve">Aucune preuve ne permet de conclure que l’accusé </w:t>
      </w:r>
      <w:r w:rsidR="00227557">
        <w:t xml:space="preserve">est </w:t>
      </w:r>
      <w:r>
        <w:t>s</w:t>
      </w:r>
      <w:r w:rsidR="00227557">
        <w:t>ur la voie de réhabilitation.</w:t>
      </w:r>
      <w:r>
        <w:t xml:space="preserve"> Aucun effort de réhabilitation n’est entrepris.</w:t>
      </w:r>
    </w:p>
    <w:p w14:paraId="79AB15EA" w14:textId="29E8B950" w:rsidR="006449C8" w:rsidRPr="00B42660" w:rsidRDefault="006449C8" w:rsidP="00B42660">
      <w:pPr>
        <w:pStyle w:val="Paragraphe"/>
        <w:numPr>
          <w:ilvl w:val="0"/>
          <w:numId w:val="1"/>
        </w:numPr>
        <w:tabs>
          <w:tab w:val="clear" w:pos="360"/>
          <w:tab w:val="num" w:pos="851"/>
        </w:tabs>
        <w:spacing w:line="240" w:lineRule="auto"/>
      </w:pPr>
      <w:r w:rsidRPr="006449C8">
        <w:t>Le Tribunal note</w:t>
      </w:r>
      <w:r w:rsidR="00B42660">
        <w:t xml:space="preserve"> enfin </w:t>
      </w:r>
      <w:r>
        <w:t>que la défense sollicite une peine</w:t>
      </w:r>
      <w:r w:rsidR="00B42660">
        <w:t xml:space="preserve"> qui serait</w:t>
      </w:r>
      <w:r>
        <w:t xml:space="preserve"> équivalente à celles imposées aux délinquants </w:t>
      </w:r>
      <w:r w:rsidRPr="00B42660">
        <w:rPr>
          <w:b/>
          <w:bCs/>
          <w:i/>
          <w:iCs/>
        </w:rPr>
        <w:t>Dorvilus</w:t>
      </w:r>
      <w:r w:rsidR="00AE5DEC">
        <w:t xml:space="preserve">, </w:t>
      </w:r>
      <w:r w:rsidR="00AE5DEC" w:rsidRPr="00B42660">
        <w:rPr>
          <w:b/>
          <w:bCs/>
          <w:i/>
          <w:iCs/>
        </w:rPr>
        <w:t>Moreira</w:t>
      </w:r>
      <w:r>
        <w:t xml:space="preserve"> et </w:t>
      </w:r>
      <w:r w:rsidRPr="00B42660">
        <w:rPr>
          <w:b/>
          <w:bCs/>
          <w:i/>
          <w:iCs/>
        </w:rPr>
        <w:t>Blagrove</w:t>
      </w:r>
      <w:r>
        <w:t xml:space="preserve"> dans les arrêts de principe</w:t>
      </w:r>
      <w:r w:rsidR="00CE1338">
        <w:t xml:space="preserve"> bien connus</w:t>
      </w:r>
      <w:r>
        <w:t xml:space="preserve">. </w:t>
      </w:r>
      <w:r w:rsidR="00CE1338">
        <w:t xml:space="preserve">Or, dans ces </w:t>
      </w:r>
      <w:r w:rsidR="00AE5DEC">
        <w:t>trois</w:t>
      </w:r>
      <w:r w:rsidR="00CE1338">
        <w:t xml:space="preserve"> affaires, les accusés avaient plaidé coupable. Ils étaient des délinquants primaires. </w:t>
      </w:r>
      <w:r w:rsidR="00BE05BC">
        <w:t xml:space="preserve">Deux d’entre eux </w:t>
      </w:r>
      <w:r w:rsidR="00CE1338">
        <w:t xml:space="preserve">étaient pères de famille. Surtout, Simon avait en sa possession une quantité </w:t>
      </w:r>
      <w:r w:rsidR="00CE1338" w:rsidRPr="00B93E03">
        <w:t>exponentiellement</w:t>
      </w:r>
      <w:r w:rsidR="00CE1338">
        <w:t xml:space="preserve"> plus grande de stupéfiants</w:t>
      </w:r>
      <w:r w:rsidR="00B42660">
        <w:t xml:space="preserve"> que celles dans ces arrêts</w:t>
      </w:r>
      <w:r w:rsidR="00CE1338">
        <w:t>.</w:t>
      </w:r>
    </w:p>
    <w:p w14:paraId="00855402" w14:textId="4E724B94" w:rsidR="00CE1338" w:rsidRPr="006449C8" w:rsidRDefault="00CE1338" w:rsidP="006449C8">
      <w:pPr>
        <w:pStyle w:val="Paragraphe"/>
        <w:numPr>
          <w:ilvl w:val="0"/>
          <w:numId w:val="1"/>
        </w:numPr>
        <w:tabs>
          <w:tab w:val="clear" w:pos="360"/>
          <w:tab w:val="num" w:pos="851"/>
        </w:tabs>
        <w:spacing w:line="240" w:lineRule="auto"/>
      </w:pPr>
      <w:r>
        <w:t xml:space="preserve">Son degré de culpabilité morale est à des années-lumière de celui de </w:t>
      </w:r>
      <w:r>
        <w:rPr>
          <w:b/>
          <w:bCs/>
          <w:i/>
          <w:iCs/>
        </w:rPr>
        <w:t>Dorvilus</w:t>
      </w:r>
      <w:r>
        <w:t>,</w:t>
      </w:r>
      <w:r w:rsidR="00AE5DEC">
        <w:t xml:space="preserve"> </w:t>
      </w:r>
      <w:r w:rsidR="00AE5DEC">
        <w:rPr>
          <w:b/>
          <w:bCs/>
          <w:i/>
          <w:iCs/>
        </w:rPr>
        <w:t>Moreira</w:t>
      </w:r>
      <w:r w:rsidR="00AE5DEC">
        <w:t xml:space="preserve"> et</w:t>
      </w:r>
      <w:r>
        <w:t xml:space="preserve"> </w:t>
      </w:r>
      <w:r>
        <w:rPr>
          <w:b/>
          <w:bCs/>
          <w:i/>
          <w:iCs/>
        </w:rPr>
        <w:t>Blagrove</w:t>
      </w:r>
      <w:r>
        <w:t>.</w:t>
      </w:r>
    </w:p>
    <w:p w14:paraId="4D3BD825" w14:textId="27A39BB5" w:rsidR="008C0475" w:rsidRPr="00C8535F" w:rsidRDefault="008C0475" w:rsidP="00C8535F">
      <w:pPr>
        <w:pStyle w:val="Paragraphe"/>
        <w:numPr>
          <w:ilvl w:val="0"/>
          <w:numId w:val="1"/>
        </w:numPr>
        <w:tabs>
          <w:tab w:val="clear" w:pos="360"/>
          <w:tab w:val="num" w:pos="851"/>
        </w:tabs>
        <w:spacing w:line="240" w:lineRule="auto"/>
      </w:pPr>
      <w:r w:rsidRPr="00C8535F">
        <w:t xml:space="preserve">Mettant en balance toutes les circonstances entourant la commission de </w:t>
      </w:r>
      <w:r w:rsidR="00C8535F" w:rsidRPr="00C8535F">
        <w:t>l’</w:t>
      </w:r>
      <w:r w:rsidRPr="00C8535F">
        <w:t>infraction, tenant compte des facteurs aggravants et considérant les principes jurisprudentiels applicables, le Tribunal conclut qu</w:t>
      </w:r>
      <w:r w:rsidR="00C8535F" w:rsidRPr="00C8535F">
        <w:t xml:space="preserve">e la peine de 48 mois demandée par la Couronne est </w:t>
      </w:r>
      <w:r w:rsidR="00C8535F">
        <w:t>proportionnelle et appropriée</w:t>
      </w:r>
      <w:r w:rsidR="00C8535F" w:rsidRPr="00C8535F">
        <w:t>, quoiqu’une peine encore plus sévère aurait pu être envisagée.</w:t>
      </w:r>
    </w:p>
    <w:p w14:paraId="4763B25A" w14:textId="56BE1151" w:rsidR="008C0475" w:rsidRDefault="008C0475" w:rsidP="008C0475"/>
    <w:p w14:paraId="3F4D0E59" w14:textId="77777777" w:rsidR="00B8096D" w:rsidRDefault="0010574B" w:rsidP="00B8096D">
      <w:pPr>
        <w:pStyle w:val="Titre1"/>
        <w:rPr>
          <w:sz w:val="24"/>
          <w:szCs w:val="24"/>
          <w:u w:val="single"/>
        </w:rPr>
      </w:pPr>
      <w:bookmarkStart w:id="6" w:name="_Toc113987392"/>
      <w:r>
        <w:rPr>
          <w:sz w:val="24"/>
          <w:szCs w:val="24"/>
          <w:u w:val="single"/>
        </w:rPr>
        <w:t>CON</w:t>
      </w:r>
      <w:r w:rsidR="00B8096D">
        <w:rPr>
          <w:sz w:val="24"/>
          <w:szCs w:val="24"/>
          <w:u w:val="single"/>
        </w:rPr>
        <w:t>CLUSION</w:t>
      </w:r>
      <w:bookmarkEnd w:id="6"/>
    </w:p>
    <w:p w14:paraId="0A2C40EE" w14:textId="5D8B4256" w:rsidR="00DC121A" w:rsidRDefault="00DC121A" w:rsidP="00A30218">
      <w:pPr>
        <w:pStyle w:val="Titre1"/>
        <w:rPr>
          <w:sz w:val="24"/>
          <w:szCs w:val="24"/>
          <w:lang w:val="fr-FR"/>
        </w:rPr>
      </w:pPr>
      <w:bookmarkStart w:id="7" w:name="_Toc113987393"/>
      <w:r w:rsidRPr="00F33E8C">
        <w:rPr>
          <w:sz w:val="24"/>
          <w:szCs w:val="24"/>
          <w:lang w:val="fr-FR"/>
        </w:rPr>
        <w:t>POUR CES MOTIFS</w:t>
      </w:r>
      <w:r w:rsidR="00BF5E10">
        <w:rPr>
          <w:sz w:val="24"/>
          <w:szCs w:val="24"/>
          <w:lang w:val="fr-FR"/>
        </w:rPr>
        <w:t>, le Tribunal</w:t>
      </w:r>
      <w:r w:rsidR="00C83BCA">
        <w:rPr>
          <w:sz w:val="24"/>
          <w:szCs w:val="24"/>
          <w:lang w:val="fr-FR"/>
        </w:rPr>
        <w:t xml:space="preserve"> </w:t>
      </w:r>
      <w:r w:rsidR="00A30218" w:rsidRPr="00F33E8C">
        <w:rPr>
          <w:sz w:val="24"/>
          <w:szCs w:val="24"/>
          <w:lang w:val="fr-FR"/>
        </w:rPr>
        <w:t>:</w:t>
      </w:r>
      <w:bookmarkEnd w:id="7"/>
    </w:p>
    <w:p w14:paraId="244040F2" w14:textId="77777777" w:rsidR="00C83BCA" w:rsidRDefault="00C83BCA" w:rsidP="00C83BCA">
      <w:pPr>
        <w:pStyle w:val="Paragraphe"/>
        <w:numPr>
          <w:ilvl w:val="0"/>
          <w:numId w:val="0"/>
        </w:numPr>
        <w:spacing w:before="0" w:after="0" w:line="240" w:lineRule="auto"/>
        <w:rPr>
          <w:lang w:val="fr-FR"/>
        </w:rPr>
      </w:pPr>
    </w:p>
    <w:p w14:paraId="1685C0C0" w14:textId="2517048A" w:rsidR="00C83BCA" w:rsidRDefault="00BF5E10" w:rsidP="00BF5E10">
      <w:pPr>
        <w:pStyle w:val="Paragraphe"/>
        <w:numPr>
          <w:ilvl w:val="0"/>
          <w:numId w:val="0"/>
        </w:numPr>
        <w:spacing w:before="0" w:after="0" w:line="240" w:lineRule="auto"/>
        <w:ind w:left="1418"/>
        <w:rPr>
          <w:lang w:val="fr-FR"/>
        </w:rPr>
      </w:pPr>
      <w:r>
        <w:rPr>
          <w:b/>
          <w:bCs/>
          <w:lang w:val="fr-FR"/>
        </w:rPr>
        <w:t>PRONONCE</w:t>
      </w:r>
      <w:r>
        <w:rPr>
          <w:lang w:val="fr-FR"/>
        </w:rPr>
        <w:t xml:space="preserve"> des peines de 48 mois d’emprisonnement sur chacun des chefs à être </w:t>
      </w:r>
      <w:r w:rsidRPr="00714591">
        <w:rPr>
          <w:lang w:val="fr-FR"/>
        </w:rPr>
        <w:t>purgée</w:t>
      </w:r>
      <w:r w:rsidR="00714591" w:rsidRPr="00714591">
        <w:rPr>
          <w:lang w:val="fr-FR"/>
        </w:rPr>
        <w:t>s</w:t>
      </w:r>
      <w:r w:rsidRPr="00714591">
        <w:rPr>
          <w:lang w:val="fr-FR"/>
        </w:rPr>
        <w:t xml:space="preserve"> </w:t>
      </w:r>
      <w:r>
        <w:rPr>
          <w:lang w:val="fr-FR"/>
        </w:rPr>
        <w:t xml:space="preserve">de façon concurrente entre </w:t>
      </w:r>
      <w:r w:rsidR="00714591">
        <w:rPr>
          <w:lang w:val="fr-FR"/>
        </w:rPr>
        <w:t>elles.</w:t>
      </w:r>
    </w:p>
    <w:p w14:paraId="04E11711" w14:textId="4A3EABE2" w:rsidR="00BF5E10" w:rsidRDefault="00BF5E10" w:rsidP="00BF5E10">
      <w:pPr>
        <w:pStyle w:val="Paragraphe"/>
        <w:numPr>
          <w:ilvl w:val="0"/>
          <w:numId w:val="0"/>
        </w:numPr>
        <w:spacing w:before="0" w:after="0" w:line="240" w:lineRule="auto"/>
        <w:ind w:left="1418"/>
        <w:rPr>
          <w:lang w:val="fr-FR"/>
        </w:rPr>
      </w:pPr>
    </w:p>
    <w:p w14:paraId="6154EC98" w14:textId="0332205D" w:rsidR="00BF5E10" w:rsidRDefault="00BF5E10" w:rsidP="00BF5E10">
      <w:pPr>
        <w:pStyle w:val="Paragraphe"/>
        <w:numPr>
          <w:ilvl w:val="0"/>
          <w:numId w:val="0"/>
        </w:numPr>
        <w:spacing w:before="0" w:after="0" w:line="240" w:lineRule="auto"/>
        <w:ind w:left="1418"/>
        <w:rPr>
          <w:lang w:val="fr-FR"/>
        </w:rPr>
      </w:pPr>
      <w:r>
        <w:rPr>
          <w:b/>
          <w:bCs/>
          <w:lang w:val="fr-FR"/>
        </w:rPr>
        <w:t>PREND ACTE</w:t>
      </w:r>
      <w:r>
        <w:rPr>
          <w:lang w:val="fr-FR"/>
        </w:rPr>
        <w:t xml:space="preserve"> des </w:t>
      </w:r>
      <w:r w:rsidR="00CA5C11">
        <w:rPr>
          <w:lang w:val="fr-FR"/>
        </w:rPr>
        <w:t>392</w:t>
      </w:r>
      <w:r>
        <w:rPr>
          <w:lang w:val="fr-FR"/>
        </w:rPr>
        <w:t xml:space="preserve"> jours déjà purgés en détention pré-sentencielle.</w:t>
      </w:r>
    </w:p>
    <w:p w14:paraId="735BEED5" w14:textId="28E64509" w:rsidR="0080242A" w:rsidRDefault="0080242A" w:rsidP="00BF5E10">
      <w:pPr>
        <w:pStyle w:val="Paragraphe"/>
        <w:numPr>
          <w:ilvl w:val="0"/>
          <w:numId w:val="0"/>
        </w:numPr>
        <w:spacing w:before="0" w:after="0" w:line="240" w:lineRule="auto"/>
        <w:ind w:left="1418"/>
        <w:rPr>
          <w:lang w:val="fr-FR"/>
        </w:rPr>
      </w:pPr>
    </w:p>
    <w:p w14:paraId="24F3343A" w14:textId="56216F99" w:rsidR="0080242A" w:rsidRPr="0080242A" w:rsidRDefault="0080242A" w:rsidP="00BF5E10">
      <w:pPr>
        <w:pStyle w:val="Paragraphe"/>
        <w:numPr>
          <w:ilvl w:val="0"/>
          <w:numId w:val="0"/>
        </w:numPr>
        <w:spacing w:before="0" w:after="0" w:line="240" w:lineRule="auto"/>
        <w:ind w:left="1418"/>
        <w:rPr>
          <w:lang w:val="fr-FR"/>
        </w:rPr>
      </w:pPr>
      <w:r>
        <w:rPr>
          <w:b/>
          <w:bCs/>
          <w:lang w:val="fr-FR"/>
        </w:rPr>
        <w:t>ACCORDE</w:t>
      </w:r>
      <w:r>
        <w:rPr>
          <w:lang w:val="fr-FR"/>
        </w:rPr>
        <w:t xml:space="preserve"> selon un ratio de 1.5:1 en vertu de l’art. 719(3.1) </w:t>
      </w:r>
      <w:r>
        <w:rPr>
          <w:i/>
          <w:iCs/>
          <w:lang w:val="fr-FR"/>
        </w:rPr>
        <w:t>C.cr.</w:t>
      </w:r>
      <w:r>
        <w:rPr>
          <w:lang w:val="fr-FR"/>
        </w:rPr>
        <w:t xml:space="preserve"> un crédit de 5</w:t>
      </w:r>
      <w:r w:rsidR="00CA5C11">
        <w:rPr>
          <w:lang w:val="fr-FR"/>
        </w:rPr>
        <w:t>88</w:t>
      </w:r>
      <w:r>
        <w:rPr>
          <w:rStyle w:val="Appelnotedebasdep"/>
          <w:lang w:val="fr-FR"/>
        </w:rPr>
        <w:footnoteReference w:id="119"/>
      </w:r>
      <w:r>
        <w:rPr>
          <w:lang w:val="fr-FR"/>
        </w:rPr>
        <w:t xml:space="preserve"> jours pour la détention pré-sentencielle.</w:t>
      </w:r>
    </w:p>
    <w:p w14:paraId="1A2D468C" w14:textId="2CD0C4FB" w:rsidR="00BF5E10" w:rsidRDefault="00BF5E10" w:rsidP="00BF5E10">
      <w:pPr>
        <w:pStyle w:val="Paragraphe"/>
        <w:numPr>
          <w:ilvl w:val="0"/>
          <w:numId w:val="0"/>
        </w:numPr>
        <w:spacing w:before="0" w:after="0" w:line="240" w:lineRule="auto"/>
        <w:ind w:left="1418"/>
        <w:rPr>
          <w:lang w:val="fr-FR"/>
        </w:rPr>
      </w:pPr>
    </w:p>
    <w:p w14:paraId="6021A2C7" w14:textId="101145F8" w:rsidR="00BF5E10" w:rsidRDefault="00BF5E10" w:rsidP="00BF5E10">
      <w:pPr>
        <w:pStyle w:val="Paragraphe"/>
        <w:numPr>
          <w:ilvl w:val="0"/>
          <w:numId w:val="0"/>
        </w:numPr>
        <w:spacing w:before="0" w:after="0" w:line="240" w:lineRule="auto"/>
        <w:ind w:left="1418"/>
        <w:rPr>
          <w:lang w:val="fr-FR"/>
        </w:rPr>
      </w:pPr>
      <w:r>
        <w:rPr>
          <w:b/>
          <w:bCs/>
          <w:lang w:val="fr-FR"/>
        </w:rPr>
        <w:t>INFLIGE</w:t>
      </w:r>
      <w:r>
        <w:rPr>
          <w:lang w:val="fr-FR"/>
        </w:rPr>
        <w:t xml:space="preserve"> donc des </w:t>
      </w:r>
      <w:r w:rsidRPr="00714591">
        <w:rPr>
          <w:lang w:val="fr-FR"/>
        </w:rPr>
        <w:t xml:space="preserve">peines de </w:t>
      </w:r>
      <w:r w:rsidR="00CA5C11" w:rsidRPr="00714591">
        <w:rPr>
          <w:u w:val="single"/>
          <w:lang w:val="fr-FR"/>
        </w:rPr>
        <w:t>28</w:t>
      </w:r>
      <w:r w:rsidR="0080242A" w:rsidRPr="00714591">
        <w:rPr>
          <w:u w:val="single"/>
          <w:lang w:val="fr-FR"/>
        </w:rPr>
        <w:t xml:space="preserve"> mois et </w:t>
      </w:r>
      <w:r w:rsidR="00CA5C11" w:rsidRPr="00714591">
        <w:rPr>
          <w:u w:val="single"/>
          <w:lang w:val="fr-FR"/>
        </w:rPr>
        <w:t>2</w:t>
      </w:r>
      <w:r w:rsidR="0080242A" w:rsidRPr="00714591">
        <w:rPr>
          <w:u w:val="single"/>
          <w:lang w:val="fr-FR"/>
        </w:rPr>
        <w:t>0 jours</w:t>
      </w:r>
      <w:r w:rsidRPr="00714591">
        <w:rPr>
          <w:u w:val="single"/>
          <w:lang w:val="fr-FR"/>
        </w:rPr>
        <w:t xml:space="preserve"> d’emprisonnement de ce jour</w:t>
      </w:r>
      <w:r w:rsidRPr="00714591">
        <w:rPr>
          <w:lang w:val="fr-FR"/>
        </w:rPr>
        <w:t xml:space="preserve">, à être </w:t>
      </w:r>
      <w:r w:rsidR="00D45302" w:rsidRPr="00714591">
        <w:rPr>
          <w:lang w:val="fr-FR"/>
        </w:rPr>
        <w:t>purgées</w:t>
      </w:r>
      <w:r>
        <w:rPr>
          <w:lang w:val="fr-FR"/>
        </w:rPr>
        <w:t xml:space="preserve"> de façon concurrente entre les chefs.</w:t>
      </w:r>
    </w:p>
    <w:p w14:paraId="52B2EDBE" w14:textId="35577FA5" w:rsidR="00BF5E10" w:rsidRDefault="00BF5E10" w:rsidP="00BF5E10">
      <w:pPr>
        <w:pStyle w:val="Paragraphe"/>
        <w:numPr>
          <w:ilvl w:val="0"/>
          <w:numId w:val="0"/>
        </w:numPr>
        <w:spacing w:before="0" w:after="0" w:line="240" w:lineRule="auto"/>
        <w:ind w:left="1418"/>
        <w:rPr>
          <w:lang w:val="fr-FR"/>
        </w:rPr>
      </w:pPr>
    </w:p>
    <w:p w14:paraId="78C8ACD0" w14:textId="61172830" w:rsidR="00BF5E10" w:rsidRDefault="00BF5E10" w:rsidP="00BF5E10">
      <w:pPr>
        <w:pStyle w:val="Paragraphe"/>
        <w:numPr>
          <w:ilvl w:val="0"/>
          <w:numId w:val="0"/>
        </w:numPr>
        <w:spacing w:before="0" w:after="0" w:line="240" w:lineRule="auto"/>
        <w:ind w:left="1418"/>
        <w:rPr>
          <w:lang w:val="fr-FR"/>
        </w:rPr>
      </w:pPr>
      <w:r>
        <w:rPr>
          <w:b/>
          <w:bCs/>
          <w:lang w:val="fr-FR"/>
        </w:rPr>
        <w:t>AUTORISE</w:t>
      </w:r>
      <w:r w:rsidRPr="00A40DEE">
        <w:rPr>
          <w:lang w:val="fr-FR"/>
        </w:rPr>
        <w:t xml:space="preserve"> en vertu de l’art. 487.051(1) </w:t>
      </w:r>
      <w:r w:rsidRPr="00A40DEE">
        <w:rPr>
          <w:i/>
          <w:lang w:val="fr-FR"/>
        </w:rPr>
        <w:t>C.cr.</w:t>
      </w:r>
      <w:r w:rsidRPr="00A40DEE">
        <w:rPr>
          <w:lang w:val="fr-FR"/>
        </w:rPr>
        <w:t xml:space="preserve"> le prélèvement du nombre d’échantillons de substances corporelles de l’accusé jugé nécessaire pour analyse génétique</w:t>
      </w:r>
      <w:r>
        <w:rPr>
          <w:lang w:val="fr-FR"/>
        </w:rPr>
        <w:t>.</w:t>
      </w:r>
    </w:p>
    <w:p w14:paraId="506DA748" w14:textId="19B759F0" w:rsidR="00BF5E10" w:rsidRDefault="00BF5E10" w:rsidP="00BF5E10">
      <w:pPr>
        <w:pStyle w:val="Paragraphe"/>
        <w:numPr>
          <w:ilvl w:val="0"/>
          <w:numId w:val="0"/>
        </w:numPr>
        <w:spacing w:before="0" w:after="0" w:line="240" w:lineRule="auto"/>
        <w:ind w:left="1418"/>
        <w:rPr>
          <w:lang w:val="fr-FR"/>
        </w:rPr>
      </w:pPr>
    </w:p>
    <w:p w14:paraId="43869BC0" w14:textId="77777777" w:rsidR="00BF5E10" w:rsidRPr="00A40DEE" w:rsidRDefault="00BF5E10" w:rsidP="00BF5E10">
      <w:pPr>
        <w:pStyle w:val="Paragraphe"/>
        <w:numPr>
          <w:ilvl w:val="0"/>
          <w:numId w:val="0"/>
        </w:numPr>
        <w:spacing w:line="240" w:lineRule="auto"/>
        <w:ind w:left="1418"/>
        <w:rPr>
          <w:rFonts w:cs="Arial"/>
          <w:szCs w:val="24"/>
          <w:lang w:val="fr-FR"/>
        </w:rPr>
      </w:pPr>
      <w:r w:rsidRPr="00A40DEE">
        <w:rPr>
          <w:b/>
          <w:lang w:val="fr-FR"/>
        </w:rPr>
        <w:t>PRONONCE</w:t>
      </w:r>
      <w:r w:rsidRPr="00A40DEE">
        <w:rPr>
          <w:lang w:val="fr-FR"/>
        </w:rPr>
        <w:t xml:space="preserve"> en vertu de l’art. 109 </w:t>
      </w:r>
      <w:r w:rsidRPr="00A40DEE">
        <w:rPr>
          <w:i/>
          <w:lang w:val="fr-FR"/>
        </w:rPr>
        <w:t>C.cr.</w:t>
      </w:r>
      <w:r w:rsidRPr="00A40DEE">
        <w:rPr>
          <w:lang w:val="fr-FR"/>
        </w:rPr>
        <w:t xml:space="preserve"> </w:t>
      </w:r>
      <w:r w:rsidRPr="00A40DEE">
        <w:rPr>
          <w:rFonts w:cs="Arial"/>
          <w:szCs w:val="24"/>
        </w:rPr>
        <w:t xml:space="preserve">une ordonnance interdisant à l’accusé </w:t>
      </w:r>
      <w:r w:rsidRPr="00A40DEE">
        <w:rPr>
          <w:rFonts w:cs="Arial"/>
          <w:szCs w:val="24"/>
          <w:lang w:val="fr-FR"/>
        </w:rPr>
        <w:t>d’avoir en sa possession des armes à feu, arbalètes, armes prohibées, armes à autorisation restreinte, dispositifs prohibés, munitions, munitions prohibées et substances explosives :</w:t>
      </w:r>
    </w:p>
    <w:p w14:paraId="1E11DE68" w14:textId="7FF28B00" w:rsidR="00BF5E10" w:rsidRPr="00A40DEE" w:rsidRDefault="00BF5E10" w:rsidP="00BF5E10">
      <w:pPr>
        <w:pStyle w:val="Paragraphe"/>
        <w:numPr>
          <w:ilvl w:val="0"/>
          <w:numId w:val="0"/>
        </w:numPr>
        <w:spacing w:line="240" w:lineRule="auto"/>
        <w:ind w:left="2977" w:hanging="1"/>
        <w:rPr>
          <w:rFonts w:cs="Arial"/>
          <w:szCs w:val="24"/>
          <w:lang w:val="fr-FR"/>
        </w:rPr>
      </w:pPr>
      <w:r w:rsidRPr="00A40DEE">
        <w:rPr>
          <w:lang w:val="fr-FR"/>
        </w:rPr>
        <w:t xml:space="preserve">-quant aux </w:t>
      </w:r>
      <w:r w:rsidRPr="00A40DEE">
        <w:rPr>
          <w:rFonts w:cs="Arial"/>
          <w:szCs w:val="24"/>
          <w:lang w:val="fr-FR"/>
        </w:rPr>
        <w:t>armes à feu prohibées, armes à feu à autorisation restreinte, armes prohibées, dispositifs prohibés et munitions prohibées, l’interdiction sera à perpétuité en vertu de l’art.</w:t>
      </w:r>
      <w:r w:rsidR="006F62DE">
        <w:rPr>
          <w:rFonts w:cs="Arial"/>
          <w:szCs w:val="24"/>
          <w:lang w:val="fr-FR"/>
        </w:rPr>
        <w:t> </w:t>
      </w:r>
      <w:r w:rsidRPr="00A40DEE">
        <w:rPr>
          <w:rFonts w:cs="Arial"/>
          <w:szCs w:val="24"/>
          <w:lang w:val="fr-FR"/>
        </w:rPr>
        <w:t xml:space="preserve">109(2)(b) </w:t>
      </w:r>
      <w:r w:rsidRPr="00A40DEE">
        <w:rPr>
          <w:rFonts w:cs="Arial"/>
          <w:i/>
          <w:szCs w:val="24"/>
          <w:lang w:val="fr-FR"/>
        </w:rPr>
        <w:t>C.cr.</w:t>
      </w:r>
      <w:r w:rsidRPr="00A40DEE">
        <w:rPr>
          <w:rFonts w:cs="Arial"/>
          <w:szCs w:val="24"/>
          <w:lang w:val="fr-FR"/>
        </w:rPr>
        <w:t>;</w:t>
      </w:r>
    </w:p>
    <w:p w14:paraId="2A020B6E" w14:textId="3E6B27BC" w:rsidR="00BF5E10" w:rsidRDefault="00BF5E10" w:rsidP="00BF5E10">
      <w:pPr>
        <w:pStyle w:val="Paragraphe"/>
        <w:numPr>
          <w:ilvl w:val="0"/>
          <w:numId w:val="0"/>
        </w:numPr>
        <w:spacing w:before="0" w:after="0" w:line="240" w:lineRule="auto"/>
        <w:ind w:left="2977"/>
        <w:rPr>
          <w:lang w:val="fr-FR"/>
        </w:rPr>
      </w:pPr>
      <w:r w:rsidRPr="00A40DEE">
        <w:rPr>
          <w:lang w:val="fr-FR"/>
        </w:rPr>
        <w:t xml:space="preserve">-quant </w:t>
      </w:r>
      <w:r w:rsidRPr="00714591">
        <w:rPr>
          <w:rFonts w:cs="Arial"/>
          <w:szCs w:val="24"/>
          <w:lang w:val="fr-FR"/>
        </w:rPr>
        <w:t>aux autres armes à feu, arbalètes, armes à autorisation restreinte, munitions et substances explosives, l’interdiction sera d’une durée</w:t>
      </w:r>
      <w:r w:rsidRPr="00A40DEE">
        <w:rPr>
          <w:rFonts w:cs="Arial"/>
          <w:szCs w:val="24"/>
          <w:lang w:val="fr-FR"/>
        </w:rPr>
        <w:t xml:space="preserve"> de 10 ans, en vertu de l’art.</w:t>
      </w:r>
      <w:r>
        <w:rPr>
          <w:rFonts w:cs="Arial"/>
          <w:szCs w:val="24"/>
          <w:lang w:val="fr-FR"/>
        </w:rPr>
        <w:t> </w:t>
      </w:r>
      <w:r w:rsidRPr="00A40DEE">
        <w:rPr>
          <w:rFonts w:cs="Arial"/>
          <w:szCs w:val="24"/>
          <w:lang w:val="fr-FR"/>
        </w:rPr>
        <w:t xml:space="preserve">109(2)(a) </w:t>
      </w:r>
      <w:r w:rsidRPr="00A40DEE">
        <w:rPr>
          <w:rFonts w:cs="Arial"/>
          <w:i/>
          <w:szCs w:val="24"/>
          <w:lang w:val="fr-FR"/>
        </w:rPr>
        <w:t>C.cr.</w:t>
      </w:r>
    </w:p>
    <w:p w14:paraId="1B1441DC" w14:textId="732F635E" w:rsidR="00BF5E10" w:rsidRDefault="00BF5E10" w:rsidP="00BF5E10">
      <w:pPr>
        <w:pStyle w:val="Paragraphe"/>
        <w:numPr>
          <w:ilvl w:val="0"/>
          <w:numId w:val="0"/>
        </w:numPr>
        <w:spacing w:before="0" w:after="0" w:line="240" w:lineRule="auto"/>
        <w:ind w:left="1418"/>
        <w:rPr>
          <w:lang w:val="fr-FR"/>
        </w:rPr>
      </w:pPr>
    </w:p>
    <w:p w14:paraId="0331C21C" w14:textId="4995A652" w:rsidR="0080242A" w:rsidRDefault="0080242A" w:rsidP="00BF5E10">
      <w:pPr>
        <w:pStyle w:val="Paragraphe"/>
        <w:numPr>
          <w:ilvl w:val="0"/>
          <w:numId w:val="0"/>
        </w:numPr>
        <w:spacing w:line="240" w:lineRule="auto"/>
        <w:ind w:left="1418"/>
        <w:rPr>
          <w:b/>
          <w:lang w:val="fr-FR"/>
        </w:rPr>
      </w:pPr>
      <w:r w:rsidRPr="00D4611E">
        <w:rPr>
          <w:b/>
        </w:rPr>
        <w:t>ORDONNE</w:t>
      </w:r>
      <w:r w:rsidRPr="00D4611E">
        <w:t xml:space="preserve"> à l’accusé en vertu de l’art. 743.21(1) </w:t>
      </w:r>
      <w:r w:rsidRPr="00D4611E">
        <w:rPr>
          <w:i/>
        </w:rPr>
        <w:t>C.cr.</w:t>
      </w:r>
      <w:r w:rsidRPr="00D4611E">
        <w:t xml:space="preserve">, pendant sa période de détention, de s’abstenir de communiquer, directement ou indirectement, de quelque façon que ce soit, avec </w:t>
      </w:r>
      <w:r>
        <w:t>Marc Hakim et Franckel Cleopha.</w:t>
      </w:r>
    </w:p>
    <w:p w14:paraId="63CA7BA5" w14:textId="47E14E47" w:rsidR="00BF5E10" w:rsidRDefault="00BF5E10" w:rsidP="00BF5E10">
      <w:pPr>
        <w:pStyle w:val="Paragraphe"/>
        <w:numPr>
          <w:ilvl w:val="0"/>
          <w:numId w:val="0"/>
        </w:numPr>
        <w:spacing w:line="240" w:lineRule="auto"/>
        <w:ind w:left="1418"/>
        <w:rPr>
          <w:i/>
          <w:lang w:val="fr-FR"/>
        </w:rPr>
      </w:pPr>
      <w:r>
        <w:rPr>
          <w:b/>
          <w:lang w:val="fr-FR"/>
        </w:rPr>
        <w:t>ORDONNE</w:t>
      </w:r>
      <w:r>
        <w:rPr>
          <w:lang w:val="fr-FR"/>
        </w:rPr>
        <w:t xml:space="preserve"> la confiscation de</w:t>
      </w:r>
      <w:r w:rsidR="000478F2">
        <w:rPr>
          <w:lang w:val="fr-FR"/>
        </w:rPr>
        <w:t>s 4065</w:t>
      </w:r>
      <w:r w:rsidR="00646621">
        <w:rPr>
          <w:lang w:val="fr-FR"/>
        </w:rPr>
        <w:t> </w:t>
      </w:r>
      <w:r w:rsidR="000478F2">
        <w:rPr>
          <w:lang w:val="fr-FR"/>
        </w:rPr>
        <w:t>$</w:t>
      </w:r>
      <w:r>
        <w:rPr>
          <w:lang w:val="fr-FR"/>
        </w:rPr>
        <w:t xml:space="preserve"> </w:t>
      </w:r>
      <w:r w:rsidR="000478F2">
        <w:rPr>
          <w:lang w:val="fr-FR"/>
        </w:rPr>
        <w:t xml:space="preserve">saisis </w:t>
      </w:r>
      <w:r>
        <w:rPr>
          <w:lang w:val="fr-FR"/>
        </w:rPr>
        <w:t>au profit de Sa Majesté</w:t>
      </w:r>
      <w:r w:rsidR="000478F2">
        <w:rPr>
          <w:lang w:val="fr-FR"/>
        </w:rPr>
        <w:t xml:space="preserve"> en vertu de l’art. 462.37(1) </w:t>
      </w:r>
      <w:r w:rsidR="000478F2">
        <w:rPr>
          <w:i/>
          <w:iCs/>
          <w:lang w:val="fr-FR"/>
        </w:rPr>
        <w:t>C.cr.</w:t>
      </w:r>
      <w:r w:rsidR="000478F2">
        <w:rPr>
          <w:lang w:val="fr-FR"/>
        </w:rPr>
        <w:t>, en tant que produits de la criminalité.</w:t>
      </w:r>
    </w:p>
    <w:p w14:paraId="4A01C51C" w14:textId="4476EF29" w:rsidR="0080242A" w:rsidRDefault="0080242A" w:rsidP="00BF5E10">
      <w:pPr>
        <w:pStyle w:val="Paragraphe"/>
        <w:numPr>
          <w:ilvl w:val="0"/>
          <w:numId w:val="0"/>
        </w:numPr>
        <w:spacing w:line="240" w:lineRule="auto"/>
        <w:ind w:left="1418"/>
        <w:rPr>
          <w:i/>
          <w:lang w:val="fr-FR"/>
        </w:rPr>
      </w:pPr>
      <w:r>
        <w:rPr>
          <w:b/>
          <w:lang w:val="fr-FR"/>
        </w:rPr>
        <w:t xml:space="preserve">ORDONNE </w:t>
      </w:r>
      <w:r>
        <w:rPr>
          <w:bCs/>
          <w:lang w:val="fr-FR"/>
        </w:rPr>
        <w:t>la confiscation de tous les téléphones cellulaires</w:t>
      </w:r>
      <w:r w:rsidR="00CA5C11">
        <w:rPr>
          <w:bCs/>
          <w:lang w:val="fr-FR"/>
        </w:rPr>
        <w:t xml:space="preserve"> et</w:t>
      </w:r>
      <w:r w:rsidR="00492194">
        <w:rPr>
          <w:bCs/>
          <w:lang w:val="fr-FR"/>
        </w:rPr>
        <w:t xml:space="preserve"> </w:t>
      </w:r>
      <w:r w:rsidR="00CA5C11" w:rsidRPr="000478F2">
        <w:rPr>
          <w:bCs/>
          <w:lang w:val="fr-FR"/>
        </w:rPr>
        <w:t>les balances numériques</w:t>
      </w:r>
      <w:r w:rsidRPr="000478F2">
        <w:rPr>
          <w:bCs/>
          <w:lang w:val="fr-FR"/>
        </w:rPr>
        <w:t xml:space="preserve"> saisis au profit de Sa </w:t>
      </w:r>
      <w:r w:rsidRPr="00714591">
        <w:rPr>
          <w:bCs/>
          <w:lang w:val="fr-FR"/>
        </w:rPr>
        <w:t xml:space="preserve">Majesté pour en être </w:t>
      </w:r>
      <w:r w:rsidRPr="00714591">
        <w:rPr>
          <w:lang w:val="fr-FR"/>
        </w:rPr>
        <w:t>disposé</w:t>
      </w:r>
      <w:r w:rsidR="008E2B8A" w:rsidRPr="00714591">
        <w:rPr>
          <w:lang w:val="fr-FR"/>
        </w:rPr>
        <w:t xml:space="preserve"> </w:t>
      </w:r>
      <w:r w:rsidRPr="00714591">
        <w:rPr>
          <w:lang w:val="fr-FR"/>
        </w:rPr>
        <w:t>selon</w:t>
      </w:r>
      <w:r w:rsidRPr="000478F2">
        <w:rPr>
          <w:lang w:val="fr-FR"/>
        </w:rPr>
        <w:t xml:space="preserve"> les instructions du procureur général en vertu de l’art. 49</w:t>
      </w:r>
      <w:r w:rsidR="000478F2" w:rsidRPr="000478F2">
        <w:rPr>
          <w:lang w:val="fr-FR"/>
        </w:rPr>
        <w:t>0</w:t>
      </w:r>
      <w:r w:rsidRPr="000478F2">
        <w:rPr>
          <w:lang w:val="fr-FR"/>
        </w:rPr>
        <w:t>(</w:t>
      </w:r>
      <w:r w:rsidR="000478F2" w:rsidRPr="000478F2">
        <w:rPr>
          <w:lang w:val="fr-FR"/>
        </w:rPr>
        <w:t>9</w:t>
      </w:r>
      <w:r w:rsidRPr="000478F2">
        <w:rPr>
          <w:lang w:val="fr-FR"/>
        </w:rPr>
        <w:t xml:space="preserve">) </w:t>
      </w:r>
      <w:r w:rsidRPr="000478F2">
        <w:rPr>
          <w:i/>
          <w:lang w:val="fr-FR"/>
        </w:rPr>
        <w:t>C.cr.</w:t>
      </w:r>
    </w:p>
    <w:p w14:paraId="61908FAB" w14:textId="21C1D149" w:rsidR="00CA5C11" w:rsidRPr="0080242A" w:rsidRDefault="00CA5C11" w:rsidP="00BF5E10">
      <w:pPr>
        <w:pStyle w:val="Paragraphe"/>
        <w:numPr>
          <w:ilvl w:val="0"/>
          <w:numId w:val="0"/>
        </w:numPr>
        <w:spacing w:line="240" w:lineRule="auto"/>
        <w:ind w:left="1418"/>
        <w:rPr>
          <w:bCs/>
          <w:iCs/>
          <w:lang w:val="fr-FR"/>
        </w:rPr>
      </w:pPr>
      <w:r>
        <w:rPr>
          <w:b/>
          <w:lang w:val="fr-FR"/>
        </w:rPr>
        <w:t xml:space="preserve">ORDONNE </w:t>
      </w:r>
      <w:r>
        <w:rPr>
          <w:bCs/>
          <w:lang w:val="fr-FR"/>
        </w:rPr>
        <w:t xml:space="preserve">la confiscation de la munition </w:t>
      </w:r>
      <w:r>
        <w:t>Hornady de calibre 10 mm et du chargeur de pistolet</w:t>
      </w:r>
      <w:r>
        <w:rPr>
          <w:bCs/>
          <w:lang w:val="fr-FR"/>
        </w:rPr>
        <w:t xml:space="preserve"> saisis au profit de Sa Majesté pour en êt</w:t>
      </w:r>
      <w:r w:rsidRPr="000478F2">
        <w:rPr>
          <w:bCs/>
          <w:lang w:val="fr-FR"/>
        </w:rPr>
        <w:t xml:space="preserve">re </w:t>
      </w:r>
      <w:r w:rsidRPr="000478F2">
        <w:rPr>
          <w:lang w:val="fr-FR"/>
        </w:rPr>
        <w:t>disposé selon les instructions du procureur général en vertu de l’art. 49</w:t>
      </w:r>
      <w:r w:rsidR="000478F2" w:rsidRPr="000478F2">
        <w:rPr>
          <w:lang w:val="fr-FR"/>
        </w:rPr>
        <w:t>0</w:t>
      </w:r>
      <w:r w:rsidRPr="000478F2">
        <w:rPr>
          <w:lang w:val="fr-FR"/>
        </w:rPr>
        <w:t>(</w:t>
      </w:r>
      <w:r w:rsidR="000478F2" w:rsidRPr="000478F2">
        <w:rPr>
          <w:lang w:val="fr-FR"/>
        </w:rPr>
        <w:t>9</w:t>
      </w:r>
      <w:r w:rsidRPr="000478F2">
        <w:rPr>
          <w:lang w:val="fr-FR"/>
        </w:rPr>
        <w:t xml:space="preserve">) </w:t>
      </w:r>
      <w:r w:rsidRPr="000478F2">
        <w:rPr>
          <w:i/>
          <w:lang w:val="fr-FR"/>
        </w:rPr>
        <w:t>C.cr.</w:t>
      </w:r>
    </w:p>
    <w:p w14:paraId="5FD5175C" w14:textId="765DC850" w:rsidR="00BF5E10" w:rsidRDefault="00BF5E10" w:rsidP="00BF5E10">
      <w:pPr>
        <w:pStyle w:val="Paragraphe"/>
        <w:numPr>
          <w:ilvl w:val="0"/>
          <w:numId w:val="0"/>
        </w:numPr>
        <w:spacing w:line="240" w:lineRule="auto"/>
        <w:ind w:left="1418"/>
        <w:rPr>
          <w:rFonts w:cs="Arial"/>
          <w:szCs w:val="24"/>
        </w:rPr>
      </w:pPr>
      <w:r>
        <w:rPr>
          <w:b/>
          <w:lang w:val="fr-FR"/>
        </w:rPr>
        <w:t>ORDONNE</w:t>
      </w:r>
      <w:r w:rsidRPr="00812593">
        <w:rPr>
          <w:lang w:val="fr-FR"/>
        </w:rPr>
        <w:t>, e</w:t>
      </w:r>
      <w:r w:rsidRPr="00DC41C6">
        <w:rPr>
          <w:rFonts w:cs="Arial"/>
          <w:szCs w:val="24"/>
        </w:rPr>
        <w:t xml:space="preserve">n vertu de l’art. 27(b) </w:t>
      </w:r>
      <w:r>
        <w:rPr>
          <w:rFonts w:cs="Arial"/>
          <w:i/>
          <w:szCs w:val="24"/>
        </w:rPr>
        <w:t>L.r.c.d.a.s.</w:t>
      </w:r>
      <w:r>
        <w:rPr>
          <w:rFonts w:cs="Arial"/>
          <w:szCs w:val="24"/>
        </w:rPr>
        <w:t>, la confiscation des drogues saisies au profit de Sa Majesté pour qu’elle les détruise selon les instructions du ministre, ou selon la loi applicable.</w:t>
      </w:r>
    </w:p>
    <w:p w14:paraId="06DA9A7B" w14:textId="5DCC67A4" w:rsidR="005C674B" w:rsidRPr="005C674B" w:rsidRDefault="005C674B" w:rsidP="00BF5E10">
      <w:pPr>
        <w:pStyle w:val="Paragraphe"/>
        <w:numPr>
          <w:ilvl w:val="0"/>
          <w:numId w:val="0"/>
        </w:numPr>
        <w:spacing w:line="240" w:lineRule="auto"/>
        <w:ind w:left="1418"/>
        <w:rPr>
          <w:bCs/>
          <w:lang w:val="fr-FR"/>
        </w:rPr>
      </w:pPr>
      <w:r>
        <w:rPr>
          <w:b/>
          <w:lang w:val="fr-FR"/>
        </w:rPr>
        <w:t>NOTE</w:t>
      </w:r>
      <w:r>
        <w:rPr>
          <w:bCs/>
          <w:lang w:val="fr-FR"/>
        </w:rPr>
        <w:t xml:space="preserve">, en vertu de l’art. 725 </w:t>
      </w:r>
      <w:r>
        <w:rPr>
          <w:bCs/>
          <w:i/>
          <w:iCs/>
          <w:lang w:val="fr-FR"/>
        </w:rPr>
        <w:t>C.cr.</w:t>
      </w:r>
      <w:r>
        <w:rPr>
          <w:bCs/>
          <w:lang w:val="fr-FR"/>
        </w:rPr>
        <w:t xml:space="preserve">, que la présente peine </w:t>
      </w:r>
      <w:r>
        <w:t xml:space="preserve">prend en considération la possession du Clonazépam en vue d’en faire le trafic, infraction qui aurait pu être déposée en vertu de l’art. 5(2)(3)(c)(i) </w:t>
      </w:r>
      <w:r>
        <w:rPr>
          <w:i/>
          <w:iCs/>
        </w:rPr>
        <w:t>L.r.c.d.a.s</w:t>
      </w:r>
      <w:r>
        <w:t>.</w:t>
      </w:r>
    </w:p>
    <w:p w14:paraId="7C04142A" w14:textId="77777777" w:rsidR="00BF5E10" w:rsidRPr="00BF5E10" w:rsidRDefault="00BF5E10" w:rsidP="00BF5E10">
      <w:pPr>
        <w:pStyle w:val="Paragraphe"/>
        <w:numPr>
          <w:ilvl w:val="0"/>
          <w:numId w:val="0"/>
        </w:numPr>
        <w:spacing w:before="0" w:after="0" w:line="240" w:lineRule="auto"/>
        <w:ind w:left="1418"/>
        <w:rPr>
          <w:lang w:val="fr-FR"/>
        </w:rPr>
      </w:pPr>
    </w:p>
    <w:p w14:paraId="2F94B4D5" w14:textId="511A4269" w:rsidR="00BF5E10" w:rsidRDefault="00BF5E10" w:rsidP="00C83BCA">
      <w:pPr>
        <w:pStyle w:val="Paragraphe"/>
        <w:numPr>
          <w:ilvl w:val="0"/>
          <w:numId w:val="0"/>
        </w:numPr>
        <w:spacing w:before="0" w:after="0" w:line="240" w:lineRule="auto"/>
        <w:rPr>
          <w:lang w:val="fr-FR"/>
        </w:rPr>
      </w:pPr>
    </w:p>
    <w:p w14:paraId="777285CA" w14:textId="7F8399CE" w:rsidR="00BF5E10" w:rsidRDefault="00BF5E10" w:rsidP="00C83BCA">
      <w:pPr>
        <w:pStyle w:val="Paragraphe"/>
        <w:numPr>
          <w:ilvl w:val="0"/>
          <w:numId w:val="0"/>
        </w:numPr>
        <w:spacing w:before="0" w:after="0" w:line="240" w:lineRule="auto"/>
        <w:rPr>
          <w:lang w:val="fr-FR"/>
        </w:rPr>
      </w:pPr>
    </w:p>
    <w:p w14:paraId="76B064C0" w14:textId="68160FC3" w:rsidR="00BF5E10" w:rsidRDefault="00BF5E10" w:rsidP="00C83BCA">
      <w:pPr>
        <w:pStyle w:val="Paragraphe"/>
        <w:numPr>
          <w:ilvl w:val="0"/>
          <w:numId w:val="0"/>
        </w:numPr>
        <w:spacing w:before="0" w:after="0" w:line="240" w:lineRule="auto"/>
        <w:rPr>
          <w:lang w:val="fr-FR"/>
        </w:rPr>
      </w:pPr>
    </w:p>
    <w:p w14:paraId="2D304266" w14:textId="2F700F42" w:rsidR="00BF5E10" w:rsidRDefault="00BF5E10" w:rsidP="00C83BCA">
      <w:pPr>
        <w:pStyle w:val="Paragraphe"/>
        <w:numPr>
          <w:ilvl w:val="0"/>
          <w:numId w:val="0"/>
        </w:numPr>
        <w:spacing w:before="0" w:after="0" w:line="240" w:lineRule="auto"/>
        <w:rPr>
          <w:lang w:val="fr-FR"/>
        </w:rPr>
      </w:pPr>
    </w:p>
    <w:p w14:paraId="26B968DE" w14:textId="379CA670" w:rsidR="00A67076" w:rsidRPr="009B1DB8" w:rsidRDefault="00A67076" w:rsidP="00C83BCA">
      <w:pPr>
        <w:pStyle w:val="Paragraphe"/>
        <w:numPr>
          <w:ilvl w:val="0"/>
          <w:numId w:val="0"/>
        </w:numPr>
        <w:spacing w:line="240" w:lineRule="auto"/>
        <w:rPr>
          <w:lang w:val="fr-FR"/>
        </w:rPr>
      </w:pPr>
    </w:p>
    <w:tbl>
      <w:tblPr>
        <w:tblW w:w="9505" w:type="dxa"/>
        <w:tblInd w:w="-70" w:type="dxa"/>
        <w:tblLayout w:type="fixed"/>
        <w:tblCellMar>
          <w:left w:w="0" w:type="dxa"/>
          <w:right w:w="0" w:type="dxa"/>
        </w:tblCellMar>
        <w:tblLook w:val="0000" w:firstRow="0" w:lastRow="0" w:firstColumn="0" w:lastColumn="0" w:noHBand="0" w:noVBand="0"/>
      </w:tblPr>
      <w:tblGrid>
        <w:gridCol w:w="2622"/>
        <w:gridCol w:w="2245"/>
        <w:gridCol w:w="4638"/>
      </w:tblGrid>
      <w:tr w:rsidR="000B2721" w14:paraId="74F03A65" w14:textId="77777777" w:rsidTr="00C247CF">
        <w:trPr>
          <w:cantSplit/>
        </w:trPr>
        <w:tc>
          <w:tcPr>
            <w:tcW w:w="4867" w:type="dxa"/>
            <w:gridSpan w:val="2"/>
          </w:tcPr>
          <w:p w14:paraId="6A3A68CA" w14:textId="77777777" w:rsidR="000B2721" w:rsidRDefault="000B2721" w:rsidP="00C247CF"/>
        </w:tc>
        <w:tc>
          <w:tcPr>
            <w:tcW w:w="4638" w:type="dxa"/>
          </w:tcPr>
          <w:p w14:paraId="5DD2F049" w14:textId="77777777" w:rsidR="000B2721" w:rsidRDefault="000B2721">
            <w:pPr>
              <w:pStyle w:val="zSoquijdatSignature3Juge"/>
            </w:pPr>
            <w:r>
              <w:t>__________________________________</w:t>
            </w:r>
          </w:p>
          <w:p w14:paraId="005917BC" w14:textId="77777777" w:rsidR="000B2721" w:rsidRDefault="00C247CF">
            <w:pPr>
              <w:pStyle w:val="zSoquijdatSignature3Juge"/>
            </w:pPr>
            <w:r>
              <w:rPr>
                <w:b/>
              </w:rPr>
              <w:t>D. Galiatsatos, J.C.Q.</w:t>
            </w:r>
          </w:p>
        </w:tc>
      </w:tr>
      <w:tr w:rsidR="000B2721" w14:paraId="0DCB9467" w14:textId="77777777" w:rsidTr="00C247CF">
        <w:tblPrEx>
          <w:tblCellMar>
            <w:left w:w="70" w:type="dxa"/>
            <w:right w:w="70" w:type="dxa"/>
          </w:tblCellMar>
        </w:tblPrEx>
        <w:trPr>
          <w:cantSplit/>
        </w:trPr>
        <w:tc>
          <w:tcPr>
            <w:tcW w:w="9505" w:type="dxa"/>
            <w:gridSpan w:val="3"/>
          </w:tcPr>
          <w:p w14:paraId="79418F38" w14:textId="5128455E" w:rsidR="000B59CF" w:rsidRPr="000B59CF" w:rsidRDefault="000B59CF">
            <w:pPr>
              <w:pStyle w:val="zSoquijdatNomProcureurDem"/>
            </w:pPr>
            <w:r>
              <w:t>M</w:t>
            </w:r>
            <w:r>
              <w:rPr>
                <w:vertAlign w:val="superscript"/>
              </w:rPr>
              <w:t>e</w:t>
            </w:r>
            <w:r>
              <w:t xml:space="preserve"> Geneviève Boutet</w:t>
            </w:r>
          </w:p>
          <w:p w14:paraId="1230DD59" w14:textId="70E5042A" w:rsidR="000B2721" w:rsidRDefault="00C247CF">
            <w:pPr>
              <w:pStyle w:val="zSoquijdatNomProcureurDem"/>
            </w:pPr>
            <w:r w:rsidRPr="00714591">
              <w:t>Procureur</w:t>
            </w:r>
            <w:r w:rsidR="000B59CF" w:rsidRPr="00714591">
              <w:t>e</w:t>
            </w:r>
            <w:r>
              <w:t xml:space="preserve"> de la Couronne</w:t>
            </w:r>
          </w:p>
          <w:p w14:paraId="77A8477E" w14:textId="77777777" w:rsidR="00C247CF" w:rsidRDefault="00C247CF">
            <w:pPr>
              <w:pStyle w:val="zSoquijdatNomProcureurDem"/>
            </w:pPr>
          </w:p>
        </w:tc>
      </w:tr>
      <w:tr w:rsidR="000B2721" w14:paraId="38D893DE" w14:textId="77777777" w:rsidTr="00C247CF">
        <w:tblPrEx>
          <w:tblCellMar>
            <w:left w:w="70" w:type="dxa"/>
            <w:right w:w="70" w:type="dxa"/>
          </w:tblCellMar>
        </w:tblPrEx>
        <w:trPr>
          <w:cantSplit/>
        </w:trPr>
        <w:tc>
          <w:tcPr>
            <w:tcW w:w="9505" w:type="dxa"/>
            <w:gridSpan w:val="3"/>
          </w:tcPr>
          <w:p w14:paraId="2FC522E6" w14:textId="10CFD8D1" w:rsidR="0011005A" w:rsidRPr="00C247CF" w:rsidRDefault="0011005A" w:rsidP="00DA1A8B">
            <w:pPr>
              <w:pStyle w:val="zSoquijdatCabinetProcureurDem"/>
            </w:pPr>
            <w:r>
              <w:t>M</w:t>
            </w:r>
            <w:r>
              <w:rPr>
                <w:vertAlign w:val="superscript"/>
              </w:rPr>
              <w:t>e</w:t>
            </w:r>
            <w:r>
              <w:t xml:space="preserve"> </w:t>
            </w:r>
            <w:r w:rsidR="000B59CF">
              <w:t>Kristina Markovic</w:t>
            </w:r>
          </w:p>
        </w:tc>
      </w:tr>
      <w:tr w:rsidR="000B2721" w14:paraId="0579CE83" w14:textId="77777777" w:rsidTr="00C247CF">
        <w:tblPrEx>
          <w:tblCellMar>
            <w:left w:w="70" w:type="dxa"/>
            <w:right w:w="70" w:type="dxa"/>
          </w:tblCellMar>
        </w:tblPrEx>
        <w:trPr>
          <w:cantSplit/>
        </w:trPr>
        <w:tc>
          <w:tcPr>
            <w:tcW w:w="9505" w:type="dxa"/>
            <w:gridSpan w:val="3"/>
          </w:tcPr>
          <w:p w14:paraId="67AD7BF8" w14:textId="4FF9902B" w:rsidR="000B2721" w:rsidRPr="00714591" w:rsidRDefault="00C247CF" w:rsidP="009F503F">
            <w:pPr>
              <w:pStyle w:val="zSoquijlblProcureurDem"/>
            </w:pPr>
            <w:r w:rsidRPr="00714591">
              <w:t>Procureur</w:t>
            </w:r>
            <w:r w:rsidR="000B59CF" w:rsidRPr="00714591">
              <w:t>e</w:t>
            </w:r>
            <w:r w:rsidRPr="00714591">
              <w:t xml:space="preserve"> de l’accusé</w:t>
            </w:r>
          </w:p>
        </w:tc>
      </w:tr>
      <w:tr w:rsidR="000B2721" w14:paraId="2C05B54B" w14:textId="77777777" w:rsidTr="00C247CF">
        <w:tblPrEx>
          <w:tblCellMar>
            <w:left w:w="70" w:type="dxa"/>
            <w:right w:w="70" w:type="dxa"/>
          </w:tblCellMar>
        </w:tblPrEx>
        <w:trPr>
          <w:cantSplit/>
        </w:trPr>
        <w:tc>
          <w:tcPr>
            <w:tcW w:w="9505" w:type="dxa"/>
            <w:gridSpan w:val="3"/>
          </w:tcPr>
          <w:p w14:paraId="2CF41CE8" w14:textId="77777777" w:rsidR="000B2721" w:rsidRPr="00714591" w:rsidRDefault="000B2721"/>
        </w:tc>
      </w:tr>
      <w:tr w:rsidR="000B2721" w14:paraId="5443249C" w14:textId="77777777" w:rsidTr="00C247CF">
        <w:tblPrEx>
          <w:tblCellMar>
            <w:left w:w="70" w:type="dxa"/>
            <w:right w:w="70" w:type="dxa"/>
          </w:tblCellMar>
        </w:tblPrEx>
        <w:tc>
          <w:tcPr>
            <w:tcW w:w="9505" w:type="dxa"/>
            <w:gridSpan w:val="3"/>
          </w:tcPr>
          <w:p w14:paraId="7208BCE2" w14:textId="77777777" w:rsidR="000B2721" w:rsidRPr="00714591" w:rsidRDefault="000B2721"/>
        </w:tc>
      </w:tr>
      <w:tr w:rsidR="000B2721" w14:paraId="6E72999A" w14:textId="77777777" w:rsidTr="00F33E8C">
        <w:tblPrEx>
          <w:tblCellMar>
            <w:left w:w="70" w:type="dxa"/>
            <w:right w:w="70" w:type="dxa"/>
          </w:tblCellMar>
        </w:tblPrEx>
        <w:tc>
          <w:tcPr>
            <w:tcW w:w="2622" w:type="dxa"/>
          </w:tcPr>
          <w:p w14:paraId="2EE04DEA" w14:textId="738B7CC4" w:rsidR="000B2721" w:rsidRPr="00714591" w:rsidRDefault="000B2721" w:rsidP="0007419A">
            <w:pPr>
              <w:pStyle w:val="zSoquijlblDateAudience"/>
            </w:pPr>
            <w:r w:rsidRPr="00714591">
              <w:t>Date d’audience :</w:t>
            </w:r>
          </w:p>
        </w:tc>
        <w:tc>
          <w:tcPr>
            <w:tcW w:w="6883" w:type="dxa"/>
            <w:gridSpan w:val="2"/>
          </w:tcPr>
          <w:p w14:paraId="6E19CA4B" w14:textId="689C9445" w:rsidR="000B2721" w:rsidRPr="00714591" w:rsidRDefault="008135D8" w:rsidP="008B77F6">
            <w:pPr>
              <w:pStyle w:val="zSoquijdatDateAudience"/>
            </w:pPr>
            <w:r w:rsidRPr="00714591">
              <w:t>16 janvier 2023</w:t>
            </w:r>
          </w:p>
        </w:tc>
      </w:tr>
    </w:tbl>
    <w:p w14:paraId="3D7B9A9D" w14:textId="77777777" w:rsidR="00D7363F" w:rsidRDefault="00D7363F" w:rsidP="002E1688"/>
    <w:sectPr w:rsidR="00D7363F">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2" w:h="15842" w:code="1"/>
      <w:pgMar w:top="1440" w:right="1008" w:bottom="1440" w:left="1872" w:header="1440" w:footer="7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011E6" w14:textId="77777777" w:rsidR="00382B71" w:rsidRDefault="00382B71">
      <w:r>
        <w:separator/>
      </w:r>
    </w:p>
  </w:endnote>
  <w:endnote w:type="continuationSeparator" w:id="0">
    <w:p w14:paraId="2C67BD78" w14:textId="77777777" w:rsidR="00382B71" w:rsidRDefault="0038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3F13" w14:textId="77777777" w:rsidR="00382B71" w:rsidRDefault="00382B71">
    <w:pPr>
      <w:framePr w:wrap="around" w:vAnchor="text" w:hAnchor="margin" w:xAlign="right" w:y="1"/>
    </w:pPr>
    <w:r>
      <w:fldChar w:fldCharType="begin"/>
    </w:r>
    <w:r>
      <w:instrText xml:space="preserve">PAGE  </w:instrText>
    </w:r>
    <w:r>
      <w:fldChar w:fldCharType="end"/>
    </w:r>
  </w:p>
  <w:p w14:paraId="2E968FD3" w14:textId="77777777" w:rsidR="00382B71" w:rsidRDefault="00382B71">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C6CFB" w14:textId="77777777" w:rsidR="00744D35" w:rsidRDefault="00744D3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337F5" w14:textId="77777777" w:rsidR="00744D35" w:rsidRDefault="00744D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E0ACB" w14:textId="77777777" w:rsidR="00382B71" w:rsidRDefault="00382B71">
      <w:r>
        <w:separator/>
      </w:r>
    </w:p>
  </w:footnote>
  <w:footnote w:type="continuationSeparator" w:id="0">
    <w:p w14:paraId="5880CB56" w14:textId="77777777" w:rsidR="00382B71" w:rsidRDefault="00382B71">
      <w:r>
        <w:continuationSeparator/>
      </w:r>
    </w:p>
  </w:footnote>
  <w:footnote w:id="1">
    <w:p w14:paraId="79B61A38" w14:textId="5AE937DC" w:rsidR="003B09B0" w:rsidRDefault="003B09B0">
      <w:pPr>
        <w:pStyle w:val="Notedebasdepage"/>
      </w:pPr>
      <w:r>
        <w:rPr>
          <w:rStyle w:val="Appelnotedebasdep"/>
        </w:rPr>
        <w:footnoteRef/>
      </w:r>
      <w:r>
        <w:t xml:space="preserve"> </w:t>
      </w:r>
      <w:r>
        <w:tab/>
      </w:r>
      <w:r>
        <w:rPr>
          <w:i/>
          <w:iCs/>
        </w:rPr>
        <w:t xml:space="preserve">R. </w:t>
      </w:r>
      <w:r>
        <w:t xml:space="preserve">c. </w:t>
      </w:r>
      <w:r>
        <w:rPr>
          <w:i/>
          <w:iCs/>
        </w:rPr>
        <w:t>Simon</w:t>
      </w:r>
      <w:r>
        <w:t>, 2022 QCCQ 6181.</w:t>
      </w:r>
    </w:p>
  </w:footnote>
  <w:footnote w:id="2">
    <w:p w14:paraId="0BD43A68" w14:textId="67E5963C" w:rsidR="00FA60B4" w:rsidRDefault="00FA60B4">
      <w:pPr>
        <w:pStyle w:val="Notedebasdepage"/>
      </w:pPr>
      <w:r>
        <w:rPr>
          <w:rStyle w:val="Appelnotedebasdep"/>
        </w:rPr>
        <w:footnoteRef/>
      </w:r>
      <w:r>
        <w:t xml:space="preserve"> </w:t>
      </w:r>
      <w:r>
        <w:tab/>
        <w:t xml:space="preserve">Kensey Simon n’a pas été accusé relativement aux découvertes à l’adresse sur la rue Papineau. </w:t>
      </w:r>
    </w:p>
  </w:footnote>
  <w:footnote w:id="3">
    <w:p w14:paraId="75089FA2" w14:textId="7B391A86" w:rsidR="0066380A" w:rsidRDefault="0066380A">
      <w:pPr>
        <w:pStyle w:val="Notedebasdepage"/>
      </w:pPr>
      <w:r>
        <w:rPr>
          <w:rStyle w:val="Appelnotedebasdep"/>
        </w:rPr>
        <w:footnoteRef/>
      </w:r>
      <w:r>
        <w:t xml:space="preserve"> </w:t>
      </w:r>
      <w:r>
        <w:tab/>
        <w:t>Rapport d’expertise en valeur des stupéfiants par le SD Francis Derome, novembre 2022 (pièce S-4).</w:t>
      </w:r>
    </w:p>
  </w:footnote>
  <w:footnote w:id="4">
    <w:p w14:paraId="2D6B808E" w14:textId="65F473D3" w:rsidR="00F833E8" w:rsidRDefault="00F833E8" w:rsidP="00646621">
      <w:pPr>
        <w:pStyle w:val="Notedebasdepage"/>
      </w:pPr>
      <w:r>
        <w:rPr>
          <w:rStyle w:val="Appelnotedebasdep"/>
        </w:rPr>
        <w:footnoteRef/>
      </w:r>
      <w:r>
        <w:t xml:space="preserve"> </w:t>
      </w:r>
      <w:r>
        <w:tab/>
        <w:t>Item 007 (4 roches, valeur 200</w:t>
      </w:r>
      <w:r w:rsidR="00646621">
        <w:t> </w:t>
      </w:r>
      <w:r>
        <w:t>$) + item 017 (121 roches, valeur 2420</w:t>
      </w:r>
      <w:r w:rsidR="00646621">
        <w:t> </w:t>
      </w:r>
      <w:r>
        <w:t>$) + item 012 (48 roches, valeur 960</w:t>
      </w:r>
      <w:r w:rsidR="00646621">
        <w:t> </w:t>
      </w:r>
      <w:r>
        <w:t>$) + item 014 (21 roches, valeur 420</w:t>
      </w:r>
      <w:r w:rsidR="00646621">
        <w:t> </w:t>
      </w:r>
      <w:r>
        <w:t>$) + item 018 (172 roches, valeur 3440</w:t>
      </w:r>
      <w:r w:rsidR="00646621">
        <w:t> </w:t>
      </w:r>
      <w:r>
        <w:t>$) + item 023 (2</w:t>
      </w:r>
      <w:r w:rsidR="00646621">
        <w:t> </w:t>
      </w:r>
      <w:r>
        <w:t>roches, valeur 40</w:t>
      </w:r>
      <w:r w:rsidR="00646621">
        <w:t> </w:t>
      </w:r>
      <w:r>
        <w:t>$).</w:t>
      </w:r>
    </w:p>
  </w:footnote>
  <w:footnote w:id="5">
    <w:p w14:paraId="192533FE" w14:textId="29CAE7F0" w:rsidR="005153D2" w:rsidRDefault="005153D2">
      <w:pPr>
        <w:pStyle w:val="Notedebasdepage"/>
      </w:pPr>
      <w:r>
        <w:rPr>
          <w:rStyle w:val="Appelnotedebasdep"/>
        </w:rPr>
        <w:footnoteRef/>
      </w:r>
      <w:r>
        <w:t xml:space="preserve"> </w:t>
      </w:r>
      <w:r>
        <w:tab/>
        <w:t xml:space="preserve">Lors des plaidoiries, la défense a fait référence à l’ordonnance de mise en liberté signée le 13 mars 2020 (pièce S-8), soulignant que les conditions no. 5(b) et </w:t>
      </w:r>
      <w:r w:rsidR="00BB0235">
        <w:t xml:space="preserve">no. </w:t>
      </w:r>
      <w:r>
        <w:t xml:space="preserve">9 l’obligeaient de travailler au « salon de coiffure Magnan ». Selon le Tribunal, la seule existence de ces conditions ne constitue pas une preuve qu’il a effectivement travaillé à cet endroit (ou ailleurs). Le Tribunal ne connaît rien de ce commerce, de l’emploi qu’aurait supposément </w:t>
      </w:r>
      <w:r w:rsidR="00BB0235">
        <w:t>occupé</w:t>
      </w:r>
      <w:r>
        <w:t xml:space="preserve"> Simon à cet endroit, de son horaire de travail ou de son salaire. La défense n’a présenté aucune preuve du tout. Qui plus est, la preuve en l’espèce démontre que l’accusé n’avait aucun respect pour ses conditions de mise en liberté, qu’il a brisées de manière routinière et flagrante. Pour ce motif, je ne suis surtout pas enclin à présumer qu’il a respecté la condition relative à l’emploi en travaillant légitimement.</w:t>
      </w:r>
    </w:p>
  </w:footnote>
  <w:footnote w:id="6">
    <w:p w14:paraId="32837820" w14:textId="038EC2D9" w:rsidR="001108A8" w:rsidRDefault="001108A8">
      <w:pPr>
        <w:pStyle w:val="Notedebasdepage"/>
      </w:pPr>
      <w:r>
        <w:rPr>
          <w:rStyle w:val="Appelnotedebasdep"/>
        </w:rPr>
        <w:footnoteRef/>
      </w:r>
      <w:r>
        <w:t xml:space="preserve"> </w:t>
      </w:r>
      <w:r>
        <w:tab/>
        <w:t>Pièce P-28(a).</w:t>
      </w:r>
    </w:p>
  </w:footnote>
  <w:footnote w:id="7">
    <w:p w14:paraId="71A7D704" w14:textId="19AE4E7F" w:rsidR="000B573F" w:rsidRDefault="000B573F">
      <w:pPr>
        <w:pStyle w:val="Notedebasdepage"/>
      </w:pPr>
      <w:r>
        <w:rPr>
          <w:rStyle w:val="Appelnotedebasdep"/>
        </w:rPr>
        <w:footnoteRef/>
      </w:r>
      <w:r>
        <w:t xml:space="preserve"> </w:t>
      </w:r>
      <w:r>
        <w:tab/>
        <w:t>Pièce S-13.</w:t>
      </w:r>
    </w:p>
  </w:footnote>
  <w:footnote w:id="8">
    <w:p w14:paraId="38836087" w14:textId="47EB468F" w:rsidR="000B573F" w:rsidRDefault="000B573F">
      <w:pPr>
        <w:pStyle w:val="Notedebasdepage"/>
      </w:pPr>
      <w:r>
        <w:rPr>
          <w:rStyle w:val="Appelnotedebasdep"/>
        </w:rPr>
        <w:footnoteRef/>
      </w:r>
      <w:r>
        <w:t xml:space="preserve"> </w:t>
      </w:r>
      <w:r>
        <w:tab/>
        <w:t>Prestation canadienne d’urgence relative à la COVID-19.</w:t>
      </w:r>
    </w:p>
  </w:footnote>
  <w:footnote w:id="9">
    <w:p w14:paraId="6A5414F9" w14:textId="77777777" w:rsidR="00D02481" w:rsidRDefault="00D02481">
      <w:pPr>
        <w:pStyle w:val="Notedebasdepage"/>
      </w:pPr>
      <w:r>
        <w:rPr>
          <w:rStyle w:val="Appelnotedebasdep"/>
        </w:rPr>
        <w:footnoteRef/>
      </w:r>
      <w:r>
        <w:t xml:space="preserve"> </w:t>
      </w:r>
      <w:r>
        <w:tab/>
        <w:t>Pièce S-1, p. 1.</w:t>
      </w:r>
    </w:p>
  </w:footnote>
  <w:footnote w:id="10">
    <w:p w14:paraId="65DE9E32" w14:textId="31A35448" w:rsidR="001C7587" w:rsidRDefault="001C7587">
      <w:pPr>
        <w:pStyle w:val="Notedebasdepage"/>
      </w:pPr>
      <w:r>
        <w:rPr>
          <w:rStyle w:val="Appelnotedebasdep"/>
        </w:rPr>
        <w:footnoteRef/>
      </w:r>
      <w:r>
        <w:t xml:space="preserve"> </w:t>
      </w:r>
      <w:r>
        <w:tab/>
        <w:t>Pièces S-2, S-3.</w:t>
      </w:r>
    </w:p>
  </w:footnote>
  <w:footnote w:id="11">
    <w:p w14:paraId="3FCD827E" w14:textId="5107E06F" w:rsidR="00E22327" w:rsidRDefault="00E22327">
      <w:pPr>
        <w:pStyle w:val="Notedebasdepage"/>
      </w:pPr>
      <w:r>
        <w:rPr>
          <w:rStyle w:val="Appelnotedebasdep"/>
        </w:rPr>
        <w:footnoteRef/>
      </w:r>
      <w:r>
        <w:t xml:space="preserve"> </w:t>
      </w:r>
      <w:r>
        <w:tab/>
        <w:t xml:space="preserve">Il a plaidé coupable devant </w:t>
      </w:r>
      <w:r w:rsidR="00AD58F3">
        <w:t>un autre juge</w:t>
      </w:r>
      <w:r>
        <w:t xml:space="preserve"> le 16 juin 2022 : Courtlog du 2023-01-16 à 11h53. La peine a été imposée le 29 septembre 2022. Dossier 500-01-201336-220 (acte d’accusation déposé</w:t>
      </w:r>
      <w:r w:rsidR="008E3B13">
        <w:t xml:space="preserve"> </w:t>
      </w:r>
      <w:r>
        <w:t>sous la pièce S-10 en l’espèce).</w:t>
      </w:r>
    </w:p>
  </w:footnote>
  <w:footnote w:id="12">
    <w:p w14:paraId="24E52F6B" w14:textId="0F035715" w:rsidR="00472806" w:rsidRPr="00472806" w:rsidRDefault="00472806">
      <w:pPr>
        <w:pStyle w:val="Notedebasdepage"/>
      </w:pPr>
      <w:r>
        <w:rPr>
          <w:rStyle w:val="Appelnotedebasdep"/>
        </w:rPr>
        <w:footnoteRef/>
      </w:r>
      <w:r>
        <w:t xml:space="preserve"> </w:t>
      </w:r>
      <w:r>
        <w:tab/>
        <w:t xml:space="preserve">Selon la « règle de </w:t>
      </w:r>
      <w:r>
        <w:rPr>
          <w:i/>
          <w:iCs/>
        </w:rPr>
        <w:t>Coke</w:t>
      </w:r>
      <w:r>
        <w:t xml:space="preserve"> », décrite dans </w:t>
      </w:r>
      <w:r>
        <w:rPr>
          <w:i/>
          <w:iCs/>
        </w:rPr>
        <w:t xml:space="preserve">R. </w:t>
      </w:r>
      <w:r>
        <w:t xml:space="preserve">v. </w:t>
      </w:r>
      <w:r>
        <w:rPr>
          <w:i/>
          <w:iCs/>
        </w:rPr>
        <w:t>Andrade</w:t>
      </w:r>
      <w:r>
        <w:t xml:space="preserve"> (2010), 260 C.C.C. (3d) 353 (C.A.N.B.), cité dans </w:t>
      </w:r>
      <w:r>
        <w:rPr>
          <w:i/>
          <w:iCs/>
        </w:rPr>
        <w:t xml:space="preserve">R. </w:t>
      </w:r>
      <w:r>
        <w:t xml:space="preserve">c. </w:t>
      </w:r>
      <w:r>
        <w:rPr>
          <w:i/>
          <w:iCs/>
        </w:rPr>
        <w:t>Lavigne</w:t>
      </w:r>
      <w:r>
        <w:t>, 2014 QCCA 1373.</w:t>
      </w:r>
      <w:r w:rsidR="009B0296">
        <w:t xml:space="preserve"> Voir aussi : </w:t>
      </w:r>
      <w:r w:rsidR="009B0296">
        <w:rPr>
          <w:i/>
          <w:iCs/>
        </w:rPr>
        <w:t xml:space="preserve">R. </w:t>
      </w:r>
      <w:r w:rsidR="009B0296">
        <w:t xml:space="preserve">v. </w:t>
      </w:r>
      <w:r w:rsidR="009B0296">
        <w:rPr>
          <w:i/>
          <w:iCs/>
        </w:rPr>
        <w:t>Aguer</w:t>
      </w:r>
      <w:r w:rsidR="009B0296">
        <w:t xml:space="preserve">, 2017 ABCA 304 au para. 9; </w:t>
      </w:r>
      <w:r w:rsidR="009B0296">
        <w:rPr>
          <w:i/>
          <w:iCs/>
        </w:rPr>
        <w:t xml:space="preserve">R. </w:t>
      </w:r>
      <w:r w:rsidR="009B0296">
        <w:t xml:space="preserve">v. </w:t>
      </w:r>
      <w:r w:rsidR="009B0296">
        <w:rPr>
          <w:i/>
          <w:iCs/>
        </w:rPr>
        <w:t>Abreha</w:t>
      </w:r>
      <w:r w:rsidR="009B0296">
        <w:t>, 2022 ABKB 830 au para. 31</w:t>
      </w:r>
      <w:r w:rsidR="001B02E1">
        <w:t xml:space="preserve">; </w:t>
      </w:r>
      <w:r w:rsidR="001B02E1" w:rsidRPr="00F575B3">
        <w:rPr>
          <w:i/>
        </w:rPr>
        <w:t xml:space="preserve">R. </w:t>
      </w:r>
      <w:r w:rsidR="001B02E1" w:rsidRPr="00F575B3">
        <w:t xml:space="preserve">v. </w:t>
      </w:r>
      <w:r w:rsidR="001B02E1" w:rsidRPr="00F575B3">
        <w:rPr>
          <w:i/>
        </w:rPr>
        <w:t>Pete</w:t>
      </w:r>
      <w:r w:rsidR="001B02E1" w:rsidRPr="00F575B3">
        <w:t>, 2019 BCCA 244 aux paras. 37-40</w:t>
      </w:r>
      <w:r w:rsidR="001B02E1">
        <w:t>.</w:t>
      </w:r>
    </w:p>
  </w:footnote>
  <w:footnote w:id="13">
    <w:p w14:paraId="57310D0D" w14:textId="1662E98D" w:rsidR="008B07DA" w:rsidRDefault="008B07DA">
      <w:pPr>
        <w:pStyle w:val="Notedebasdepage"/>
      </w:pPr>
      <w:r>
        <w:rPr>
          <w:rStyle w:val="Appelnotedebasdep"/>
        </w:rPr>
        <w:footnoteRef/>
      </w:r>
      <w:r>
        <w:t xml:space="preserve"> </w:t>
      </w:r>
      <w:r>
        <w:tab/>
        <w:t>Selon la pièce S-4, qui mentionne qu’une roche sera généralement d’un poids de 0.15 g.</w:t>
      </w:r>
    </w:p>
  </w:footnote>
  <w:footnote w:id="14">
    <w:p w14:paraId="11BEBE81" w14:textId="58FF7684" w:rsidR="00394CE4" w:rsidRDefault="00394CE4">
      <w:pPr>
        <w:pStyle w:val="Notedebasdepage"/>
      </w:pPr>
      <w:r>
        <w:rPr>
          <w:rStyle w:val="Appelnotedebasdep"/>
        </w:rPr>
        <w:footnoteRef/>
      </w:r>
      <w:r>
        <w:t xml:space="preserve"> </w:t>
      </w:r>
      <w:r>
        <w:tab/>
        <w:t>Courtlog du 2023-01-16 à 11h53.</w:t>
      </w:r>
    </w:p>
  </w:footnote>
  <w:footnote w:id="15">
    <w:p w14:paraId="22C31F9B" w14:textId="7454982E" w:rsidR="00394CE4" w:rsidRDefault="00394CE4">
      <w:pPr>
        <w:pStyle w:val="Notedebasdepage"/>
      </w:pPr>
      <w:r>
        <w:rPr>
          <w:rStyle w:val="Appelnotedebasdep"/>
        </w:rPr>
        <w:footnoteRef/>
      </w:r>
      <w:r>
        <w:t xml:space="preserve"> </w:t>
      </w:r>
      <w:r>
        <w:tab/>
        <w:t>Procès-verbal de la sentence, pièce S-5.</w:t>
      </w:r>
    </w:p>
  </w:footnote>
  <w:footnote w:id="16">
    <w:p w14:paraId="739F4891" w14:textId="091810D4" w:rsidR="000D4B4E" w:rsidRPr="000D4B4E" w:rsidRDefault="000D4B4E">
      <w:pPr>
        <w:pStyle w:val="Notedebasdepage"/>
        <w:rPr>
          <w:lang w:val="en-CA"/>
        </w:rPr>
      </w:pPr>
      <w:r>
        <w:rPr>
          <w:rStyle w:val="Appelnotedebasdep"/>
        </w:rPr>
        <w:footnoteRef/>
      </w:r>
      <w:r w:rsidRPr="000D4B4E">
        <w:rPr>
          <w:lang w:val="en-CA"/>
        </w:rPr>
        <w:t xml:space="preserve"> </w:t>
      </w:r>
      <w:r w:rsidRPr="000D4B4E">
        <w:rPr>
          <w:lang w:val="en-CA"/>
        </w:rPr>
        <w:tab/>
        <w:t>Pièces S-8, S-10.</w:t>
      </w:r>
    </w:p>
  </w:footnote>
  <w:footnote w:id="17">
    <w:p w14:paraId="33A93119" w14:textId="03238A27" w:rsidR="000D4B4E" w:rsidRPr="000D4B4E" w:rsidRDefault="000D4B4E">
      <w:pPr>
        <w:pStyle w:val="Notedebasdepage"/>
        <w:rPr>
          <w:lang w:val="en-CA"/>
        </w:rPr>
      </w:pPr>
      <w:r>
        <w:rPr>
          <w:rStyle w:val="Appelnotedebasdep"/>
        </w:rPr>
        <w:footnoteRef/>
      </w:r>
      <w:r w:rsidRPr="000D4B4E">
        <w:rPr>
          <w:lang w:val="en-CA"/>
        </w:rPr>
        <w:t xml:space="preserve"> </w:t>
      </w:r>
      <w:r w:rsidRPr="000D4B4E">
        <w:rPr>
          <w:lang w:val="en-CA"/>
        </w:rPr>
        <w:tab/>
        <w:t>Pièces S-6, S</w:t>
      </w:r>
      <w:r>
        <w:rPr>
          <w:lang w:val="en-CA"/>
        </w:rPr>
        <w:t xml:space="preserve">-7, S-3 </w:t>
      </w:r>
      <w:r>
        <w:rPr>
          <w:i/>
          <w:iCs/>
          <w:lang w:val="en-CA"/>
        </w:rPr>
        <w:t>in fine</w:t>
      </w:r>
      <w:r>
        <w:rPr>
          <w:lang w:val="en-CA"/>
        </w:rPr>
        <w:t>.</w:t>
      </w:r>
    </w:p>
  </w:footnote>
  <w:footnote w:id="18">
    <w:p w14:paraId="160ABD08" w14:textId="231F3336" w:rsidR="000D4B4E" w:rsidRPr="003B09B0" w:rsidRDefault="000D4B4E">
      <w:pPr>
        <w:pStyle w:val="Notedebasdepage"/>
        <w:rPr>
          <w:lang w:val="en-CA"/>
        </w:rPr>
      </w:pPr>
      <w:r>
        <w:rPr>
          <w:rStyle w:val="Appelnotedebasdep"/>
        </w:rPr>
        <w:footnoteRef/>
      </w:r>
      <w:r w:rsidRPr="003B09B0">
        <w:rPr>
          <w:lang w:val="en-CA"/>
        </w:rPr>
        <w:t xml:space="preserve"> </w:t>
      </w:r>
      <w:r w:rsidRPr="003B09B0">
        <w:rPr>
          <w:lang w:val="en-CA"/>
        </w:rPr>
        <w:tab/>
        <w:t>Pièce S-9.</w:t>
      </w:r>
    </w:p>
  </w:footnote>
  <w:footnote w:id="19">
    <w:p w14:paraId="579FF1BA" w14:textId="2F00B883" w:rsidR="000D4B4E" w:rsidRPr="003B09B0" w:rsidRDefault="000D4B4E">
      <w:pPr>
        <w:pStyle w:val="Notedebasdepage"/>
        <w:rPr>
          <w:lang w:val="en-CA"/>
        </w:rPr>
      </w:pPr>
      <w:r>
        <w:rPr>
          <w:rStyle w:val="Appelnotedebasdep"/>
        </w:rPr>
        <w:footnoteRef/>
      </w:r>
      <w:r w:rsidRPr="003B09B0">
        <w:rPr>
          <w:lang w:val="en-CA"/>
        </w:rPr>
        <w:t xml:space="preserve"> </w:t>
      </w:r>
      <w:r w:rsidRPr="003B09B0">
        <w:rPr>
          <w:lang w:val="en-CA"/>
        </w:rPr>
        <w:tab/>
      </w:r>
      <w:r w:rsidRPr="003B09B0">
        <w:rPr>
          <w:i/>
          <w:iCs/>
          <w:lang w:val="en-CA"/>
        </w:rPr>
        <w:t>Ibid</w:t>
      </w:r>
      <w:r w:rsidRPr="003B09B0">
        <w:rPr>
          <w:lang w:val="en-CA"/>
        </w:rPr>
        <w:t>. condition no. 5.</w:t>
      </w:r>
    </w:p>
  </w:footnote>
  <w:footnote w:id="20">
    <w:p w14:paraId="70014EDF" w14:textId="77777777" w:rsidR="008C0475" w:rsidRPr="00181471" w:rsidRDefault="008C0475" w:rsidP="008C0475">
      <w:pPr>
        <w:pStyle w:val="Notedebasdepage"/>
      </w:pPr>
      <w:r>
        <w:rPr>
          <w:rStyle w:val="Appelnotedebasdep"/>
        </w:rPr>
        <w:footnoteRef/>
      </w:r>
      <w:r>
        <w:t xml:space="preserve"> </w:t>
      </w:r>
      <w:r>
        <w:tab/>
      </w:r>
      <w:r w:rsidRPr="00181471">
        <w:rPr>
          <w:i/>
        </w:rPr>
        <w:t xml:space="preserve">R. </w:t>
      </w:r>
      <w:r w:rsidRPr="00181471">
        <w:t xml:space="preserve">v. </w:t>
      </w:r>
      <w:r w:rsidRPr="00181471">
        <w:rPr>
          <w:i/>
        </w:rPr>
        <w:t>Fleischer</w:t>
      </w:r>
      <w:r w:rsidRPr="00181471">
        <w:t>, 2015 QCCA 642 au para. 29</w:t>
      </w:r>
      <w:r>
        <w:t>.</w:t>
      </w:r>
    </w:p>
  </w:footnote>
  <w:footnote w:id="21">
    <w:p w14:paraId="7D3BB991" w14:textId="77777777" w:rsidR="008C0475" w:rsidRPr="00F1052A" w:rsidRDefault="008C0475" w:rsidP="008C0475">
      <w:pPr>
        <w:pStyle w:val="Notedebasdepage"/>
      </w:pPr>
      <w:r>
        <w:rPr>
          <w:rStyle w:val="Appelnotedebasdep"/>
        </w:rPr>
        <w:footnoteRef/>
      </w:r>
      <w:r>
        <w:t xml:space="preserve"> </w:t>
      </w:r>
      <w:r>
        <w:tab/>
      </w:r>
      <w:r>
        <w:rPr>
          <w:i/>
        </w:rPr>
        <w:t xml:space="preserve">R. </w:t>
      </w:r>
      <w:r>
        <w:t xml:space="preserve">c. </w:t>
      </w:r>
      <w:r>
        <w:rPr>
          <w:i/>
        </w:rPr>
        <w:t>Parranto</w:t>
      </w:r>
      <w:r>
        <w:t xml:space="preserve">, 2021 CSC 46 au para. 9; </w:t>
      </w:r>
      <w:r>
        <w:rPr>
          <w:i/>
        </w:rPr>
        <w:t xml:space="preserve">R. </w:t>
      </w:r>
      <w:r>
        <w:t xml:space="preserve">c. </w:t>
      </w:r>
      <w:r>
        <w:rPr>
          <w:i/>
        </w:rPr>
        <w:t>S.T.</w:t>
      </w:r>
      <w:r>
        <w:t xml:space="preserve">, 2007 QCCA 1447 au para. </w:t>
      </w:r>
      <w:r w:rsidRPr="00F1052A">
        <w:t>14.</w:t>
      </w:r>
    </w:p>
  </w:footnote>
  <w:footnote w:id="22">
    <w:p w14:paraId="774AF9EA" w14:textId="77777777" w:rsidR="008C0475" w:rsidRPr="00F1052A" w:rsidRDefault="008C0475" w:rsidP="008C0475">
      <w:pPr>
        <w:pStyle w:val="Notedebasdepage"/>
      </w:pPr>
      <w:r>
        <w:rPr>
          <w:rStyle w:val="Appelnotedebasdep"/>
        </w:rPr>
        <w:footnoteRef/>
      </w:r>
      <w:r>
        <w:t xml:space="preserve"> </w:t>
      </w:r>
      <w:r>
        <w:tab/>
      </w:r>
      <w:r>
        <w:rPr>
          <w:i/>
        </w:rPr>
        <w:t xml:space="preserve">R. </w:t>
      </w:r>
      <w:r>
        <w:t xml:space="preserve">c. </w:t>
      </w:r>
      <w:r>
        <w:rPr>
          <w:i/>
        </w:rPr>
        <w:t>M.(C.A.)</w:t>
      </w:r>
      <w:r>
        <w:t>, [1996] 1 R.C.S. 500 au para. 81.</w:t>
      </w:r>
    </w:p>
  </w:footnote>
  <w:footnote w:id="23">
    <w:p w14:paraId="12628B29" w14:textId="77777777" w:rsidR="008C0475" w:rsidRPr="009F118B" w:rsidRDefault="008C0475" w:rsidP="008C0475">
      <w:pPr>
        <w:pStyle w:val="Notedebasdepage"/>
      </w:pPr>
      <w:r w:rsidRPr="009C1CEE">
        <w:rPr>
          <w:rStyle w:val="Appelnotedebasdep"/>
        </w:rPr>
        <w:footnoteRef/>
      </w:r>
      <w:r w:rsidRPr="009C1CEE">
        <w:rPr>
          <w:vertAlign w:val="superscript"/>
        </w:rPr>
        <w:t xml:space="preserve"> </w:t>
      </w:r>
      <w:r>
        <w:tab/>
      </w:r>
      <w:r>
        <w:rPr>
          <w:i/>
        </w:rPr>
        <w:t>Ibid.</w:t>
      </w:r>
      <w:r>
        <w:t xml:space="preserve"> au para. 82; </w:t>
      </w:r>
      <w:r>
        <w:rPr>
          <w:i/>
        </w:rPr>
        <w:t xml:space="preserve">R. </w:t>
      </w:r>
      <w:r>
        <w:t xml:space="preserve">c. </w:t>
      </w:r>
      <w:r>
        <w:rPr>
          <w:i/>
        </w:rPr>
        <w:t>Parranto</w:t>
      </w:r>
      <w:r>
        <w:t xml:space="preserve">, </w:t>
      </w:r>
      <w:r>
        <w:rPr>
          <w:i/>
        </w:rPr>
        <w:t>supra</w:t>
      </w:r>
      <w:r>
        <w:t>, au para. 10.</w:t>
      </w:r>
    </w:p>
  </w:footnote>
  <w:footnote w:id="24">
    <w:p w14:paraId="69814ED4" w14:textId="77777777" w:rsidR="008C0475" w:rsidRPr="008C28CB" w:rsidRDefault="008C0475" w:rsidP="008C0475">
      <w:pPr>
        <w:pStyle w:val="Notedebasdepage"/>
      </w:pPr>
      <w:r>
        <w:rPr>
          <w:rStyle w:val="Appelnotedebasdep"/>
        </w:rPr>
        <w:footnoteRef/>
      </w:r>
      <w:r>
        <w:t xml:space="preserve"> </w:t>
      </w:r>
      <w:r>
        <w:tab/>
      </w:r>
      <w:r>
        <w:rPr>
          <w:i/>
        </w:rPr>
        <w:t xml:space="preserve">R. </w:t>
      </w:r>
      <w:r>
        <w:t xml:space="preserve">c. </w:t>
      </w:r>
      <w:r>
        <w:rPr>
          <w:i/>
        </w:rPr>
        <w:t>Parranto</w:t>
      </w:r>
      <w:r>
        <w:t xml:space="preserve">, </w:t>
      </w:r>
      <w:r>
        <w:rPr>
          <w:i/>
        </w:rPr>
        <w:t>supra</w:t>
      </w:r>
      <w:r>
        <w:t>, au para. 12.</w:t>
      </w:r>
    </w:p>
  </w:footnote>
  <w:footnote w:id="25">
    <w:p w14:paraId="20B9F7EE" w14:textId="77777777" w:rsidR="008C0475" w:rsidRPr="003E24CB" w:rsidRDefault="008C0475" w:rsidP="008C0475">
      <w:pPr>
        <w:pStyle w:val="Notedebasdepage"/>
      </w:pPr>
      <w:r>
        <w:rPr>
          <w:rStyle w:val="Appelnotedebasdep"/>
        </w:rPr>
        <w:footnoteRef/>
      </w:r>
      <w:r>
        <w:t xml:space="preserve"> </w:t>
      </w:r>
      <w:r>
        <w:tab/>
      </w:r>
      <w:r>
        <w:rPr>
          <w:i/>
        </w:rPr>
        <w:t xml:space="preserve">R. </w:t>
      </w:r>
      <w:r>
        <w:t xml:space="preserve">c. </w:t>
      </w:r>
      <w:r>
        <w:rPr>
          <w:i/>
        </w:rPr>
        <w:t>Émond</w:t>
      </w:r>
      <w:r>
        <w:t xml:space="preserve">, 2019 QCCA 317 au para. 40; </w:t>
      </w:r>
      <w:r>
        <w:rPr>
          <w:i/>
        </w:rPr>
        <w:t xml:space="preserve">R. </w:t>
      </w:r>
      <w:r>
        <w:t xml:space="preserve">c. </w:t>
      </w:r>
      <w:r>
        <w:rPr>
          <w:i/>
        </w:rPr>
        <w:t>Bernard</w:t>
      </w:r>
      <w:r>
        <w:t>, 2019 QCCA 638 aux paras. 36-37.</w:t>
      </w:r>
    </w:p>
  </w:footnote>
  <w:footnote w:id="26">
    <w:p w14:paraId="196921EE" w14:textId="77777777" w:rsidR="008C0475" w:rsidRPr="009C1CEE" w:rsidRDefault="008C0475" w:rsidP="008C0475">
      <w:pPr>
        <w:pStyle w:val="Notedebasdepage"/>
      </w:pPr>
      <w:r w:rsidRPr="009C1CEE">
        <w:rPr>
          <w:rStyle w:val="Appelnotedebasdep"/>
        </w:rPr>
        <w:footnoteRef/>
      </w:r>
      <w:r w:rsidRPr="009C1CEE">
        <w:rPr>
          <w:vertAlign w:val="superscript"/>
        </w:rPr>
        <w:t xml:space="preserve"> </w:t>
      </w:r>
      <w:r>
        <w:rPr>
          <w:vertAlign w:val="superscript"/>
        </w:rPr>
        <w:tab/>
      </w:r>
      <w:r>
        <w:rPr>
          <w:i/>
        </w:rPr>
        <w:t xml:space="preserve">R. </w:t>
      </w:r>
      <w:r>
        <w:t xml:space="preserve">c. </w:t>
      </w:r>
      <w:r>
        <w:rPr>
          <w:i/>
        </w:rPr>
        <w:t>Lacasse</w:t>
      </w:r>
      <w:r>
        <w:t>, [2015] 3 R.C.S. 1089 aux paras. 56-58, 67, 69.</w:t>
      </w:r>
    </w:p>
  </w:footnote>
  <w:footnote w:id="27">
    <w:p w14:paraId="71477156" w14:textId="77777777" w:rsidR="008C0475" w:rsidRPr="00852146" w:rsidRDefault="008C0475" w:rsidP="008C0475">
      <w:pPr>
        <w:pStyle w:val="Notedebasdepage"/>
      </w:pPr>
      <w:r>
        <w:rPr>
          <w:rStyle w:val="Appelnotedebasdep"/>
        </w:rPr>
        <w:footnoteRef/>
      </w:r>
      <w:r>
        <w:t xml:space="preserve"> </w:t>
      </w:r>
      <w:r>
        <w:tab/>
      </w:r>
      <w:r>
        <w:rPr>
          <w:i/>
        </w:rPr>
        <w:t xml:space="preserve">R. </w:t>
      </w:r>
      <w:r>
        <w:t xml:space="preserve">c. </w:t>
      </w:r>
      <w:r>
        <w:rPr>
          <w:i/>
        </w:rPr>
        <w:t>L.M.</w:t>
      </w:r>
      <w:r>
        <w:t>, [2008] 2 R.C.S. 163.</w:t>
      </w:r>
    </w:p>
  </w:footnote>
  <w:footnote w:id="28">
    <w:p w14:paraId="5CD3F431" w14:textId="77777777" w:rsidR="008C0475" w:rsidRDefault="008C0475" w:rsidP="008C0475">
      <w:pPr>
        <w:pStyle w:val="Notedebasdepage"/>
      </w:pPr>
      <w:r>
        <w:rPr>
          <w:rStyle w:val="Appelnotedebasdep"/>
        </w:rPr>
        <w:footnoteRef/>
      </w:r>
      <w:r>
        <w:t xml:space="preserve"> </w:t>
      </w:r>
      <w:r>
        <w:tab/>
      </w:r>
      <w:r>
        <w:rPr>
          <w:i/>
        </w:rPr>
        <w:t xml:space="preserve">R. </w:t>
      </w:r>
      <w:r>
        <w:t xml:space="preserve">c. </w:t>
      </w:r>
      <w:r>
        <w:rPr>
          <w:i/>
        </w:rPr>
        <w:t>Friesen</w:t>
      </w:r>
      <w:r>
        <w:t>, 2020 CSC 9 au para. 32.</w:t>
      </w:r>
    </w:p>
  </w:footnote>
  <w:footnote w:id="29">
    <w:p w14:paraId="4A4BD0B2" w14:textId="77777777" w:rsidR="008C0475" w:rsidRPr="00AE06DC" w:rsidRDefault="008C0475" w:rsidP="008C0475">
      <w:pPr>
        <w:pStyle w:val="Notedebasdepage"/>
      </w:pPr>
      <w:r>
        <w:rPr>
          <w:rStyle w:val="Appelnotedebasdep"/>
        </w:rPr>
        <w:footnoteRef/>
      </w:r>
      <w:r>
        <w:t xml:space="preserve"> </w:t>
      </w:r>
      <w:r>
        <w:tab/>
      </w:r>
      <w:r>
        <w:rPr>
          <w:i/>
        </w:rPr>
        <w:t xml:space="preserve">R. </w:t>
      </w:r>
      <w:r>
        <w:t xml:space="preserve">c. </w:t>
      </w:r>
      <w:r>
        <w:rPr>
          <w:i/>
        </w:rPr>
        <w:t>Parranto</w:t>
      </w:r>
      <w:r>
        <w:t xml:space="preserve">, </w:t>
      </w:r>
      <w:r>
        <w:rPr>
          <w:i/>
        </w:rPr>
        <w:t>supra</w:t>
      </w:r>
      <w:r>
        <w:t xml:space="preserve">, au para. 45; </w:t>
      </w:r>
      <w:r>
        <w:rPr>
          <w:i/>
        </w:rPr>
        <w:t xml:space="preserve">R. </w:t>
      </w:r>
      <w:r>
        <w:t xml:space="preserve">c. </w:t>
      </w:r>
      <w:r>
        <w:rPr>
          <w:i/>
        </w:rPr>
        <w:t>Lacelle-Belec</w:t>
      </w:r>
      <w:r>
        <w:t>, 2019 QCCA 711.</w:t>
      </w:r>
    </w:p>
  </w:footnote>
  <w:footnote w:id="30">
    <w:p w14:paraId="59920EC9" w14:textId="77777777" w:rsidR="008C0475" w:rsidRPr="009F118B" w:rsidRDefault="008C0475" w:rsidP="008C0475">
      <w:pPr>
        <w:pStyle w:val="Notedebasdepage"/>
      </w:pPr>
      <w:r>
        <w:rPr>
          <w:rStyle w:val="Appelnotedebasdep"/>
        </w:rPr>
        <w:footnoteRef/>
      </w:r>
      <w:r>
        <w:t xml:space="preserve"> </w:t>
      </w:r>
      <w:r>
        <w:tab/>
      </w:r>
      <w:r>
        <w:rPr>
          <w:i/>
        </w:rPr>
        <w:t xml:space="preserve">R. </w:t>
      </w:r>
      <w:r>
        <w:t xml:space="preserve">c. </w:t>
      </w:r>
      <w:r>
        <w:rPr>
          <w:i/>
        </w:rPr>
        <w:t>Parranto</w:t>
      </w:r>
      <w:r>
        <w:t xml:space="preserve">, </w:t>
      </w:r>
      <w:r>
        <w:rPr>
          <w:i/>
        </w:rPr>
        <w:t>supra</w:t>
      </w:r>
      <w:r>
        <w:t>, au para. 10.</w:t>
      </w:r>
    </w:p>
  </w:footnote>
  <w:footnote w:id="31">
    <w:p w14:paraId="534E11DB" w14:textId="77777777" w:rsidR="008C0475" w:rsidRPr="00C16CB6" w:rsidRDefault="008C0475" w:rsidP="008C0475">
      <w:pPr>
        <w:pStyle w:val="Notedebasdepage"/>
      </w:pPr>
      <w:r>
        <w:rPr>
          <w:rStyle w:val="Appelnotedebasdep"/>
        </w:rPr>
        <w:footnoteRef/>
      </w:r>
      <w:r>
        <w:t xml:space="preserve"> </w:t>
      </w:r>
      <w:r>
        <w:tab/>
      </w:r>
      <w:r>
        <w:rPr>
          <w:i/>
        </w:rPr>
        <w:t xml:space="preserve">R. </w:t>
      </w:r>
      <w:r>
        <w:t xml:space="preserve">c. </w:t>
      </w:r>
      <w:r>
        <w:rPr>
          <w:i/>
        </w:rPr>
        <w:t>Friesen</w:t>
      </w:r>
      <w:r>
        <w:t xml:space="preserve">, </w:t>
      </w:r>
      <w:r>
        <w:rPr>
          <w:i/>
        </w:rPr>
        <w:t>supra</w:t>
      </w:r>
      <w:r>
        <w:t xml:space="preserve">, au para. 30; </w:t>
      </w:r>
      <w:r>
        <w:rPr>
          <w:i/>
        </w:rPr>
        <w:t xml:space="preserve">R. </w:t>
      </w:r>
      <w:r>
        <w:t xml:space="preserve">c. </w:t>
      </w:r>
      <w:r>
        <w:rPr>
          <w:i/>
        </w:rPr>
        <w:t>Nasogaluak</w:t>
      </w:r>
      <w:r>
        <w:t>, [2010] 1 R.C.S. 206.</w:t>
      </w:r>
    </w:p>
  </w:footnote>
  <w:footnote w:id="32">
    <w:p w14:paraId="77F14693" w14:textId="32D6D308" w:rsidR="00EE39B9" w:rsidRPr="009B2B65" w:rsidRDefault="00EE39B9">
      <w:pPr>
        <w:pStyle w:val="Notedebasdepage"/>
      </w:pPr>
      <w:r>
        <w:rPr>
          <w:rStyle w:val="Appelnotedebasdep"/>
        </w:rPr>
        <w:footnoteRef/>
      </w:r>
      <w:r w:rsidRPr="003B09B0">
        <w:t xml:space="preserve"> </w:t>
      </w:r>
      <w:r w:rsidRPr="003B09B0">
        <w:tab/>
      </w:r>
      <w:r w:rsidRPr="003B09B0">
        <w:rPr>
          <w:i/>
        </w:rPr>
        <w:t xml:space="preserve">R. </w:t>
      </w:r>
      <w:r w:rsidRPr="003B09B0">
        <w:t xml:space="preserve">v. </w:t>
      </w:r>
      <w:r w:rsidRPr="003B09B0">
        <w:rPr>
          <w:i/>
        </w:rPr>
        <w:t>Butt</w:t>
      </w:r>
      <w:r w:rsidRPr="003B09B0">
        <w:t xml:space="preserve">, 2010 NSCA 56 au para. </w:t>
      </w:r>
      <w:r w:rsidRPr="009B2B65">
        <w:t>13.</w:t>
      </w:r>
    </w:p>
  </w:footnote>
  <w:footnote w:id="33">
    <w:p w14:paraId="1BEDD9C4" w14:textId="5CC5458B" w:rsidR="0036241B" w:rsidRPr="0036241B" w:rsidRDefault="0036241B">
      <w:pPr>
        <w:pStyle w:val="Notedebasdepage"/>
      </w:pPr>
      <w:r>
        <w:rPr>
          <w:rStyle w:val="Appelnotedebasdep"/>
        </w:rPr>
        <w:footnoteRef/>
      </w:r>
      <w:r w:rsidRPr="0036241B">
        <w:t xml:space="preserve"> </w:t>
      </w:r>
      <w:r w:rsidRPr="0036241B">
        <w:tab/>
      </w:r>
      <w:r w:rsidRPr="0036241B">
        <w:rPr>
          <w:i/>
        </w:rPr>
        <w:t xml:space="preserve">R. </w:t>
      </w:r>
      <w:r w:rsidRPr="0036241B">
        <w:t xml:space="preserve">v. </w:t>
      </w:r>
      <w:r w:rsidRPr="0036241B">
        <w:rPr>
          <w:i/>
        </w:rPr>
        <w:t xml:space="preserve">Lessard </w:t>
      </w:r>
      <w:r w:rsidRPr="0036241B">
        <w:t xml:space="preserve">(1990), 59 C.C.C. (3d) 123 (C.A.Qué.); A. Sabbadini &amp; A. Boni, </w:t>
      </w:r>
      <w:r w:rsidRPr="0036241B">
        <w:rPr>
          <w:i/>
        </w:rPr>
        <w:t>Sentencing Drug Offenders</w:t>
      </w:r>
      <w:r w:rsidRPr="0036241B">
        <w:t xml:space="preserve">, Canada Law Book, </w:t>
      </w:r>
      <w:r>
        <w:t>é</w:t>
      </w:r>
      <w:r w:rsidRPr="0036241B">
        <w:t>dition à feuilles mobiles (mis-à-jour au 1</w:t>
      </w:r>
      <w:r w:rsidRPr="0036241B">
        <w:rPr>
          <w:vertAlign w:val="superscript"/>
        </w:rPr>
        <w:t>er</w:t>
      </w:r>
      <w:r w:rsidRPr="0036241B">
        <w:t xml:space="preserve"> novembre 2019) Toronto (Ont.) a</w:t>
      </w:r>
      <w:r>
        <w:t>u</w:t>
      </w:r>
      <w:r w:rsidRPr="0036241B">
        <w:t xml:space="preserve"> para. 3:300:20.</w:t>
      </w:r>
    </w:p>
  </w:footnote>
  <w:footnote w:id="34">
    <w:p w14:paraId="420A40A2" w14:textId="7F483F00" w:rsidR="00632434" w:rsidRPr="00F16403" w:rsidRDefault="00632434">
      <w:pPr>
        <w:pStyle w:val="Notedebasdepage"/>
      </w:pPr>
      <w:r>
        <w:rPr>
          <w:rStyle w:val="Appelnotedebasdep"/>
        </w:rPr>
        <w:footnoteRef/>
      </w:r>
      <w:r>
        <w:t xml:space="preserve"> </w:t>
      </w:r>
      <w:r>
        <w:tab/>
      </w:r>
      <w:r>
        <w:rPr>
          <w:i/>
          <w:iCs/>
        </w:rPr>
        <w:t xml:space="preserve">R. </w:t>
      </w:r>
      <w:r>
        <w:t xml:space="preserve">c. </w:t>
      </w:r>
      <w:r>
        <w:rPr>
          <w:i/>
          <w:iCs/>
        </w:rPr>
        <w:t>Stevens</w:t>
      </w:r>
      <w:r>
        <w:t>, 2014 QCCA 444 aux paras. 33, 35</w:t>
      </w:r>
      <w:r w:rsidR="00204467">
        <w:t xml:space="preserve">; </w:t>
      </w:r>
      <w:r w:rsidR="00204467">
        <w:rPr>
          <w:i/>
          <w:iCs/>
        </w:rPr>
        <w:t xml:space="preserve">R. </w:t>
      </w:r>
      <w:r w:rsidR="00204467">
        <w:t xml:space="preserve">c. </w:t>
      </w:r>
      <w:r w:rsidR="00204467">
        <w:rPr>
          <w:i/>
          <w:iCs/>
        </w:rPr>
        <w:t>Thibault</w:t>
      </w:r>
      <w:r w:rsidR="00204467">
        <w:t>, 2015 QCCA 1528 au para. 22</w:t>
      </w:r>
      <w:r w:rsidR="00F16403">
        <w:t xml:space="preserve">; </w:t>
      </w:r>
      <w:r w:rsidR="00F16403">
        <w:rPr>
          <w:i/>
          <w:iCs/>
        </w:rPr>
        <w:t xml:space="preserve">R. </w:t>
      </w:r>
      <w:r w:rsidR="00F16403">
        <w:t xml:space="preserve">c. </w:t>
      </w:r>
      <w:r w:rsidR="00F16403">
        <w:rPr>
          <w:i/>
          <w:iCs/>
        </w:rPr>
        <w:t>Lessard</w:t>
      </w:r>
      <w:r w:rsidR="00F16403">
        <w:t xml:space="preserve"> (1990), 59 C.C.C. (3d) 123 (C.A.Qué.).</w:t>
      </w:r>
    </w:p>
  </w:footnote>
  <w:footnote w:id="35">
    <w:p w14:paraId="4D2C4DB7" w14:textId="4008C601" w:rsidR="00E85AD2" w:rsidRPr="00E85AD2" w:rsidRDefault="00E85AD2">
      <w:pPr>
        <w:pStyle w:val="Notedebasdepage"/>
      </w:pPr>
      <w:r>
        <w:rPr>
          <w:rStyle w:val="Appelnotedebasdep"/>
        </w:rPr>
        <w:footnoteRef/>
      </w:r>
      <w:r>
        <w:t xml:space="preserve"> </w:t>
      </w:r>
      <w:r>
        <w:tab/>
      </w:r>
      <w:r w:rsidR="00632434" w:rsidRPr="00632434">
        <w:rPr>
          <w:i/>
          <w:iCs/>
        </w:rPr>
        <w:t>R</w:t>
      </w:r>
      <w:r>
        <w:rPr>
          <w:i/>
          <w:iCs/>
        </w:rPr>
        <w:t xml:space="preserve">. </w:t>
      </w:r>
      <w:r>
        <w:t xml:space="preserve">c. </w:t>
      </w:r>
      <w:r>
        <w:rPr>
          <w:i/>
          <w:iCs/>
        </w:rPr>
        <w:t>Larouche</w:t>
      </w:r>
      <w:r>
        <w:t xml:space="preserve">, 2012 QCCA 2272 au para. </w:t>
      </w:r>
      <w:r w:rsidRPr="00E85AD2">
        <w:t xml:space="preserve">34; </w:t>
      </w:r>
      <w:r w:rsidRPr="00E85AD2">
        <w:rPr>
          <w:i/>
          <w:iCs/>
        </w:rPr>
        <w:t xml:space="preserve">R. </w:t>
      </w:r>
      <w:r w:rsidRPr="00E85AD2">
        <w:t xml:space="preserve">c. </w:t>
      </w:r>
      <w:r w:rsidRPr="00E85AD2">
        <w:rPr>
          <w:i/>
          <w:iCs/>
        </w:rPr>
        <w:t>Ifezue</w:t>
      </w:r>
      <w:r w:rsidRPr="00E85AD2">
        <w:t>, 2015 QCCA 2021 au</w:t>
      </w:r>
      <w:r>
        <w:t xml:space="preserve"> para. 12</w:t>
      </w:r>
      <w:r w:rsidR="00BB5B6C">
        <w:t xml:space="preserve">; </w:t>
      </w:r>
      <w:r w:rsidR="00BB5B6C">
        <w:rPr>
          <w:i/>
          <w:iCs/>
        </w:rPr>
        <w:t xml:space="preserve">R. </w:t>
      </w:r>
      <w:r w:rsidR="00BB5B6C">
        <w:t xml:space="preserve">c. </w:t>
      </w:r>
      <w:r w:rsidR="00BB5B6C">
        <w:rPr>
          <w:i/>
          <w:iCs/>
        </w:rPr>
        <w:t>Duhaime</w:t>
      </w:r>
      <w:r w:rsidR="00BB5B6C">
        <w:t>, 2015 QCCA 685 au para. 12.</w:t>
      </w:r>
    </w:p>
  </w:footnote>
  <w:footnote w:id="36">
    <w:p w14:paraId="6DA44C42" w14:textId="05926B27" w:rsidR="00120A9D" w:rsidRPr="009B2B65" w:rsidRDefault="00120A9D">
      <w:pPr>
        <w:pStyle w:val="Notedebasdepage"/>
      </w:pPr>
      <w:r>
        <w:rPr>
          <w:rStyle w:val="Appelnotedebasdep"/>
        </w:rPr>
        <w:footnoteRef/>
      </w:r>
      <w:r w:rsidRPr="00E85AD2">
        <w:t xml:space="preserve"> </w:t>
      </w:r>
      <w:r w:rsidRPr="00E85AD2">
        <w:tab/>
      </w:r>
      <w:r w:rsidRPr="00E85AD2">
        <w:rPr>
          <w:i/>
        </w:rPr>
        <w:t>Sentencing Drug Offenders</w:t>
      </w:r>
      <w:r w:rsidRPr="00E85AD2">
        <w:t xml:space="preserve">, </w:t>
      </w:r>
      <w:r w:rsidRPr="00E85AD2">
        <w:rPr>
          <w:i/>
        </w:rPr>
        <w:t>supra</w:t>
      </w:r>
      <w:r w:rsidRPr="00E85AD2">
        <w:t xml:space="preserve">, au para. </w:t>
      </w:r>
      <w:r w:rsidRPr="009B2B65">
        <w:t>3:300:20.</w:t>
      </w:r>
    </w:p>
  </w:footnote>
  <w:footnote w:id="37">
    <w:p w14:paraId="732FD697" w14:textId="77777777" w:rsidR="00F16403" w:rsidRPr="00F16403" w:rsidRDefault="00F16403" w:rsidP="00F16403">
      <w:pPr>
        <w:pStyle w:val="Notedebasdepage"/>
      </w:pPr>
      <w:r>
        <w:rPr>
          <w:rStyle w:val="Appelnotedebasdep"/>
        </w:rPr>
        <w:footnoteRef/>
      </w:r>
      <w:r>
        <w:t xml:space="preserve"> </w:t>
      </w:r>
      <w:r>
        <w:tab/>
        <w:t xml:space="preserve">Voir : </w:t>
      </w:r>
      <w:r>
        <w:rPr>
          <w:i/>
          <w:iCs/>
        </w:rPr>
        <w:t xml:space="preserve">R. </w:t>
      </w:r>
      <w:r>
        <w:t xml:space="preserve">c. </w:t>
      </w:r>
      <w:r>
        <w:rPr>
          <w:i/>
          <w:iCs/>
        </w:rPr>
        <w:t>Dinh</w:t>
      </w:r>
      <w:r>
        <w:t xml:space="preserve"> (1982), 68 C.C.C. (2d) 374 (C.A.Qué.) au para. 12.</w:t>
      </w:r>
    </w:p>
  </w:footnote>
  <w:footnote w:id="38">
    <w:p w14:paraId="34E850BB" w14:textId="4E8ABA99" w:rsidR="00120A9D" w:rsidRPr="005D247A" w:rsidRDefault="00120A9D" w:rsidP="005D247A">
      <w:pPr>
        <w:pStyle w:val="Notedebasdepage"/>
      </w:pPr>
      <w:r>
        <w:rPr>
          <w:rStyle w:val="Appelnotedebasdep"/>
        </w:rPr>
        <w:footnoteRef/>
      </w:r>
      <w:r w:rsidRPr="00120A9D">
        <w:t xml:space="preserve"> </w:t>
      </w:r>
      <w:r w:rsidRPr="00120A9D">
        <w:tab/>
      </w:r>
      <w:r w:rsidRPr="00120A9D">
        <w:rPr>
          <w:i/>
        </w:rPr>
        <w:t xml:space="preserve">R. </w:t>
      </w:r>
      <w:r w:rsidRPr="00120A9D">
        <w:t xml:space="preserve">v. </w:t>
      </w:r>
      <w:r w:rsidRPr="00120A9D">
        <w:rPr>
          <w:i/>
        </w:rPr>
        <w:t>Hamilton &amp; Mason</w:t>
      </w:r>
      <w:r w:rsidRPr="00120A9D">
        <w:t xml:space="preserve"> (2004), 186 C.C.C. (3d) 129 (C.A.Ont.) au para. 104; extrait cite avec approbation par la Cour d’appel du Québ</w:t>
      </w:r>
      <w:r>
        <w:t xml:space="preserve">ec dans l’arrêt </w:t>
      </w:r>
      <w:r w:rsidRPr="00120A9D">
        <w:rPr>
          <w:i/>
        </w:rPr>
        <w:t xml:space="preserve">R. </w:t>
      </w:r>
      <w:r w:rsidRPr="00120A9D">
        <w:t xml:space="preserve">c. </w:t>
      </w:r>
      <w:r w:rsidRPr="00120A9D">
        <w:rPr>
          <w:i/>
        </w:rPr>
        <w:t>Ifezue</w:t>
      </w:r>
      <w:r w:rsidRPr="00120A9D">
        <w:t>, 2015 QCCA 2021 a</w:t>
      </w:r>
      <w:r>
        <w:t>u</w:t>
      </w:r>
      <w:r w:rsidRPr="00120A9D">
        <w:t xml:space="preserve"> para. </w:t>
      </w:r>
      <w:r w:rsidRPr="005D247A">
        <w:t xml:space="preserve">12, dans lequel la Cour </w:t>
      </w:r>
      <w:r w:rsidR="005D247A" w:rsidRPr="005D247A">
        <w:t xml:space="preserve">a reconnu l’orientation </w:t>
      </w:r>
      <w:r w:rsidR="005D247A">
        <w:t>g</w:t>
      </w:r>
      <w:r w:rsidR="005D247A" w:rsidRPr="005D247A">
        <w:t>énérale de s</w:t>
      </w:r>
      <w:r w:rsidR="005D247A">
        <w:t xml:space="preserve">a jurisprudence vers des peines plus sévères. </w:t>
      </w:r>
      <w:r w:rsidR="005D247A" w:rsidRPr="005D247A">
        <w:t xml:space="preserve">À plusieurs occasions, la Cour suprême du Canada a </w:t>
      </w:r>
      <w:r w:rsidR="005D247A">
        <w:t xml:space="preserve">carrément </w:t>
      </w:r>
      <w:r w:rsidR="005D247A" w:rsidRPr="005D247A">
        <w:t>d</w:t>
      </w:r>
      <w:r w:rsidR="005D247A">
        <w:t xml:space="preserve">écrit le trafic de drogues comme une calamité sociale qui cause des dommages irréparables : </w:t>
      </w:r>
      <w:r w:rsidRPr="005D247A">
        <w:rPr>
          <w:i/>
        </w:rPr>
        <w:t xml:space="preserve">R. </w:t>
      </w:r>
      <w:r w:rsidR="005D247A">
        <w:t>c</w:t>
      </w:r>
      <w:r w:rsidRPr="005D247A">
        <w:t xml:space="preserve">. </w:t>
      </w:r>
      <w:r w:rsidRPr="005D247A">
        <w:rPr>
          <w:i/>
        </w:rPr>
        <w:t>Smith</w:t>
      </w:r>
      <w:r w:rsidRPr="005D247A">
        <w:t xml:space="preserve">, [1987] 1 </w:t>
      </w:r>
      <w:r w:rsidR="005D247A">
        <w:t>R.C.S.</w:t>
      </w:r>
      <w:r w:rsidRPr="005D247A">
        <w:t xml:space="preserve"> 1045; </w:t>
      </w:r>
      <w:r w:rsidRPr="005D247A">
        <w:rPr>
          <w:i/>
        </w:rPr>
        <w:t xml:space="preserve">R. </w:t>
      </w:r>
      <w:r w:rsidR="005D247A">
        <w:t>c</w:t>
      </w:r>
      <w:r w:rsidRPr="005D247A">
        <w:t xml:space="preserve">. </w:t>
      </w:r>
      <w:r w:rsidRPr="005D247A">
        <w:rPr>
          <w:i/>
        </w:rPr>
        <w:t>Pearson</w:t>
      </w:r>
      <w:r w:rsidRPr="005D247A">
        <w:t xml:space="preserve">, [1992] 3 </w:t>
      </w:r>
      <w:r w:rsidR="005D247A">
        <w:t>R.C.S</w:t>
      </w:r>
      <w:r w:rsidRPr="005D247A">
        <w:t xml:space="preserve">. 665; </w:t>
      </w:r>
      <w:r w:rsidRPr="005D247A">
        <w:rPr>
          <w:i/>
        </w:rPr>
        <w:t>Pushpanathan</w:t>
      </w:r>
      <w:r w:rsidRPr="005D247A">
        <w:t xml:space="preserve"> </w:t>
      </w:r>
      <w:r w:rsidR="005D247A">
        <w:t>c</w:t>
      </w:r>
      <w:r w:rsidRPr="005D247A">
        <w:t xml:space="preserve">. </w:t>
      </w:r>
      <w:r w:rsidRPr="005D247A">
        <w:rPr>
          <w:i/>
        </w:rPr>
        <w:t>Canada</w:t>
      </w:r>
      <w:r w:rsidRPr="005D247A">
        <w:t xml:space="preserve">, [1998] 1 </w:t>
      </w:r>
      <w:r w:rsidR="005D247A">
        <w:t>R.C.S.</w:t>
      </w:r>
      <w:r w:rsidRPr="005D247A">
        <w:t xml:space="preserve"> 982</w:t>
      </w:r>
      <w:r w:rsidR="005D247A">
        <w:t>.</w:t>
      </w:r>
    </w:p>
  </w:footnote>
  <w:footnote w:id="39">
    <w:p w14:paraId="0F79A222" w14:textId="48C18BF9" w:rsidR="004F7883" w:rsidRDefault="004F7883">
      <w:pPr>
        <w:pStyle w:val="Notedebasdepage"/>
      </w:pPr>
      <w:r>
        <w:rPr>
          <w:rStyle w:val="Appelnotedebasdep"/>
        </w:rPr>
        <w:footnoteRef/>
      </w:r>
      <w:r>
        <w:t xml:space="preserve"> </w:t>
      </w:r>
      <w:r>
        <w:tab/>
      </w:r>
      <w:r w:rsidRPr="004F7883">
        <w:rPr>
          <w:i/>
        </w:rPr>
        <w:t xml:space="preserve">R. </w:t>
      </w:r>
      <w:r w:rsidRPr="004F7883">
        <w:t xml:space="preserve">v. </w:t>
      </w:r>
      <w:r w:rsidRPr="004F7883">
        <w:rPr>
          <w:i/>
        </w:rPr>
        <w:t>Byers</w:t>
      </w:r>
      <w:r w:rsidRPr="004F7883">
        <w:t xml:space="preserve"> (1989), 90 N.S.R. (2d) 263 (C.A.</w:t>
      </w:r>
      <w:r>
        <w:t>N.É.</w:t>
      </w:r>
      <w:r w:rsidRPr="004F7883">
        <w:t>)</w:t>
      </w:r>
      <w:r>
        <w:t>.</w:t>
      </w:r>
    </w:p>
  </w:footnote>
  <w:footnote w:id="40">
    <w:p w14:paraId="50A59955" w14:textId="4EC04D4A" w:rsidR="00D8798D" w:rsidRDefault="00D8798D">
      <w:pPr>
        <w:pStyle w:val="Notedebasdepage"/>
      </w:pPr>
      <w:r>
        <w:rPr>
          <w:rStyle w:val="Appelnotedebasdep"/>
        </w:rPr>
        <w:footnoteRef/>
      </w:r>
      <w:r>
        <w:t xml:space="preserve"> </w:t>
      </w:r>
      <w:r>
        <w:tab/>
      </w:r>
      <w:r>
        <w:rPr>
          <w:i/>
        </w:rPr>
        <w:t xml:space="preserve">R. </w:t>
      </w:r>
      <w:r>
        <w:t xml:space="preserve">c. </w:t>
      </w:r>
      <w:r>
        <w:rPr>
          <w:i/>
        </w:rPr>
        <w:t>Dorvilus</w:t>
      </w:r>
      <w:r>
        <w:t xml:space="preserve"> (1990), 60 C.C.C. (3d) 437 (C.A.Qué.) au para. 9.</w:t>
      </w:r>
    </w:p>
  </w:footnote>
  <w:footnote w:id="41">
    <w:p w14:paraId="79365EF1" w14:textId="47230944" w:rsidR="006449C8" w:rsidRPr="006449C8" w:rsidRDefault="006449C8">
      <w:pPr>
        <w:pStyle w:val="Notedebasdepage"/>
        <w:rPr>
          <w:lang w:val="en-CA"/>
        </w:rPr>
      </w:pPr>
      <w:r>
        <w:rPr>
          <w:rStyle w:val="Appelnotedebasdep"/>
        </w:rPr>
        <w:footnoteRef/>
      </w:r>
      <w:r w:rsidRPr="006449C8">
        <w:t xml:space="preserve"> </w:t>
      </w:r>
      <w:r w:rsidRPr="006449C8">
        <w:tab/>
      </w:r>
      <w:r w:rsidRPr="006449C8">
        <w:rPr>
          <w:rFonts w:cs="Arial"/>
          <w:i/>
          <w:iCs/>
        </w:rPr>
        <w:t xml:space="preserve">R. </w:t>
      </w:r>
      <w:r w:rsidRPr="006449C8">
        <w:rPr>
          <w:rFonts w:cs="Arial"/>
        </w:rPr>
        <w:t xml:space="preserve">c. </w:t>
      </w:r>
      <w:r w:rsidRPr="006449C8">
        <w:rPr>
          <w:rFonts w:cs="Arial"/>
          <w:i/>
          <w:iCs/>
        </w:rPr>
        <w:t>Blagrove</w:t>
      </w:r>
      <w:r w:rsidRPr="006449C8">
        <w:rPr>
          <w:rFonts w:cs="Arial"/>
        </w:rPr>
        <w:t xml:space="preserve">, </w:t>
      </w:r>
      <w:r>
        <w:rPr>
          <w:rFonts w:cs="Arial"/>
        </w:rPr>
        <w:sym w:font="Symbol" w:char="F05B"/>
      </w:r>
      <w:r w:rsidRPr="006449C8">
        <w:rPr>
          <w:rFonts w:cs="Arial"/>
        </w:rPr>
        <w:t>1996</w:t>
      </w:r>
      <w:r>
        <w:rPr>
          <w:rFonts w:cs="Arial"/>
        </w:rPr>
        <w:sym w:font="Symbol" w:char="F05D"/>
      </w:r>
      <w:r w:rsidRPr="006449C8">
        <w:rPr>
          <w:rFonts w:cs="Arial"/>
        </w:rPr>
        <w:t xml:space="preserve"> J.Q. no. 2568 (C.A.Qué.) au pa</w:t>
      </w:r>
      <w:r>
        <w:rPr>
          <w:rFonts w:cs="Arial"/>
        </w:rPr>
        <w:t xml:space="preserve">ra. </w:t>
      </w:r>
      <w:r w:rsidRPr="006449C8">
        <w:rPr>
          <w:rFonts w:cs="Arial"/>
          <w:lang w:val="en-CA"/>
        </w:rPr>
        <w:t>26.</w:t>
      </w:r>
    </w:p>
  </w:footnote>
  <w:footnote w:id="42">
    <w:p w14:paraId="4ED3ADF8" w14:textId="0E343D12" w:rsidR="00BE05BC" w:rsidRPr="00BE05BC" w:rsidRDefault="00BE05BC">
      <w:pPr>
        <w:pStyle w:val="Notedebasdepage"/>
        <w:rPr>
          <w:lang w:val="en-CA"/>
        </w:rPr>
      </w:pPr>
      <w:r>
        <w:rPr>
          <w:rStyle w:val="Appelnotedebasdep"/>
        </w:rPr>
        <w:footnoteRef/>
      </w:r>
      <w:r w:rsidRPr="00BE05BC">
        <w:rPr>
          <w:lang w:val="en-CA"/>
        </w:rPr>
        <w:t xml:space="preserve"> </w:t>
      </w:r>
      <w:r w:rsidRPr="00BE05BC">
        <w:rPr>
          <w:lang w:val="en-CA"/>
        </w:rPr>
        <w:tab/>
      </w:r>
      <w:r>
        <w:rPr>
          <w:i/>
          <w:lang w:val="en-CA"/>
        </w:rPr>
        <w:t xml:space="preserve">R. </w:t>
      </w:r>
      <w:r>
        <w:rPr>
          <w:lang w:val="en-CA"/>
        </w:rPr>
        <w:t xml:space="preserve">c. </w:t>
      </w:r>
      <w:r>
        <w:rPr>
          <w:i/>
          <w:lang w:val="en-CA"/>
        </w:rPr>
        <w:t>Moreira</w:t>
      </w:r>
      <w:r>
        <w:rPr>
          <w:lang w:val="en-CA"/>
        </w:rPr>
        <w:t>, 2011 QCCA 1828.</w:t>
      </w:r>
    </w:p>
  </w:footnote>
  <w:footnote w:id="43">
    <w:p w14:paraId="7A6B9F95" w14:textId="22792D6C" w:rsidR="00765088" w:rsidRPr="00765088" w:rsidRDefault="00765088">
      <w:pPr>
        <w:pStyle w:val="Notedebasdepage"/>
        <w:rPr>
          <w:lang w:val="en-CA"/>
        </w:rPr>
      </w:pPr>
      <w:r>
        <w:rPr>
          <w:rStyle w:val="Appelnotedebasdep"/>
        </w:rPr>
        <w:footnoteRef/>
      </w:r>
      <w:r w:rsidRPr="00765088">
        <w:rPr>
          <w:lang w:val="en-CA"/>
        </w:rPr>
        <w:t xml:space="preserve"> </w:t>
      </w:r>
      <w:r w:rsidRPr="00765088">
        <w:rPr>
          <w:lang w:val="en-CA"/>
        </w:rPr>
        <w:tab/>
      </w:r>
      <w:r>
        <w:rPr>
          <w:i/>
          <w:lang w:val="en-CA"/>
        </w:rPr>
        <w:t xml:space="preserve">R. </w:t>
      </w:r>
      <w:r>
        <w:rPr>
          <w:lang w:val="en-CA"/>
        </w:rPr>
        <w:t xml:space="preserve">v. </w:t>
      </w:r>
      <w:r>
        <w:rPr>
          <w:i/>
          <w:lang w:val="en-CA"/>
        </w:rPr>
        <w:t>Barrett</w:t>
      </w:r>
      <w:r>
        <w:rPr>
          <w:lang w:val="en-CA"/>
        </w:rPr>
        <w:t>, 2013 QCCA 1351.</w:t>
      </w:r>
    </w:p>
  </w:footnote>
  <w:footnote w:id="44">
    <w:p w14:paraId="3BD58BEF" w14:textId="00578845" w:rsidR="00B82584" w:rsidRPr="00B82584" w:rsidRDefault="00B82584">
      <w:pPr>
        <w:pStyle w:val="Notedebasdepage"/>
      </w:pPr>
      <w:r>
        <w:rPr>
          <w:rStyle w:val="Appelnotedebasdep"/>
        </w:rPr>
        <w:footnoteRef/>
      </w:r>
      <w:r>
        <w:t xml:space="preserve"> </w:t>
      </w:r>
      <w:r>
        <w:tab/>
      </w:r>
      <w:r>
        <w:rPr>
          <w:i/>
          <w:iCs/>
        </w:rPr>
        <w:t xml:space="preserve">R. </w:t>
      </w:r>
      <w:r>
        <w:t xml:space="preserve">c. </w:t>
      </w:r>
      <w:r>
        <w:rPr>
          <w:i/>
          <w:iCs/>
        </w:rPr>
        <w:t>Daquin</w:t>
      </w:r>
      <w:r>
        <w:t>, 2017 QCCA 1538 au para. 23(a) [note de bas de page 22].</w:t>
      </w:r>
    </w:p>
  </w:footnote>
  <w:footnote w:id="45">
    <w:p w14:paraId="30392D0C" w14:textId="79D8C630" w:rsidR="00B82584" w:rsidRPr="00B82584" w:rsidRDefault="00B82584">
      <w:pPr>
        <w:pStyle w:val="Notedebasdepage"/>
      </w:pPr>
      <w:r>
        <w:rPr>
          <w:rStyle w:val="Appelnotedebasdep"/>
        </w:rPr>
        <w:footnoteRef/>
      </w:r>
      <w:r w:rsidRPr="00B82584">
        <w:t xml:space="preserve"> </w:t>
      </w:r>
      <w:r w:rsidRPr="00B82584">
        <w:tab/>
      </w:r>
      <w:r w:rsidRPr="00B82584">
        <w:rPr>
          <w:i/>
          <w:iCs/>
        </w:rPr>
        <w:t xml:space="preserve">R. </w:t>
      </w:r>
      <w:r w:rsidRPr="00B82584">
        <w:t xml:space="preserve">c. </w:t>
      </w:r>
      <w:r w:rsidRPr="00B82584">
        <w:rPr>
          <w:i/>
          <w:iCs/>
        </w:rPr>
        <w:t>Anthony-Cook</w:t>
      </w:r>
      <w:r w:rsidRPr="00B82584">
        <w:t xml:space="preserve">, [2016] 2 R.C.S. 204; </w:t>
      </w:r>
      <w:r w:rsidRPr="00B82584">
        <w:rPr>
          <w:i/>
          <w:iCs/>
        </w:rPr>
        <w:t xml:space="preserve">R. </w:t>
      </w:r>
      <w:r w:rsidRPr="00B82584">
        <w:t xml:space="preserve">c. </w:t>
      </w:r>
      <w:r w:rsidRPr="00B82584">
        <w:rPr>
          <w:i/>
          <w:iCs/>
        </w:rPr>
        <w:t>Reyes</w:t>
      </w:r>
      <w:r w:rsidRPr="00B82584">
        <w:t xml:space="preserve">, 2022 QCCA 1689; </w:t>
      </w:r>
      <w:r w:rsidRPr="00B82584">
        <w:rPr>
          <w:i/>
          <w:iCs/>
        </w:rPr>
        <w:t xml:space="preserve">R. </w:t>
      </w:r>
      <w:r w:rsidRPr="00B82584">
        <w:t xml:space="preserve">v. </w:t>
      </w:r>
      <w:r w:rsidRPr="00B82584">
        <w:rPr>
          <w:i/>
          <w:iCs/>
        </w:rPr>
        <w:t>Obodzinski</w:t>
      </w:r>
      <w:r w:rsidRPr="00B82584">
        <w:t xml:space="preserve">, 2021 QCCA 1395; </w:t>
      </w:r>
      <w:r w:rsidRPr="00B82584">
        <w:rPr>
          <w:i/>
          <w:iCs/>
        </w:rPr>
        <w:t xml:space="preserve">R. </w:t>
      </w:r>
      <w:r w:rsidRPr="00B82584">
        <w:t xml:space="preserve">c. </w:t>
      </w:r>
      <w:r w:rsidRPr="00B82584">
        <w:rPr>
          <w:i/>
          <w:iCs/>
        </w:rPr>
        <w:t>Galli</w:t>
      </w:r>
      <w:r>
        <w:rPr>
          <w:i/>
          <w:iCs/>
        </w:rPr>
        <w:t>en</w:t>
      </w:r>
      <w:r>
        <w:t>, 2021 QCCA 1026.</w:t>
      </w:r>
    </w:p>
  </w:footnote>
  <w:footnote w:id="46">
    <w:p w14:paraId="0A98B581" w14:textId="5D7A6F49" w:rsidR="00B82584" w:rsidRPr="00B82584" w:rsidRDefault="00B82584">
      <w:pPr>
        <w:pStyle w:val="Notedebasdepage"/>
      </w:pPr>
      <w:r>
        <w:rPr>
          <w:rStyle w:val="Appelnotedebasdep"/>
        </w:rPr>
        <w:footnoteRef/>
      </w:r>
      <w:r>
        <w:t xml:space="preserve"> </w:t>
      </w:r>
      <w:r>
        <w:tab/>
      </w:r>
      <w:r>
        <w:rPr>
          <w:i/>
          <w:iCs/>
        </w:rPr>
        <w:t xml:space="preserve">R. </w:t>
      </w:r>
      <w:r>
        <w:t xml:space="preserve">c. </w:t>
      </w:r>
      <w:r>
        <w:rPr>
          <w:i/>
          <w:iCs/>
        </w:rPr>
        <w:t>Daquin</w:t>
      </w:r>
      <w:r>
        <w:t xml:space="preserve">, </w:t>
      </w:r>
      <w:r>
        <w:rPr>
          <w:i/>
          <w:iCs/>
        </w:rPr>
        <w:t>supra</w:t>
      </w:r>
      <w:r>
        <w:t>, au para. 23(a) [note de bas de page 21].</w:t>
      </w:r>
    </w:p>
  </w:footnote>
  <w:footnote w:id="47">
    <w:p w14:paraId="6DF03D54" w14:textId="7F416F3A" w:rsidR="00D03B87" w:rsidRPr="00D03B87" w:rsidRDefault="00D03B87">
      <w:pPr>
        <w:pStyle w:val="Notedebasdepage"/>
      </w:pPr>
      <w:r>
        <w:rPr>
          <w:rStyle w:val="Appelnotedebasdep"/>
        </w:rPr>
        <w:footnoteRef/>
      </w:r>
      <w:r w:rsidRPr="00D03B87">
        <w:t xml:space="preserve"> </w:t>
      </w:r>
      <w:r w:rsidRPr="00D03B87">
        <w:tab/>
      </w:r>
      <w:r w:rsidRPr="00D03B87">
        <w:rPr>
          <w:i/>
        </w:rPr>
        <w:t xml:space="preserve">R. </w:t>
      </w:r>
      <w:r>
        <w:t>c</w:t>
      </w:r>
      <w:r w:rsidRPr="00D03B87">
        <w:t xml:space="preserve">. </w:t>
      </w:r>
      <w:r w:rsidRPr="00D03B87">
        <w:rPr>
          <w:i/>
        </w:rPr>
        <w:t>Onwualu</w:t>
      </w:r>
      <w:r w:rsidRPr="00D03B87">
        <w:t>, 2015 QCCA 1515 au para. 62.</w:t>
      </w:r>
    </w:p>
  </w:footnote>
  <w:footnote w:id="48">
    <w:p w14:paraId="1309D074" w14:textId="3CA9A8C3" w:rsidR="00D03B87" w:rsidRPr="000D0B18" w:rsidRDefault="00D03B87">
      <w:pPr>
        <w:pStyle w:val="Notedebasdepage"/>
      </w:pPr>
      <w:r>
        <w:rPr>
          <w:rStyle w:val="Appelnotedebasdep"/>
        </w:rPr>
        <w:footnoteRef/>
      </w:r>
      <w:r w:rsidRPr="00D03B87">
        <w:t xml:space="preserve"> </w:t>
      </w:r>
      <w:r w:rsidRPr="00D03B87">
        <w:tab/>
      </w:r>
      <w:r w:rsidRPr="00D03B87">
        <w:rPr>
          <w:i/>
        </w:rPr>
        <w:t xml:space="preserve">R. </w:t>
      </w:r>
      <w:r w:rsidRPr="00D03B87">
        <w:t xml:space="preserve">c. </w:t>
      </w:r>
      <w:r w:rsidRPr="00D03B87">
        <w:rPr>
          <w:i/>
        </w:rPr>
        <w:t>Zawahra</w:t>
      </w:r>
      <w:r w:rsidRPr="00D03B87">
        <w:t xml:space="preserve">, 2016 QCCA 871 au para. </w:t>
      </w:r>
      <w:r w:rsidRPr="000D0B18">
        <w:t>5.</w:t>
      </w:r>
    </w:p>
  </w:footnote>
  <w:footnote w:id="49">
    <w:p w14:paraId="56D25824" w14:textId="266ADD68" w:rsidR="00AA0D56" w:rsidRPr="000D0B18" w:rsidRDefault="00AA0D56">
      <w:pPr>
        <w:pStyle w:val="Notedebasdepage"/>
      </w:pPr>
      <w:r>
        <w:rPr>
          <w:rStyle w:val="Appelnotedebasdep"/>
        </w:rPr>
        <w:footnoteRef/>
      </w:r>
      <w:r w:rsidRPr="00AA0D56">
        <w:t xml:space="preserve"> </w:t>
      </w:r>
      <w:r w:rsidRPr="00AA0D56">
        <w:tab/>
      </w:r>
      <w:r w:rsidRPr="00AA0D56">
        <w:rPr>
          <w:i/>
        </w:rPr>
        <w:t xml:space="preserve">R. </w:t>
      </w:r>
      <w:r w:rsidRPr="00AA0D56">
        <w:t xml:space="preserve">c. </w:t>
      </w:r>
      <w:r w:rsidRPr="00AA0D56">
        <w:rPr>
          <w:i/>
        </w:rPr>
        <w:t>Cormier</w:t>
      </w:r>
      <w:r w:rsidRPr="00AA0D56">
        <w:t xml:space="preserve"> (2018), 366 C.C.C. (3d) 1 (C.A.N.B.) au para. 32. Cité avec approbation par la Cour d’appel de la Nouvelle-Écoss</w:t>
      </w:r>
      <w:r>
        <w:t>e dans</w:t>
      </w:r>
      <w:r w:rsidRPr="00AA0D56">
        <w:t xml:space="preserve"> </w:t>
      </w:r>
      <w:r w:rsidRPr="00AA0D56">
        <w:rPr>
          <w:i/>
        </w:rPr>
        <w:t xml:space="preserve">R. </w:t>
      </w:r>
      <w:r w:rsidRPr="00AA0D56">
        <w:t xml:space="preserve">v. </w:t>
      </w:r>
      <w:r w:rsidRPr="00AA0D56">
        <w:rPr>
          <w:i/>
        </w:rPr>
        <w:t>White</w:t>
      </w:r>
      <w:r w:rsidRPr="00AA0D56">
        <w:t xml:space="preserve"> (2020), 387 C.C.C. (3d) 106 (</w:t>
      </w:r>
      <w:r>
        <w:t>C.A.N.É.</w:t>
      </w:r>
      <w:r w:rsidRPr="00AA0D56">
        <w:t>) a</w:t>
      </w:r>
      <w:r>
        <w:t>u</w:t>
      </w:r>
      <w:r w:rsidRPr="00AA0D56">
        <w:t xml:space="preserve"> para. </w:t>
      </w:r>
      <w:r w:rsidRPr="000D0B18">
        <w:t>82.</w:t>
      </w:r>
    </w:p>
  </w:footnote>
  <w:footnote w:id="50">
    <w:p w14:paraId="468D9862" w14:textId="6FF6C4D8" w:rsidR="00876015" w:rsidRPr="003C5234" w:rsidRDefault="00876015">
      <w:pPr>
        <w:pStyle w:val="Notedebasdepage"/>
      </w:pPr>
      <w:r>
        <w:rPr>
          <w:rStyle w:val="Appelnotedebasdep"/>
        </w:rPr>
        <w:footnoteRef/>
      </w:r>
      <w:r w:rsidRPr="003C5234">
        <w:t xml:space="preserve"> </w:t>
      </w:r>
      <w:r w:rsidRPr="003C5234">
        <w:tab/>
      </w:r>
      <w:r w:rsidRPr="003C5234">
        <w:rPr>
          <w:i/>
          <w:iCs/>
        </w:rPr>
        <w:t>Ibid</w:t>
      </w:r>
      <w:r w:rsidRPr="003C5234">
        <w:t>. aux paras. 34-36.</w:t>
      </w:r>
    </w:p>
  </w:footnote>
  <w:footnote w:id="51">
    <w:p w14:paraId="5887C523" w14:textId="3D2033FE" w:rsidR="006F70B6" w:rsidRPr="000D0B18" w:rsidRDefault="006F70B6">
      <w:pPr>
        <w:pStyle w:val="Notedebasdepage"/>
        <w:rPr>
          <w:lang w:val="en-CA"/>
        </w:rPr>
      </w:pPr>
      <w:r>
        <w:rPr>
          <w:rStyle w:val="Appelnotedebasdep"/>
        </w:rPr>
        <w:footnoteRef/>
      </w:r>
      <w:r>
        <w:t xml:space="preserve"> </w:t>
      </w:r>
      <w:r>
        <w:tab/>
      </w:r>
      <w:r w:rsidRPr="003C5234">
        <w:rPr>
          <w:i/>
        </w:rPr>
        <w:t xml:space="preserve">R. </w:t>
      </w:r>
      <w:r w:rsidRPr="003C5234">
        <w:t xml:space="preserve">v. </w:t>
      </w:r>
      <w:r w:rsidRPr="003C5234">
        <w:rPr>
          <w:i/>
        </w:rPr>
        <w:t>Ma</w:t>
      </w:r>
      <w:r w:rsidRPr="003C5234">
        <w:t xml:space="preserve"> (2003), 177 C.C.C. (3d) 535 (C.A.</w:t>
      </w:r>
      <w:r>
        <w:t>Alta.</w:t>
      </w:r>
      <w:r w:rsidRPr="003C5234">
        <w:t>) a</w:t>
      </w:r>
      <w:r>
        <w:t>u</w:t>
      </w:r>
      <w:r w:rsidRPr="003C5234">
        <w:t xml:space="preserve"> para. </w:t>
      </w:r>
      <w:r w:rsidRPr="000D0B18">
        <w:rPr>
          <w:lang w:val="en-CA"/>
        </w:rPr>
        <w:t>5.</w:t>
      </w:r>
    </w:p>
  </w:footnote>
  <w:footnote w:id="52">
    <w:p w14:paraId="213535FB" w14:textId="602BA881" w:rsidR="002D03FB" w:rsidRPr="002D03FB" w:rsidRDefault="002D03FB">
      <w:pPr>
        <w:pStyle w:val="Notedebasdepage"/>
        <w:rPr>
          <w:lang w:val="en-CA"/>
        </w:rPr>
      </w:pPr>
      <w:r>
        <w:rPr>
          <w:rStyle w:val="Appelnotedebasdep"/>
        </w:rPr>
        <w:footnoteRef/>
      </w:r>
      <w:r w:rsidRPr="002D03FB">
        <w:rPr>
          <w:lang w:val="en-CA"/>
        </w:rPr>
        <w:t xml:space="preserve"> </w:t>
      </w:r>
      <w:r w:rsidRPr="002D03FB">
        <w:rPr>
          <w:lang w:val="en-CA"/>
        </w:rPr>
        <w:tab/>
      </w:r>
      <w:r w:rsidRPr="002D03FB">
        <w:rPr>
          <w:i/>
          <w:iCs/>
          <w:lang w:val="en-CA"/>
        </w:rPr>
        <w:t>Ibid</w:t>
      </w:r>
      <w:r w:rsidRPr="002D03FB">
        <w:rPr>
          <w:lang w:val="en-CA"/>
        </w:rPr>
        <w:t>.</w:t>
      </w:r>
    </w:p>
  </w:footnote>
  <w:footnote w:id="53">
    <w:p w14:paraId="41536A56" w14:textId="237D9235" w:rsidR="002D03FB" w:rsidRPr="002D03FB" w:rsidRDefault="002D03FB">
      <w:pPr>
        <w:pStyle w:val="Notedebasdepage"/>
        <w:rPr>
          <w:lang w:val="en-CA"/>
        </w:rPr>
      </w:pPr>
      <w:r>
        <w:rPr>
          <w:rStyle w:val="Appelnotedebasdep"/>
        </w:rPr>
        <w:footnoteRef/>
      </w:r>
      <w:r w:rsidRPr="002D03FB">
        <w:rPr>
          <w:lang w:val="en-CA"/>
        </w:rPr>
        <w:t xml:space="preserve"> </w:t>
      </w:r>
      <w:r w:rsidRPr="002D03FB">
        <w:rPr>
          <w:lang w:val="en-CA"/>
        </w:rPr>
        <w:tab/>
      </w:r>
      <w:r>
        <w:rPr>
          <w:i/>
          <w:lang w:val="en-CA"/>
        </w:rPr>
        <w:t xml:space="preserve">R. </w:t>
      </w:r>
      <w:r>
        <w:rPr>
          <w:lang w:val="en-CA"/>
        </w:rPr>
        <w:t xml:space="preserve">v. </w:t>
      </w:r>
      <w:r>
        <w:rPr>
          <w:i/>
          <w:lang w:val="en-CA"/>
        </w:rPr>
        <w:t>Carvery</w:t>
      </w:r>
      <w:r>
        <w:rPr>
          <w:lang w:val="en-CA"/>
        </w:rPr>
        <w:t xml:space="preserve"> (1991), 10 C.R. (4th) 228 (C.A.N.É.).</w:t>
      </w:r>
    </w:p>
  </w:footnote>
  <w:footnote w:id="54">
    <w:p w14:paraId="5791BDEF" w14:textId="09BB2C08" w:rsidR="00936DD7" w:rsidRPr="000D0B18" w:rsidRDefault="00936DD7">
      <w:pPr>
        <w:pStyle w:val="Notedebasdepage"/>
      </w:pPr>
      <w:r>
        <w:rPr>
          <w:rStyle w:val="Appelnotedebasdep"/>
        </w:rPr>
        <w:footnoteRef/>
      </w:r>
      <w:r w:rsidRPr="000D0B18">
        <w:t xml:space="preserve"> </w:t>
      </w:r>
      <w:r w:rsidRPr="000D0B18">
        <w:tab/>
      </w:r>
      <w:r w:rsidRPr="000D0B18">
        <w:rPr>
          <w:i/>
        </w:rPr>
        <w:t xml:space="preserve">R. </w:t>
      </w:r>
      <w:r w:rsidRPr="000D0B18">
        <w:t xml:space="preserve">v. </w:t>
      </w:r>
      <w:r w:rsidRPr="000D0B18">
        <w:rPr>
          <w:i/>
        </w:rPr>
        <w:t>Woolcock</w:t>
      </w:r>
      <w:r w:rsidRPr="000D0B18">
        <w:t>, [2002] O.J. No. 4927 (C.A.Ont.) au para. 5.</w:t>
      </w:r>
    </w:p>
  </w:footnote>
  <w:footnote w:id="55">
    <w:p w14:paraId="26871F8D" w14:textId="6DF9B2A4" w:rsidR="00A234EC" w:rsidRPr="00A234EC" w:rsidRDefault="00A234EC">
      <w:pPr>
        <w:pStyle w:val="Notedebasdepage"/>
      </w:pPr>
      <w:r>
        <w:rPr>
          <w:rStyle w:val="Appelnotedebasdep"/>
        </w:rPr>
        <w:footnoteRef/>
      </w:r>
      <w:r>
        <w:t xml:space="preserve"> </w:t>
      </w:r>
      <w:r>
        <w:tab/>
      </w:r>
      <w:r w:rsidR="007E3463">
        <w:rPr>
          <w:i/>
          <w:iCs/>
        </w:rPr>
        <w:t xml:space="preserve">R. </w:t>
      </w:r>
      <w:r w:rsidR="007E3463">
        <w:t xml:space="preserve">c. </w:t>
      </w:r>
      <w:r w:rsidR="007E3463">
        <w:rPr>
          <w:i/>
          <w:iCs/>
        </w:rPr>
        <w:t>Ricard</w:t>
      </w:r>
      <w:r w:rsidR="007E3463">
        <w:t xml:space="preserve">, 2014 QCCA 1160 au para. 10; </w:t>
      </w:r>
      <w:r w:rsidR="007E3463">
        <w:rPr>
          <w:i/>
          <w:iCs/>
        </w:rPr>
        <w:t xml:space="preserve">R. </w:t>
      </w:r>
      <w:r w:rsidR="007E3463">
        <w:t xml:space="preserve">v. </w:t>
      </w:r>
      <w:r w:rsidR="007E3463">
        <w:rPr>
          <w:i/>
          <w:iCs/>
        </w:rPr>
        <w:t>Grant</w:t>
      </w:r>
      <w:r w:rsidR="007E3463">
        <w:t xml:space="preserve"> (2009), 240 C.C.C. (3d) 462 (C.A.Man.) au para. 109; </w:t>
      </w:r>
      <w:r>
        <w:rPr>
          <w:i/>
          <w:iCs/>
        </w:rPr>
        <w:t xml:space="preserve">R. </w:t>
      </w:r>
      <w:r>
        <w:t xml:space="preserve">v. </w:t>
      </w:r>
      <w:r>
        <w:rPr>
          <w:i/>
          <w:iCs/>
        </w:rPr>
        <w:t>Truax</w:t>
      </w:r>
      <w:r>
        <w:t>, 2021 ABCA 97 au para.34;</w:t>
      </w:r>
      <w:r w:rsidR="007E3463">
        <w:t xml:space="preserve"> </w:t>
      </w:r>
      <w:r w:rsidR="007E3463">
        <w:rPr>
          <w:i/>
          <w:iCs/>
        </w:rPr>
        <w:t>R.</w:t>
      </w:r>
      <w:r w:rsidR="007E3463">
        <w:t xml:space="preserve"> v. </w:t>
      </w:r>
      <w:r w:rsidR="007E3463">
        <w:rPr>
          <w:i/>
          <w:iCs/>
        </w:rPr>
        <w:t>Francis</w:t>
      </w:r>
      <w:r w:rsidR="007E3463">
        <w:t xml:space="preserve">, 2008 BCCA 309 aux paras. 12, 13, </w:t>
      </w:r>
      <w:r w:rsidR="009B0296">
        <w:t>15, 22, 23;</w:t>
      </w:r>
      <w:r w:rsidR="007E3463">
        <w:t xml:space="preserve"> </w:t>
      </w:r>
      <w:r w:rsidR="007E3463">
        <w:rPr>
          <w:i/>
          <w:iCs/>
        </w:rPr>
        <w:t xml:space="preserve">R. </w:t>
      </w:r>
      <w:r w:rsidR="007E3463">
        <w:t xml:space="preserve">v. </w:t>
      </w:r>
      <w:r w:rsidR="007E3463">
        <w:rPr>
          <w:i/>
          <w:iCs/>
        </w:rPr>
        <w:t>Wainwright</w:t>
      </w:r>
      <w:r w:rsidR="007E3463">
        <w:t>, 2008 ABCA 6 au para. 12;</w:t>
      </w:r>
      <w:r>
        <w:t xml:space="preserve"> </w:t>
      </w:r>
      <w:r>
        <w:rPr>
          <w:i/>
          <w:iCs/>
        </w:rPr>
        <w:t xml:space="preserve">R. </w:t>
      </w:r>
      <w:r>
        <w:t xml:space="preserve">c. </w:t>
      </w:r>
      <w:r>
        <w:rPr>
          <w:i/>
          <w:iCs/>
        </w:rPr>
        <w:t>Nguyen</w:t>
      </w:r>
      <w:r>
        <w:t xml:space="preserve">, 2018 QCCS 3070 aux paras. </w:t>
      </w:r>
      <w:r w:rsidRPr="00A234EC">
        <w:t xml:space="preserve">66-67; </w:t>
      </w:r>
      <w:r>
        <w:rPr>
          <w:i/>
          <w:iCs/>
        </w:rPr>
        <w:t xml:space="preserve">R. </w:t>
      </w:r>
      <w:r>
        <w:t xml:space="preserve">c. </w:t>
      </w:r>
      <w:r>
        <w:rPr>
          <w:i/>
          <w:iCs/>
        </w:rPr>
        <w:t>Robertson</w:t>
      </w:r>
      <w:r>
        <w:t xml:space="preserve">, 2012 QCCS 1027 aux paras. 60-61; </w:t>
      </w:r>
      <w:r w:rsidRPr="00A234EC">
        <w:rPr>
          <w:i/>
          <w:iCs/>
        </w:rPr>
        <w:t xml:space="preserve">R. </w:t>
      </w:r>
      <w:r w:rsidRPr="00A234EC">
        <w:t xml:space="preserve">c. </w:t>
      </w:r>
      <w:r w:rsidRPr="00A234EC">
        <w:rPr>
          <w:i/>
          <w:iCs/>
        </w:rPr>
        <w:t>Augello</w:t>
      </w:r>
      <w:r w:rsidRPr="00A234EC">
        <w:t xml:space="preserve">, 2020 QCCQ 3612 au </w:t>
      </w:r>
      <w:r>
        <w:t xml:space="preserve">para. 28; </w:t>
      </w:r>
      <w:r>
        <w:rPr>
          <w:i/>
          <w:iCs/>
        </w:rPr>
        <w:t xml:space="preserve">R. </w:t>
      </w:r>
      <w:r>
        <w:t xml:space="preserve">c. </w:t>
      </w:r>
      <w:r>
        <w:rPr>
          <w:i/>
          <w:iCs/>
        </w:rPr>
        <w:t>Guo</w:t>
      </w:r>
      <w:r>
        <w:t xml:space="preserve">, 2011 QCCQ 10469 aux paras. 47-49; </w:t>
      </w:r>
      <w:r>
        <w:rPr>
          <w:i/>
          <w:iCs/>
        </w:rPr>
        <w:t xml:space="preserve">R. </w:t>
      </w:r>
      <w:r>
        <w:t xml:space="preserve">v. </w:t>
      </w:r>
      <w:r>
        <w:rPr>
          <w:i/>
          <w:iCs/>
        </w:rPr>
        <w:t>Copeland</w:t>
      </w:r>
      <w:r>
        <w:t xml:space="preserve"> (2007), 74 W.C.B. (2d) 737 (Ont.S.C.J.) aux paras. 19-20; </w:t>
      </w:r>
      <w:r>
        <w:rPr>
          <w:i/>
          <w:iCs/>
        </w:rPr>
        <w:t xml:space="preserve">R. </w:t>
      </w:r>
      <w:r>
        <w:t xml:space="preserve">v. </w:t>
      </w:r>
      <w:r>
        <w:rPr>
          <w:i/>
          <w:iCs/>
        </w:rPr>
        <w:t>Bernard</w:t>
      </w:r>
      <w:r>
        <w:t>, 2012 ONSC 4009 aux paras. 13-14.</w:t>
      </w:r>
    </w:p>
  </w:footnote>
  <w:footnote w:id="56">
    <w:p w14:paraId="025706CA" w14:textId="77777777" w:rsidR="008C0475" w:rsidRPr="00247438" w:rsidRDefault="008C0475" w:rsidP="008C0475">
      <w:pPr>
        <w:pStyle w:val="Notedebasdepage"/>
      </w:pPr>
      <w:r>
        <w:rPr>
          <w:rStyle w:val="Appelnotedebasdep"/>
        </w:rPr>
        <w:footnoteRef/>
      </w:r>
      <w:r w:rsidRPr="00A7572B">
        <w:t xml:space="preserve"> </w:t>
      </w:r>
      <w:r w:rsidRPr="00A7572B">
        <w:tab/>
      </w:r>
      <w:r w:rsidRPr="00A7572B">
        <w:rPr>
          <w:i/>
        </w:rPr>
        <w:t xml:space="preserve">R. </w:t>
      </w:r>
      <w:r w:rsidRPr="00A7572B">
        <w:t xml:space="preserve">c </w:t>
      </w:r>
      <w:r w:rsidRPr="00A7572B">
        <w:rPr>
          <w:i/>
        </w:rPr>
        <w:t>Suter</w:t>
      </w:r>
      <w:r w:rsidRPr="00A7572B">
        <w:t xml:space="preserve">, [2018] 2 R.C.S. 496 aux paras. </w:t>
      </w:r>
      <w:r w:rsidRPr="00247438">
        <w:t>48-49.</w:t>
      </w:r>
    </w:p>
  </w:footnote>
  <w:footnote w:id="57">
    <w:p w14:paraId="6C07E453" w14:textId="77777777" w:rsidR="008C0475" w:rsidRPr="001F3AC0" w:rsidRDefault="008C0475" w:rsidP="008C0475">
      <w:pPr>
        <w:pStyle w:val="Notedebasdepage"/>
      </w:pPr>
      <w:r>
        <w:rPr>
          <w:rStyle w:val="Appelnotedebasdep"/>
        </w:rPr>
        <w:footnoteRef/>
      </w:r>
      <w:r w:rsidRPr="00247438">
        <w:t xml:space="preserve"> </w:t>
      </w:r>
      <w:r w:rsidRPr="00247438">
        <w:tab/>
      </w:r>
      <w:r w:rsidRPr="00247438">
        <w:rPr>
          <w:i/>
        </w:rPr>
        <w:t xml:space="preserve">R. </w:t>
      </w:r>
      <w:r w:rsidRPr="00247438">
        <w:t xml:space="preserve">v. </w:t>
      </w:r>
      <w:r w:rsidRPr="00247438">
        <w:rPr>
          <w:i/>
        </w:rPr>
        <w:t>E.(R.W.)</w:t>
      </w:r>
      <w:r w:rsidRPr="00247438">
        <w:t xml:space="preserve"> (2007), 86 O.</w:t>
      </w:r>
      <w:r>
        <w:t xml:space="preserve">R. (3d) 493 (C.A.Ont.) au para. 40; </w:t>
      </w:r>
      <w:r>
        <w:rPr>
          <w:i/>
        </w:rPr>
        <w:t xml:space="preserve">R. </w:t>
      </w:r>
      <w:r>
        <w:t xml:space="preserve">v. </w:t>
      </w:r>
      <w:r>
        <w:rPr>
          <w:i/>
        </w:rPr>
        <w:t>Oake</w:t>
      </w:r>
      <w:r>
        <w:t xml:space="preserve"> (2010), 252 C.C.C. (3d) 498 (C.A.T.N.) aux paras. 18-19; </w:t>
      </w:r>
      <w:r>
        <w:rPr>
          <w:i/>
        </w:rPr>
        <w:t xml:space="preserve">R. </w:t>
      </w:r>
      <w:r>
        <w:t xml:space="preserve">v. </w:t>
      </w:r>
      <w:r>
        <w:rPr>
          <w:i/>
        </w:rPr>
        <w:t>Druken</w:t>
      </w:r>
      <w:r>
        <w:t xml:space="preserve"> (2006), 215 C.C.C. (3d) 394 (C.A.T.N.) au para. 19.</w:t>
      </w:r>
    </w:p>
  </w:footnote>
  <w:footnote w:id="58">
    <w:p w14:paraId="05CF3453" w14:textId="6797B6C9" w:rsidR="008C0475" w:rsidRPr="000127DF" w:rsidRDefault="008C0475" w:rsidP="008C0475">
      <w:pPr>
        <w:pStyle w:val="Notedebasdepage"/>
      </w:pPr>
      <w:r>
        <w:rPr>
          <w:rStyle w:val="Appelnotedebasdep"/>
        </w:rPr>
        <w:footnoteRef/>
      </w:r>
      <w:r w:rsidRPr="000127DF">
        <w:t xml:space="preserve"> </w:t>
      </w:r>
      <w:r w:rsidRPr="000127DF">
        <w:tab/>
      </w:r>
      <w:r w:rsidR="003041BF" w:rsidRPr="000127DF">
        <w:rPr>
          <w:i/>
        </w:rPr>
        <w:t xml:space="preserve">R. </w:t>
      </w:r>
      <w:r w:rsidR="003041BF" w:rsidRPr="000127DF">
        <w:t xml:space="preserve">c. </w:t>
      </w:r>
      <w:r w:rsidR="003041BF" w:rsidRPr="000127DF">
        <w:rPr>
          <w:i/>
        </w:rPr>
        <w:t>Muongholvilay</w:t>
      </w:r>
      <w:r w:rsidR="003041BF" w:rsidRPr="000127DF">
        <w:t xml:space="preserve">, 2016 QCCA 232; </w:t>
      </w:r>
      <w:r w:rsidR="003041BF" w:rsidRPr="000127DF">
        <w:rPr>
          <w:i/>
          <w:iCs/>
        </w:rPr>
        <w:t xml:space="preserve">R. </w:t>
      </w:r>
      <w:r w:rsidR="003041BF" w:rsidRPr="000127DF">
        <w:t xml:space="preserve">c. </w:t>
      </w:r>
      <w:r w:rsidR="003041BF" w:rsidRPr="000127DF">
        <w:rPr>
          <w:i/>
          <w:iCs/>
        </w:rPr>
        <w:t>Bernier</w:t>
      </w:r>
      <w:r w:rsidR="003041BF" w:rsidRPr="000127DF">
        <w:t xml:space="preserve">, 2015 QCCA 963; </w:t>
      </w:r>
      <w:r w:rsidR="003041BF" w:rsidRPr="000127DF">
        <w:rPr>
          <w:i/>
          <w:iCs/>
        </w:rPr>
        <w:t xml:space="preserve">R. </w:t>
      </w:r>
      <w:r w:rsidR="003041BF" w:rsidRPr="000127DF">
        <w:t xml:space="preserve">c. </w:t>
      </w:r>
      <w:r w:rsidR="003041BF" w:rsidRPr="000127DF">
        <w:rPr>
          <w:i/>
          <w:iCs/>
        </w:rPr>
        <w:t>Rail</w:t>
      </w:r>
      <w:r w:rsidR="003041BF" w:rsidRPr="000127DF">
        <w:t>, 2014 QCCA 1834;</w:t>
      </w:r>
      <w:r w:rsidR="005209A8" w:rsidRPr="000127DF">
        <w:t xml:space="preserve"> </w:t>
      </w:r>
      <w:r w:rsidR="005209A8" w:rsidRPr="000127DF">
        <w:rPr>
          <w:i/>
          <w:iCs/>
        </w:rPr>
        <w:t xml:space="preserve">R. </w:t>
      </w:r>
      <w:r w:rsidR="005209A8" w:rsidRPr="000127DF">
        <w:t xml:space="preserve">v. </w:t>
      </w:r>
      <w:r w:rsidR="005209A8" w:rsidRPr="000127DF">
        <w:rPr>
          <w:i/>
          <w:iCs/>
        </w:rPr>
        <w:t>Barrett</w:t>
      </w:r>
      <w:r w:rsidR="005209A8" w:rsidRPr="000127DF">
        <w:t xml:space="preserve">, 2013 QCCA 1351; </w:t>
      </w:r>
      <w:r w:rsidR="005209A8" w:rsidRPr="000127DF">
        <w:rPr>
          <w:i/>
          <w:iCs/>
        </w:rPr>
        <w:t xml:space="preserve">R. </w:t>
      </w:r>
      <w:r w:rsidR="005209A8" w:rsidRPr="000127DF">
        <w:t xml:space="preserve">c. </w:t>
      </w:r>
      <w:r w:rsidR="005209A8" w:rsidRPr="000127DF">
        <w:rPr>
          <w:i/>
          <w:iCs/>
        </w:rPr>
        <w:t>Moreira</w:t>
      </w:r>
      <w:r w:rsidR="005209A8" w:rsidRPr="000127DF">
        <w:t xml:space="preserve">, 2011 QCCA 1828; </w:t>
      </w:r>
      <w:r w:rsidR="005209A8" w:rsidRPr="000127DF">
        <w:rPr>
          <w:i/>
          <w:iCs/>
        </w:rPr>
        <w:t xml:space="preserve">R. </w:t>
      </w:r>
      <w:r w:rsidR="005209A8" w:rsidRPr="000127DF">
        <w:t>c.</w:t>
      </w:r>
      <w:r w:rsidR="005209A8" w:rsidRPr="000127DF">
        <w:rPr>
          <w:i/>
          <w:iCs/>
        </w:rPr>
        <w:t xml:space="preserve"> Laforgia</w:t>
      </w:r>
      <w:r w:rsidR="005209A8" w:rsidRPr="000127DF">
        <w:t>, 2021 QCCQ 7788</w:t>
      </w:r>
      <w:r w:rsidR="000127DF" w:rsidRPr="000127DF">
        <w:t xml:space="preserve">; </w:t>
      </w:r>
      <w:r w:rsidR="000127DF" w:rsidRPr="000127DF">
        <w:rPr>
          <w:i/>
          <w:iCs/>
        </w:rPr>
        <w:t xml:space="preserve">R. </w:t>
      </w:r>
      <w:r w:rsidR="000127DF" w:rsidRPr="000127DF">
        <w:t xml:space="preserve">c. </w:t>
      </w:r>
      <w:r w:rsidR="000127DF" w:rsidRPr="000127DF">
        <w:rPr>
          <w:i/>
          <w:iCs/>
        </w:rPr>
        <w:t>Fafard</w:t>
      </w:r>
      <w:r w:rsidR="000127DF" w:rsidRPr="000127DF">
        <w:t xml:space="preserve">, [2015] J.Q. no. </w:t>
      </w:r>
      <w:r w:rsidR="000127DF">
        <w:t>7660 (C.Q.)</w:t>
      </w:r>
      <w:r w:rsidRPr="000127DF">
        <w:t>.</w:t>
      </w:r>
    </w:p>
  </w:footnote>
  <w:footnote w:id="59">
    <w:p w14:paraId="7917047A" w14:textId="54CE71FA" w:rsidR="008C0475" w:rsidRPr="000D0B18" w:rsidRDefault="008C0475" w:rsidP="008C0475">
      <w:pPr>
        <w:pStyle w:val="Notedebasdepage"/>
        <w:rPr>
          <w:b/>
          <w:bCs/>
        </w:rPr>
      </w:pPr>
      <w:r>
        <w:rPr>
          <w:rStyle w:val="Appelnotedebasdep"/>
        </w:rPr>
        <w:footnoteRef/>
      </w:r>
      <w:r w:rsidRPr="001F3AC0">
        <w:t xml:space="preserve"> </w:t>
      </w:r>
      <w:r w:rsidRPr="001F3AC0">
        <w:tab/>
      </w:r>
      <w:r>
        <w:rPr>
          <w:i/>
        </w:rPr>
        <w:t xml:space="preserve">R. </w:t>
      </w:r>
      <w:r>
        <w:t xml:space="preserve">c. </w:t>
      </w:r>
      <w:r>
        <w:rPr>
          <w:i/>
        </w:rPr>
        <w:t>Acccurso</w:t>
      </w:r>
      <w:r>
        <w:t xml:space="preserve">, 2022 QCCA 752 au para. 461; </w:t>
      </w:r>
      <w:r>
        <w:rPr>
          <w:i/>
        </w:rPr>
        <w:t xml:space="preserve">R. </w:t>
      </w:r>
      <w:r>
        <w:t xml:space="preserve">v. </w:t>
      </w:r>
      <w:r>
        <w:rPr>
          <w:i/>
        </w:rPr>
        <w:t>Giraud</w:t>
      </w:r>
      <w:r>
        <w:t xml:space="preserve">, 2022 QCCA 448 au para. 12; </w:t>
      </w:r>
      <w:r w:rsidRPr="001F3AC0">
        <w:rPr>
          <w:i/>
          <w:iCs/>
        </w:rPr>
        <w:t xml:space="preserve">R. </w:t>
      </w:r>
      <w:r w:rsidRPr="001F3AC0">
        <w:rPr>
          <w:iCs/>
        </w:rPr>
        <w:t xml:space="preserve">c. </w:t>
      </w:r>
      <w:r w:rsidRPr="001F3AC0">
        <w:rPr>
          <w:i/>
          <w:iCs/>
        </w:rPr>
        <w:t>Deng</w:t>
      </w:r>
      <w:r w:rsidRPr="001F3AC0">
        <w:t xml:space="preserve">, [2003] J.Q. no. 15393 (C.A.Qué.) aux paras. </w:t>
      </w:r>
      <w:r>
        <w:rPr>
          <w:lang w:val="fr-FR"/>
        </w:rPr>
        <w:t xml:space="preserve">27-32; </w:t>
      </w:r>
      <w:r>
        <w:rPr>
          <w:i/>
          <w:lang w:val="fr-FR"/>
        </w:rPr>
        <w:t xml:space="preserve">R. </w:t>
      </w:r>
      <w:r>
        <w:rPr>
          <w:lang w:val="fr-FR"/>
        </w:rPr>
        <w:t xml:space="preserve">c. </w:t>
      </w:r>
      <w:r>
        <w:rPr>
          <w:i/>
          <w:iCs/>
          <w:lang w:val="fr-FR"/>
        </w:rPr>
        <w:t>Beauchamp</w:t>
      </w:r>
      <w:r>
        <w:rPr>
          <w:lang w:val="fr-FR"/>
        </w:rPr>
        <w:t xml:space="preserve"> (2005), </w:t>
      </w:r>
      <w:smartTag w:uri="urn:schemas-microsoft-com:office:smarttags" w:element="metricconverter">
        <w:smartTagPr>
          <w:attr w:name="ProductID" w:val="203 C"/>
        </w:smartTagPr>
        <w:r>
          <w:rPr>
            <w:lang w:val="fr-FR"/>
          </w:rPr>
          <w:t>203 C</w:t>
        </w:r>
      </w:smartTag>
      <w:r>
        <w:rPr>
          <w:lang w:val="fr-FR"/>
        </w:rPr>
        <w:t xml:space="preserve">.C.C. (3d) 551 (C.A.Qué.) au para. </w:t>
      </w:r>
      <w:r w:rsidRPr="002B1EB0">
        <w:t>32;</w:t>
      </w:r>
      <w:r w:rsidR="005E3CF1">
        <w:t xml:space="preserve"> </w:t>
      </w:r>
      <w:r w:rsidR="005E3CF1">
        <w:rPr>
          <w:i/>
          <w:iCs/>
        </w:rPr>
        <w:t xml:space="preserve">R. </w:t>
      </w:r>
      <w:r w:rsidR="005E3CF1">
        <w:t xml:space="preserve">c. </w:t>
      </w:r>
      <w:r w:rsidR="005E3CF1">
        <w:rPr>
          <w:i/>
          <w:iCs/>
        </w:rPr>
        <w:t>Trudel</w:t>
      </w:r>
      <w:r w:rsidR="005E3CF1">
        <w:t>, 2019 QCCA 1011 aux paras. 3-4;</w:t>
      </w:r>
      <w:r w:rsidRPr="002B1EB0">
        <w:t xml:space="preserve"> </w:t>
      </w:r>
      <w:r w:rsidRPr="002B1EB0">
        <w:rPr>
          <w:i/>
        </w:rPr>
        <w:t xml:space="preserve">R. </w:t>
      </w:r>
      <w:r w:rsidRPr="002B1EB0">
        <w:t xml:space="preserve">c. </w:t>
      </w:r>
      <w:r w:rsidRPr="002B1EB0">
        <w:rPr>
          <w:i/>
        </w:rPr>
        <w:t>Calderon</w:t>
      </w:r>
      <w:r w:rsidRPr="002B1EB0">
        <w:t>, 2015 QCCA 1573 a</w:t>
      </w:r>
      <w:r>
        <w:t>ux</w:t>
      </w:r>
      <w:r w:rsidRPr="002B1EB0">
        <w:t xml:space="preserve"> paras. 39-40; </w:t>
      </w:r>
      <w:r w:rsidRPr="002B1EB0">
        <w:rPr>
          <w:i/>
        </w:rPr>
        <w:t xml:space="preserve">R. </w:t>
      </w:r>
      <w:r w:rsidRPr="002B1EB0">
        <w:t xml:space="preserve">c. </w:t>
      </w:r>
      <w:r w:rsidRPr="002B1EB0">
        <w:rPr>
          <w:i/>
        </w:rPr>
        <w:t>Duguay</w:t>
      </w:r>
      <w:r w:rsidRPr="002B1EB0">
        <w:t>, 2009 QCCA 1297 a</w:t>
      </w:r>
      <w:r>
        <w:t>ux</w:t>
      </w:r>
      <w:r w:rsidRPr="002B1EB0">
        <w:t xml:space="preserve"> paras. 14-15; </w:t>
      </w:r>
      <w:r w:rsidRPr="002B1EB0">
        <w:rPr>
          <w:i/>
        </w:rPr>
        <w:t xml:space="preserve">R. </w:t>
      </w:r>
      <w:r w:rsidRPr="002B1EB0">
        <w:t xml:space="preserve">c. </w:t>
      </w:r>
      <w:r w:rsidRPr="002B1EB0">
        <w:rPr>
          <w:i/>
        </w:rPr>
        <w:t>D’Amours</w:t>
      </w:r>
      <w:r>
        <w:t xml:space="preserve">, 2011 QCCA 1632 aux </w:t>
      </w:r>
      <w:r w:rsidRPr="002B1EB0">
        <w:t xml:space="preserve">paras. </w:t>
      </w:r>
      <w:r w:rsidRPr="008C0475">
        <w:t xml:space="preserve">54-59; </w:t>
      </w:r>
      <w:r w:rsidRPr="008C0475">
        <w:rPr>
          <w:i/>
          <w:iCs/>
        </w:rPr>
        <w:t xml:space="preserve">R. </w:t>
      </w:r>
      <w:r w:rsidRPr="008C0475">
        <w:t xml:space="preserve">v. </w:t>
      </w:r>
      <w:r w:rsidRPr="008C0475">
        <w:rPr>
          <w:i/>
          <w:iCs/>
        </w:rPr>
        <w:t>O’Loughlin</w:t>
      </w:r>
      <w:r w:rsidRPr="008C0475">
        <w:t xml:space="preserve">, 2017 ONCA 89 au para. 26; </w:t>
      </w:r>
      <w:r w:rsidRPr="008C0475">
        <w:rPr>
          <w:i/>
          <w:iCs/>
        </w:rPr>
        <w:t xml:space="preserve">R. </w:t>
      </w:r>
      <w:r w:rsidRPr="008C0475">
        <w:t xml:space="preserve">v. </w:t>
      </w:r>
      <w:r w:rsidRPr="008C0475">
        <w:rPr>
          <w:i/>
          <w:iCs/>
        </w:rPr>
        <w:t>Spencer</w:t>
      </w:r>
      <w:r w:rsidRPr="008C0475">
        <w:t xml:space="preserve"> (2004), 186, C.C.C. (3d) 181 (C.A.Ont.) a</w:t>
      </w:r>
      <w:r>
        <w:t>u</w:t>
      </w:r>
      <w:r w:rsidRPr="008C0475">
        <w:t xml:space="preserve"> para. 38, permission d’appel refusée, [2005] S.C.C.A. No. 4; </w:t>
      </w:r>
      <w:r w:rsidRPr="008C0475">
        <w:rPr>
          <w:i/>
        </w:rPr>
        <w:t xml:space="preserve">R. </w:t>
      </w:r>
      <w:r w:rsidRPr="008C0475">
        <w:t xml:space="preserve">v. </w:t>
      </w:r>
      <w:r w:rsidRPr="008C0475">
        <w:rPr>
          <w:i/>
        </w:rPr>
        <w:t>Kozy</w:t>
      </w:r>
      <w:r w:rsidRPr="008C0475">
        <w:t xml:space="preserve"> (1990), 58 C.C.C. (3d) 500 (C.A.Ont.) au para. </w:t>
      </w:r>
      <w:r w:rsidRPr="001F3AC0">
        <w:t xml:space="preserve">13; </w:t>
      </w:r>
      <w:r w:rsidRPr="001F3AC0">
        <w:rPr>
          <w:i/>
        </w:rPr>
        <w:t xml:space="preserve">R. </w:t>
      </w:r>
      <w:r w:rsidRPr="001F3AC0">
        <w:t xml:space="preserve">c. </w:t>
      </w:r>
      <w:r w:rsidRPr="001F3AC0">
        <w:rPr>
          <w:i/>
        </w:rPr>
        <w:t>Cardona-Obando</w:t>
      </w:r>
      <w:r>
        <w:t>, 2005 QCCA 627 au</w:t>
      </w:r>
      <w:r w:rsidRPr="001F3AC0">
        <w:t xml:space="preserve"> para. 16</w:t>
      </w:r>
      <w:r>
        <w:t xml:space="preserve">; </w:t>
      </w:r>
      <w:r>
        <w:rPr>
          <w:i/>
        </w:rPr>
        <w:t xml:space="preserve">R. </w:t>
      </w:r>
      <w:r>
        <w:t xml:space="preserve">c. </w:t>
      </w:r>
      <w:r>
        <w:rPr>
          <w:i/>
        </w:rPr>
        <w:t>O’Keefe</w:t>
      </w:r>
      <w:r>
        <w:t xml:space="preserve">, 2016 QCCA 1541 au para. </w:t>
      </w:r>
      <w:r w:rsidRPr="000D0B18">
        <w:t>35.</w:t>
      </w:r>
    </w:p>
  </w:footnote>
  <w:footnote w:id="60">
    <w:p w14:paraId="5AA516EE" w14:textId="6550B3ED" w:rsidR="00213822" w:rsidRPr="000D0B18" w:rsidRDefault="00213822">
      <w:pPr>
        <w:pStyle w:val="Notedebasdepage"/>
      </w:pPr>
      <w:r>
        <w:rPr>
          <w:rStyle w:val="Appelnotedebasdep"/>
        </w:rPr>
        <w:footnoteRef/>
      </w:r>
      <w:r w:rsidRPr="00213822">
        <w:t xml:space="preserve"> </w:t>
      </w:r>
      <w:r w:rsidRPr="00213822">
        <w:tab/>
        <w:t>Voir</w:t>
      </w:r>
      <w:r>
        <w:t xml:space="preserve"> </w:t>
      </w:r>
      <w:r w:rsidRPr="00213822">
        <w:t xml:space="preserve">: </w:t>
      </w:r>
      <w:r w:rsidRPr="00213822">
        <w:rPr>
          <w:i/>
        </w:rPr>
        <w:t xml:space="preserve">R. </w:t>
      </w:r>
      <w:r w:rsidRPr="00213822">
        <w:t xml:space="preserve">v. </w:t>
      </w:r>
      <w:r w:rsidRPr="00213822">
        <w:rPr>
          <w:i/>
        </w:rPr>
        <w:t>E.(R.W.)</w:t>
      </w:r>
      <w:r w:rsidRPr="00213822">
        <w:t xml:space="preserve"> (2007), 86 O.R. (3d) 493 (C.A.Ont.) au para. 40; </w:t>
      </w:r>
      <w:r w:rsidRPr="00213822">
        <w:rPr>
          <w:i/>
        </w:rPr>
        <w:t xml:space="preserve">R. </w:t>
      </w:r>
      <w:r w:rsidRPr="00213822">
        <w:t xml:space="preserve">v. </w:t>
      </w:r>
      <w:r w:rsidRPr="00213822">
        <w:rPr>
          <w:i/>
        </w:rPr>
        <w:t>Oake</w:t>
      </w:r>
      <w:r w:rsidRPr="00213822">
        <w:t xml:space="preserve"> (2010), 252 C.C.C. (3d) 498 (C.A.T.N.) aux paras. 18-19; </w:t>
      </w:r>
      <w:r w:rsidRPr="00213822">
        <w:rPr>
          <w:i/>
        </w:rPr>
        <w:t xml:space="preserve">R. </w:t>
      </w:r>
      <w:r w:rsidRPr="00213822">
        <w:t xml:space="preserve">v. </w:t>
      </w:r>
      <w:r w:rsidRPr="00213822">
        <w:rPr>
          <w:i/>
        </w:rPr>
        <w:t>Drunken</w:t>
      </w:r>
      <w:r w:rsidRPr="00213822">
        <w:t xml:space="preserve"> (2006), 215 C.C.C. (3d) 394 (C.A.T.N.) au para. </w:t>
      </w:r>
      <w:r w:rsidRPr="000D0B18">
        <w:t>19.</w:t>
      </w:r>
    </w:p>
  </w:footnote>
  <w:footnote w:id="61">
    <w:p w14:paraId="68D4AAB9" w14:textId="091E1C95" w:rsidR="00A859F3" w:rsidRDefault="00A859F3">
      <w:pPr>
        <w:pStyle w:val="Notedebasdepage"/>
      </w:pPr>
      <w:r>
        <w:rPr>
          <w:rStyle w:val="Appelnotedebasdep"/>
        </w:rPr>
        <w:footnoteRef/>
      </w:r>
      <w:r>
        <w:t xml:space="preserve"> </w:t>
      </w:r>
      <w:r>
        <w:tab/>
      </w:r>
      <w:r w:rsidRPr="0019055F">
        <w:rPr>
          <w:i/>
          <w:iCs/>
        </w:rPr>
        <w:t xml:space="preserve">R. </w:t>
      </w:r>
      <w:r w:rsidRPr="0019055F">
        <w:t xml:space="preserve">c. </w:t>
      </w:r>
      <w:r w:rsidRPr="0019055F">
        <w:rPr>
          <w:i/>
          <w:iCs/>
        </w:rPr>
        <w:t>Colegrove</w:t>
      </w:r>
      <w:r w:rsidRPr="0019055F">
        <w:t xml:space="preserve">, 2020 QCCA 842 au </w:t>
      </w:r>
      <w:r>
        <w:t>para. 72, permission d’appel refusée, [2021] S.C.C.A. No. 251.</w:t>
      </w:r>
    </w:p>
  </w:footnote>
  <w:footnote w:id="62">
    <w:p w14:paraId="17CA1587" w14:textId="7A290F1D" w:rsidR="0019055F" w:rsidRPr="0019055F" w:rsidRDefault="0019055F">
      <w:pPr>
        <w:pStyle w:val="Notedebasdepage"/>
      </w:pPr>
      <w:r>
        <w:rPr>
          <w:rStyle w:val="Appelnotedebasdep"/>
        </w:rPr>
        <w:footnoteRef/>
      </w:r>
      <w:r w:rsidRPr="0019055F">
        <w:t xml:space="preserve"> </w:t>
      </w:r>
      <w:r w:rsidRPr="0019055F">
        <w:tab/>
      </w:r>
      <w:r w:rsidR="00251C5C">
        <w:rPr>
          <w:i/>
          <w:iCs/>
        </w:rPr>
        <w:t>Ibid</w:t>
      </w:r>
      <w:r>
        <w:t>.</w:t>
      </w:r>
    </w:p>
  </w:footnote>
  <w:footnote w:id="63">
    <w:p w14:paraId="1943ABD8" w14:textId="1180F067" w:rsidR="000D0B18" w:rsidRDefault="000D0B18" w:rsidP="000D0B18">
      <w:pPr>
        <w:pStyle w:val="Notedebasdepage"/>
      </w:pPr>
      <w:r>
        <w:rPr>
          <w:rStyle w:val="Appelnotedebasdep"/>
        </w:rPr>
        <w:footnoteRef/>
      </w:r>
      <w:r>
        <w:t xml:space="preserve"> </w:t>
      </w:r>
      <w:r>
        <w:tab/>
        <w:t>Pour l’une, il a éventuellement été déclaré coupable. L’autre s’est éventuellement soldée par un acquittement (500-01-207010-205), dont le ministère a interjeté appel (500-10-007888-223).</w:t>
      </w:r>
    </w:p>
  </w:footnote>
  <w:footnote w:id="64">
    <w:p w14:paraId="53DAA4E6" w14:textId="71AED377" w:rsidR="00E352C2" w:rsidRDefault="00E352C2">
      <w:pPr>
        <w:pStyle w:val="Notedebasdepage"/>
      </w:pPr>
      <w:r>
        <w:rPr>
          <w:rStyle w:val="Appelnotedebasdep"/>
        </w:rPr>
        <w:footnoteRef/>
      </w:r>
      <w:r>
        <w:t xml:space="preserve"> </w:t>
      </w:r>
      <w:r>
        <w:tab/>
      </w:r>
      <w:r>
        <w:rPr>
          <w:i/>
        </w:rPr>
        <w:t xml:space="preserve">R. </w:t>
      </w:r>
      <w:r>
        <w:t xml:space="preserve">c. </w:t>
      </w:r>
      <w:r>
        <w:rPr>
          <w:i/>
        </w:rPr>
        <w:t>Davidson</w:t>
      </w:r>
      <w:r>
        <w:t xml:space="preserve">, 2021 QCCA 545 au para. 42; </w:t>
      </w:r>
      <w:r>
        <w:rPr>
          <w:i/>
          <w:iCs/>
        </w:rPr>
        <w:t xml:space="preserve">R. </w:t>
      </w:r>
      <w:r>
        <w:t xml:space="preserve">c. </w:t>
      </w:r>
      <w:r>
        <w:rPr>
          <w:i/>
          <w:iCs/>
        </w:rPr>
        <w:t>Stevens</w:t>
      </w:r>
      <w:r>
        <w:t xml:space="preserve">, 2014 QCCA 444 au para. 42; </w:t>
      </w:r>
      <w:r>
        <w:rPr>
          <w:i/>
        </w:rPr>
        <w:t xml:space="preserve">R. </w:t>
      </w:r>
      <w:r>
        <w:t xml:space="preserve">c. </w:t>
      </w:r>
      <w:r>
        <w:rPr>
          <w:i/>
        </w:rPr>
        <w:t>Charron</w:t>
      </w:r>
      <w:r>
        <w:t>, [2002] J.Q. no. 3562 (C.A.Qué.) au para. 11;</w:t>
      </w:r>
      <w:r w:rsidR="0072120E">
        <w:t xml:space="preserve"> </w:t>
      </w:r>
      <w:r w:rsidR="0072120E" w:rsidRPr="00E87027">
        <w:rPr>
          <w:i/>
          <w:iCs/>
        </w:rPr>
        <w:t xml:space="preserve">R. </w:t>
      </w:r>
      <w:r w:rsidR="0072120E" w:rsidRPr="00E87027">
        <w:t xml:space="preserve">v. </w:t>
      </w:r>
      <w:r w:rsidR="0072120E" w:rsidRPr="00E87027">
        <w:rPr>
          <w:i/>
          <w:iCs/>
        </w:rPr>
        <w:t>Overdiek</w:t>
      </w:r>
      <w:r w:rsidR="0072120E" w:rsidRPr="00E87027">
        <w:t>, [1982] B.C.J. No. 1045 (C.A.C.B.) aux paras. 11, 13;</w:t>
      </w:r>
      <w:r>
        <w:t xml:space="preserve"> </w:t>
      </w:r>
      <w:r>
        <w:rPr>
          <w:i/>
        </w:rPr>
        <w:t xml:space="preserve">R. </w:t>
      </w:r>
      <w:r>
        <w:t xml:space="preserve">c. </w:t>
      </w:r>
      <w:r>
        <w:rPr>
          <w:i/>
        </w:rPr>
        <w:t>Bilodeau</w:t>
      </w:r>
      <w:r>
        <w:t xml:space="preserve">, 2013 QCCA 980 au para. 22; </w:t>
      </w:r>
      <w:r>
        <w:rPr>
          <w:i/>
        </w:rPr>
        <w:t xml:space="preserve">R. </w:t>
      </w:r>
      <w:r>
        <w:t xml:space="preserve">c. </w:t>
      </w:r>
      <w:r>
        <w:rPr>
          <w:i/>
        </w:rPr>
        <w:t>Muongholvilay</w:t>
      </w:r>
      <w:r>
        <w:t xml:space="preserve">, 2016 QCCA 232 au para. 21; </w:t>
      </w:r>
      <w:r>
        <w:rPr>
          <w:rStyle w:val="reflex"/>
          <w:rFonts w:cs="Arial"/>
          <w:i/>
          <w:iCs/>
          <w:color w:val="000000"/>
          <w:shd w:val="clear" w:color="auto" w:fill="FFFFFF"/>
        </w:rPr>
        <w:t>R. </w:t>
      </w:r>
      <w:r>
        <w:rPr>
          <w:rStyle w:val="reflex"/>
          <w:rFonts w:cs="Arial"/>
          <w:color w:val="000000"/>
          <w:shd w:val="clear" w:color="auto" w:fill="FFFFFF"/>
        </w:rPr>
        <w:t>v. </w:t>
      </w:r>
      <w:r>
        <w:rPr>
          <w:rStyle w:val="reflex"/>
          <w:rFonts w:cs="Arial"/>
          <w:i/>
          <w:iCs/>
          <w:color w:val="000000"/>
          <w:shd w:val="clear" w:color="auto" w:fill="FFFFFF"/>
        </w:rPr>
        <w:t>Richardson</w:t>
      </w:r>
      <w:r>
        <w:rPr>
          <w:rFonts w:cs="Arial"/>
          <w:color w:val="000000"/>
          <w:shd w:val="clear" w:color="auto" w:fill="FFFFFF"/>
        </w:rPr>
        <w:t> </w:t>
      </w:r>
      <w:r>
        <w:rPr>
          <w:rStyle w:val="reflex3-block"/>
          <w:rFonts w:cs="Arial"/>
          <w:color w:val="000000"/>
          <w:shd w:val="clear" w:color="auto" w:fill="FFFFFF"/>
        </w:rPr>
        <w:t xml:space="preserve">(1992), 74 C.C.C. (3d) 15 (C.A.Ont.) au para. </w:t>
      </w:r>
      <w:r w:rsidRPr="001B103A">
        <w:rPr>
          <w:rStyle w:val="reflex3-block"/>
          <w:rFonts w:cs="Arial"/>
          <w:color w:val="000000"/>
          <w:shd w:val="clear" w:color="auto" w:fill="FFFFFF"/>
        </w:rPr>
        <w:t>17</w:t>
      </w:r>
      <w:r w:rsidRPr="001B103A">
        <w:rPr>
          <w:rFonts w:cs="Arial"/>
          <w:color w:val="000000"/>
          <w:shd w:val="clear" w:color="auto" w:fill="FFFFFF"/>
        </w:rPr>
        <w:t>; </w:t>
      </w:r>
      <w:r w:rsidRPr="001B103A">
        <w:rPr>
          <w:rFonts w:cs="Arial"/>
          <w:i/>
          <w:iCs/>
          <w:color w:val="000000"/>
          <w:shd w:val="clear" w:color="auto" w:fill="FFFFFF"/>
        </w:rPr>
        <w:t>R. </w:t>
      </w:r>
      <w:r w:rsidRPr="001B103A">
        <w:rPr>
          <w:rFonts w:cs="Arial"/>
          <w:color w:val="000000"/>
          <w:shd w:val="clear" w:color="auto" w:fill="FFFFFF"/>
        </w:rPr>
        <w:t>v. </w:t>
      </w:r>
      <w:r w:rsidRPr="001B103A">
        <w:rPr>
          <w:rFonts w:cs="Arial"/>
          <w:i/>
          <w:iCs/>
          <w:color w:val="000000"/>
          <w:shd w:val="clear" w:color="auto" w:fill="FFFFFF"/>
        </w:rPr>
        <w:t>Powell</w:t>
      </w:r>
      <w:r w:rsidRPr="001B103A">
        <w:rPr>
          <w:rFonts w:cs="Arial"/>
          <w:color w:val="000000"/>
          <w:shd w:val="clear" w:color="auto" w:fill="FFFFFF"/>
        </w:rPr>
        <w:t> </w:t>
      </w:r>
      <w:r w:rsidRPr="001B103A">
        <w:rPr>
          <w:rStyle w:val="reflex3-block"/>
          <w:rFonts w:cs="Arial"/>
          <w:color w:val="000000"/>
          <w:shd w:val="clear" w:color="auto" w:fill="FFFFFF"/>
        </w:rPr>
        <w:t>(2005), 66 W.C.B. (2d) 349 (C.A.Ont.) au para. </w:t>
      </w:r>
      <w:r w:rsidRPr="001B103A">
        <w:rPr>
          <w:rStyle w:val="reflex"/>
          <w:rFonts w:cs="Arial"/>
          <w:color w:val="000000"/>
          <w:shd w:val="clear" w:color="auto" w:fill="FFFFFF"/>
        </w:rPr>
        <w:t>1</w:t>
      </w:r>
      <w:r w:rsidRPr="001B103A">
        <w:rPr>
          <w:rFonts w:cs="Arial"/>
          <w:color w:val="000000"/>
          <w:shd w:val="clear" w:color="auto" w:fill="FFFFFF"/>
        </w:rPr>
        <w:t>; </w:t>
      </w:r>
      <w:r w:rsidRPr="001B103A">
        <w:rPr>
          <w:rStyle w:val="reflex"/>
          <w:rFonts w:cs="Arial"/>
          <w:i/>
          <w:iCs/>
          <w:color w:val="000000"/>
          <w:shd w:val="clear" w:color="auto" w:fill="FFFFFF"/>
        </w:rPr>
        <w:t>R. </w:t>
      </w:r>
      <w:r w:rsidRPr="001B103A">
        <w:rPr>
          <w:rStyle w:val="reflex"/>
          <w:rFonts w:cs="Arial"/>
          <w:color w:val="000000"/>
          <w:shd w:val="clear" w:color="auto" w:fill="FFFFFF"/>
        </w:rPr>
        <w:t>v. </w:t>
      </w:r>
      <w:r w:rsidRPr="001B103A">
        <w:rPr>
          <w:rStyle w:val="reflex"/>
          <w:rFonts w:cs="Arial"/>
          <w:i/>
          <w:iCs/>
          <w:color w:val="000000"/>
          <w:shd w:val="clear" w:color="auto" w:fill="FFFFFF"/>
        </w:rPr>
        <w:t>E.C.</w:t>
      </w:r>
      <w:r w:rsidRPr="001B103A">
        <w:rPr>
          <w:rFonts w:cs="Arial"/>
          <w:color w:val="000000"/>
          <w:shd w:val="clear" w:color="auto" w:fill="FFFFFF"/>
        </w:rPr>
        <w:t>, 2019 ONCA 688 au para. 6; </w:t>
      </w:r>
      <w:r w:rsidRPr="001B103A">
        <w:rPr>
          <w:rStyle w:val="reflex"/>
          <w:rFonts w:cs="Arial"/>
          <w:i/>
          <w:iCs/>
          <w:color w:val="000000"/>
          <w:shd w:val="clear" w:color="auto" w:fill="FFFFFF"/>
        </w:rPr>
        <w:t>R. </w:t>
      </w:r>
      <w:r w:rsidRPr="001B103A">
        <w:rPr>
          <w:rStyle w:val="reflex"/>
          <w:rFonts w:cs="Arial"/>
          <w:color w:val="000000"/>
          <w:shd w:val="clear" w:color="auto" w:fill="FFFFFF"/>
        </w:rPr>
        <w:t>v. </w:t>
      </w:r>
      <w:r w:rsidRPr="001B103A">
        <w:rPr>
          <w:rStyle w:val="reflex"/>
          <w:rFonts w:cs="Arial"/>
          <w:i/>
          <w:iCs/>
          <w:color w:val="000000"/>
          <w:shd w:val="clear" w:color="auto" w:fill="FFFFFF"/>
        </w:rPr>
        <w:t>Grant</w:t>
      </w:r>
      <w:r w:rsidRPr="001B103A">
        <w:rPr>
          <w:rFonts w:cs="Arial"/>
          <w:color w:val="000000"/>
          <w:shd w:val="clear" w:color="auto" w:fill="FFFFFF"/>
        </w:rPr>
        <w:t>, 1992 ABCA 140 au para.</w:t>
      </w:r>
      <w:r>
        <w:rPr>
          <w:rFonts w:cs="Arial"/>
          <w:color w:val="000000"/>
          <w:shd w:val="clear" w:color="auto" w:fill="FFFFFF"/>
        </w:rPr>
        <w:t xml:space="preserve"> 7; </w:t>
      </w:r>
      <w:r>
        <w:rPr>
          <w:rStyle w:val="reflex"/>
          <w:rFonts w:cs="Arial"/>
          <w:i/>
          <w:iCs/>
          <w:color w:val="000000"/>
          <w:shd w:val="clear" w:color="auto" w:fill="FFFFFF"/>
        </w:rPr>
        <w:t>R. </w:t>
      </w:r>
      <w:r>
        <w:rPr>
          <w:rStyle w:val="reflex"/>
          <w:rFonts w:cs="Arial"/>
          <w:color w:val="000000"/>
          <w:shd w:val="clear" w:color="auto" w:fill="FFFFFF"/>
        </w:rPr>
        <w:t>v. </w:t>
      </w:r>
      <w:r>
        <w:rPr>
          <w:rStyle w:val="reflex"/>
          <w:rFonts w:cs="Arial"/>
          <w:i/>
          <w:iCs/>
          <w:color w:val="000000"/>
          <w:shd w:val="clear" w:color="auto" w:fill="FFFFFF"/>
        </w:rPr>
        <w:t>Hopf</w:t>
      </w:r>
      <w:r>
        <w:rPr>
          <w:rFonts w:cs="Arial"/>
          <w:color w:val="000000"/>
          <w:shd w:val="clear" w:color="auto" w:fill="FFFFFF"/>
        </w:rPr>
        <w:t>, 1991 ABCA 94 au para. 1; </w:t>
      </w:r>
      <w:r>
        <w:rPr>
          <w:rStyle w:val="reflex"/>
          <w:rFonts w:cs="Arial"/>
          <w:i/>
          <w:iCs/>
          <w:color w:val="000000"/>
          <w:shd w:val="clear" w:color="auto" w:fill="FFFFFF"/>
        </w:rPr>
        <w:t>R.</w:t>
      </w:r>
      <w:r>
        <w:rPr>
          <w:rStyle w:val="reflex"/>
          <w:rFonts w:cs="Arial"/>
          <w:color w:val="000000"/>
          <w:shd w:val="clear" w:color="auto" w:fill="FFFFFF"/>
        </w:rPr>
        <w:t> v. </w:t>
      </w:r>
      <w:r>
        <w:rPr>
          <w:rStyle w:val="reflex"/>
          <w:rFonts w:cs="Arial"/>
          <w:i/>
          <w:iCs/>
          <w:color w:val="000000"/>
          <w:shd w:val="clear" w:color="auto" w:fill="FFFFFF"/>
        </w:rPr>
        <w:t>Valle-Quintero</w:t>
      </w:r>
      <w:r>
        <w:rPr>
          <w:rFonts w:cs="Arial"/>
          <w:color w:val="000000"/>
          <w:shd w:val="clear" w:color="auto" w:fill="FFFFFF"/>
        </w:rPr>
        <w:t> </w:t>
      </w:r>
      <w:r>
        <w:rPr>
          <w:rStyle w:val="reflex3-block"/>
          <w:rFonts w:cs="Arial"/>
          <w:color w:val="000000"/>
          <w:shd w:val="clear" w:color="auto" w:fill="FFFFFF"/>
        </w:rPr>
        <w:t xml:space="preserve">(2002), 169 C.C.C. (3d) 140 (C.A.Ont.) aux paras. </w:t>
      </w:r>
      <w:r w:rsidRPr="001B103A">
        <w:rPr>
          <w:rStyle w:val="reflex3-block"/>
          <w:rFonts w:cs="Arial"/>
          <w:color w:val="000000"/>
          <w:shd w:val="clear" w:color="auto" w:fill="FFFFFF"/>
        </w:rPr>
        <w:t>70-71</w:t>
      </w:r>
      <w:r w:rsidRPr="001B103A">
        <w:rPr>
          <w:rFonts w:cs="Arial"/>
          <w:color w:val="000000"/>
          <w:shd w:val="clear" w:color="auto" w:fill="FFFFFF"/>
        </w:rPr>
        <w:t>; </w:t>
      </w:r>
      <w:r w:rsidRPr="001B103A">
        <w:rPr>
          <w:rFonts w:cs="Arial"/>
          <w:i/>
          <w:iCs/>
          <w:color w:val="000000"/>
          <w:shd w:val="clear" w:color="auto" w:fill="FFFFFF"/>
        </w:rPr>
        <w:t>R. </w:t>
      </w:r>
      <w:r w:rsidRPr="001B103A">
        <w:rPr>
          <w:rFonts w:cs="Arial"/>
          <w:color w:val="000000"/>
          <w:shd w:val="clear" w:color="auto" w:fill="FFFFFF"/>
        </w:rPr>
        <w:t>v. </w:t>
      </w:r>
      <w:r w:rsidRPr="001B103A">
        <w:rPr>
          <w:rFonts w:cs="Arial"/>
          <w:i/>
          <w:iCs/>
          <w:color w:val="000000"/>
          <w:shd w:val="clear" w:color="auto" w:fill="FFFFFF"/>
        </w:rPr>
        <w:t>Radonjic</w:t>
      </w:r>
      <w:r w:rsidRPr="001B103A">
        <w:rPr>
          <w:rFonts w:cs="Arial"/>
          <w:color w:val="000000"/>
          <w:shd w:val="clear" w:color="auto" w:fill="FFFFFF"/>
        </w:rPr>
        <w:t> </w:t>
      </w:r>
      <w:r w:rsidRPr="001B103A">
        <w:rPr>
          <w:rStyle w:val="reflex3-block"/>
          <w:rFonts w:cs="Arial"/>
          <w:color w:val="000000"/>
          <w:shd w:val="clear" w:color="auto" w:fill="FFFFFF"/>
        </w:rPr>
        <w:t>(2004), 64 W.C.B. (2d) 356 (C.A.Alta.) au para. </w:t>
      </w:r>
      <w:r w:rsidRPr="000D0B18">
        <w:rPr>
          <w:rStyle w:val="reflex"/>
          <w:rFonts w:cs="Arial"/>
          <w:color w:val="000000"/>
          <w:shd w:val="clear" w:color="auto" w:fill="FFFFFF"/>
        </w:rPr>
        <w:t>7.</w:t>
      </w:r>
    </w:p>
  </w:footnote>
  <w:footnote w:id="65">
    <w:p w14:paraId="5EF9E46B" w14:textId="7A372022" w:rsidR="00A859F3" w:rsidRDefault="00A859F3">
      <w:pPr>
        <w:pStyle w:val="Notedebasdepage"/>
      </w:pPr>
      <w:r>
        <w:rPr>
          <w:rStyle w:val="Appelnotedebasdep"/>
        </w:rPr>
        <w:footnoteRef/>
      </w:r>
      <w:r>
        <w:t xml:space="preserve"> </w:t>
      </w:r>
      <w:r>
        <w:tab/>
        <w:t>Pièce S-8.</w:t>
      </w:r>
    </w:p>
  </w:footnote>
  <w:footnote w:id="66">
    <w:p w14:paraId="4F5BE322" w14:textId="406F19E0" w:rsidR="00A859F3" w:rsidRDefault="00A859F3">
      <w:pPr>
        <w:pStyle w:val="Notedebasdepage"/>
      </w:pPr>
      <w:r>
        <w:rPr>
          <w:rStyle w:val="Appelnotedebasdep"/>
        </w:rPr>
        <w:footnoteRef/>
      </w:r>
      <w:r>
        <w:t xml:space="preserve"> </w:t>
      </w:r>
      <w:r>
        <w:tab/>
        <w:t>Pièce S-6.</w:t>
      </w:r>
    </w:p>
  </w:footnote>
  <w:footnote w:id="67">
    <w:p w14:paraId="1D9FC542" w14:textId="6D11EA73" w:rsidR="00E352C2" w:rsidRDefault="00E352C2">
      <w:pPr>
        <w:pStyle w:val="Notedebasdepage"/>
      </w:pPr>
      <w:r>
        <w:rPr>
          <w:rStyle w:val="Appelnotedebasdep"/>
        </w:rPr>
        <w:footnoteRef/>
      </w:r>
      <w:r>
        <w:t xml:space="preserve"> </w:t>
      </w:r>
      <w:r>
        <w:tab/>
      </w:r>
      <w:r w:rsidR="005E3CF1">
        <w:rPr>
          <w:i/>
          <w:iCs/>
        </w:rPr>
        <w:t xml:space="preserve">R. </w:t>
      </w:r>
      <w:r w:rsidR="005E3CF1">
        <w:t xml:space="preserve">c. </w:t>
      </w:r>
      <w:r w:rsidR="005E3CF1">
        <w:rPr>
          <w:i/>
          <w:iCs/>
        </w:rPr>
        <w:t>Trudel</w:t>
      </w:r>
      <w:r w:rsidR="005E3CF1">
        <w:t xml:space="preserve">, 2019 QCCA 1011 au para. 9; </w:t>
      </w:r>
      <w:r w:rsidRPr="003B69A3">
        <w:rPr>
          <w:i/>
        </w:rPr>
        <w:t xml:space="preserve">R. </w:t>
      </w:r>
      <w:r w:rsidRPr="003B69A3">
        <w:t xml:space="preserve">c. </w:t>
      </w:r>
      <w:r w:rsidRPr="003B69A3">
        <w:rPr>
          <w:i/>
        </w:rPr>
        <w:t>Muongholvilay</w:t>
      </w:r>
      <w:r w:rsidRPr="003B69A3">
        <w:t xml:space="preserve">, 2016 QCCA 232 au para. 21; </w:t>
      </w:r>
      <w:r w:rsidRPr="003B69A3">
        <w:rPr>
          <w:i/>
        </w:rPr>
        <w:t xml:space="preserve">R. </w:t>
      </w:r>
      <w:r w:rsidRPr="003B69A3">
        <w:t xml:space="preserve">c. </w:t>
      </w:r>
      <w:r w:rsidRPr="003B69A3">
        <w:rPr>
          <w:i/>
        </w:rPr>
        <w:t>Desnoyers</w:t>
      </w:r>
      <w:r w:rsidRPr="003B69A3">
        <w:t xml:space="preserve">, 2012 QCCA 2105 au para.21; </w:t>
      </w:r>
      <w:r w:rsidRPr="003B69A3">
        <w:rPr>
          <w:i/>
        </w:rPr>
        <w:t xml:space="preserve">R. </w:t>
      </w:r>
      <w:r w:rsidRPr="003B69A3">
        <w:t xml:space="preserve">c. </w:t>
      </w:r>
      <w:r w:rsidRPr="003B69A3">
        <w:rPr>
          <w:i/>
        </w:rPr>
        <w:t>Bergeron</w:t>
      </w:r>
      <w:r>
        <w:t>, [2000] J.Q. no. 3092 (C.A.Qué.</w:t>
      </w:r>
      <w:r w:rsidRPr="003B69A3">
        <w:t>) a</w:t>
      </w:r>
      <w:r>
        <w:t>u</w:t>
      </w:r>
      <w:r w:rsidRPr="003B69A3">
        <w:t xml:space="preserve"> para. 18; </w:t>
      </w:r>
      <w:r w:rsidRPr="003B69A3">
        <w:rPr>
          <w:i/>
        </w:rPr>
        <w:t xml:space="preserve">R. </w:t>
      </w:r>
      <w:r w:rsidRPr="003B69A3">
        <w:t xml:space="preserve">c </w:t>
      </w:r>
      <w:r w:rsidRPr="003B69A3">
        <w:rPr>
          <w:i/>
        </w:rPr>
        <w:t>Champagne</w:t>
      </w:r>
      <w:r w:rsidRPr="003B69A3">
        <w:t xml:space="preserve">, 2013 QCCA 1055 au para. 12; </w:t>
      </w:r>
      <w:r w:rsidRPr="003B69A3">
        <w:rPr>
          <w:i/>
        </w:rPr>
        <w:t xml:space="preserve">R. </w:t>
      </w:r>
      <w:r w:rsidRPr="003B69A3">
        <w:t xml:space="preserve">c. </w:t>
      </w:r>
      <w:r w:rsidRPr="003B69A3">
        <w:rPr>
          <w:i/>
        </w:rPr>
        <w:t>Guerrero-Silva</w:t>
      </w:r>
      <w:r>
        <w:t>, 2015 QCCA 1334 au</w:t>
      </w:r>
      <w:r w:rsidRPr="003B69A3">
        <w:t xml:space="preserve"> para. 59; </w:t>
      </w:r>
      <w:r w:rsidRPr="003B69A3">
        <w:rPr>
          <w:i/>
        </w:rPr>
        <w:t xml:space="preserve">R. </w:t>
      </w:r>
      <w:r w:rsidRPr="003B69A3">
        <w:t xml:space="preserve">v. </w:t>
      </w:r>
      <w:r w:rsidRPr="003B69A3">
        <w:rPr>
          <w:i/>
        </w:rPr>
        <w:t>Cleary</w:t>
      </w:r>
      <w:r w:rsidRPr="003B69A3">
        <w:t xml:space="preserve">, 2004 MBCA 28 au para. 5; </w:t>
      </w:r>
      <w:r w:rsidR="005E3CF1">
        <w:rPr>
          <w:i/>
          <w:iCs/>
        </w:rPr>
        <w:t xml:space="preserve">R. </w:t>
      </w:r>
      <w:r w:rsidR="005E3CF1">
        <w:t xml:space="preserve">c. </w:t>
      </w:r>
      <w:r w:rsidR="005E3CF1">
        <w:rPr>
          <w:i/>
          <w:iCs/>
        </w:rPr>
        <w:t>Stevens</w:t>
      </w:r>
      <w:r w:rsidR="005E3CF1">
        <w:t>, 2014 QCCA 444 au para. 42;</w:t>
      </w:r>
      <w:r w:rsidR="005E3CF1">
        <w:rPr>
          <w:i/>
        </w:rPr>
        <w:t xml:space="preserve"> </w:t>
      </w:r>
      <w:r w:rsidRPr="003B69A3">
        <w:rPr>
          <w:i/>
        </w:rPr>
        <w:t xml:space="preserve">R. </w:t>
      </w:r>
      <w:r w:rsidRPr="003B69A3">
        <w:t xml:space="preserve">v. </w:t>
      </w:r>
      <w:r w:rsidRPr="003B69A3">
        <w:rPr>
          <w:i/>
        </w:rPr>
        <w:t>R.J.H.</w:t>
      </w:r>
      <w:r w:rsidRPr="003B69A3">
        <w:t xml:space="preserve">, 2012 NLCA 52 aux paras. 20, 33; </w:t>
      </w:r>
      <w:r w:rsidRPr="003B69A3">
        <w:rPr>
          <w:i/>
        </w:rPr>
        <w:t xml:space="preserve">R. </w:t>
      </w:r>
      <w:r w:rsidRPr="003B69A3">
        <w:t xml:space="preserve">v. </w:t>
      </w:r>
      <w:r w:rsidRPr="003B69A3">
        <w:rPr>
          <w:i/>
        </w:rPr>
        <w:t>Johnston</w:t>
      </w:r>
      <w:r w:rsidRPr="003B69A3">
        <w:t xml:space="preserve">, 1999 BCCA 14; </w:t>
      </w:r>
      <w:r w:rsidRPr="003B69A3">
        <w:rPr>
          <w:i/>
        </w:rPr>
        <w:t xml:space="preserve">R. </w:t>
      </w:r>
      <w:r w:rsidRPr="003B69A3">
        <w:t xml:space="preserve">v. </w:t>
      </w:r>
      <w:r w:rsidRPr="003B69A3">
        <w:rPr>
          <w:i/>
        </w:rPr>
        <w:t>Mehmoodi</w:t>
      </w:r>
      <w:r w:rsidRPr="003B69A3">
        <w:t xml:space="preserve">, 2015 PECA 17 au para. 12; </w:t>
      </w:r>
      <w:r w:rsidRPr="003B69A3">
        <w:rPr>
          <w:i/>
        </w:rPr>
        <w:t xml:space="preserve">R. </w:t>
      </w:r>
      <w:r w:rsidRPr="003B69A3">
        <w:t xml:space="preserve">v. </w:t>
      </w:r>
      <w:r w:rsidRPr="003B69A3">
        <w:rPr>
          <w:i/>
        </w:rPr>
        <w:t>Morello</w:t>
      </w:r>
      <w:r w:rsidRPr="003B69A3">
        <w:t xml:space="preserve"> (1987), 40 C.C.C. (3d) 278 (C.A.Alta.); </w:t>
      </w:r>
      <w:r w:rsidRPr="003B69A3">
        <w:rPr>
          <w:i/>
        </w:rPr>
        <w:t xml:space="preserve">R. </w:t>
      </w:r>
      <w:r w:rsidRPr="003B69A3">
        <w:t xml:space="preserve">v. </w:t>
      </w:r>
      <w:r w:rsidRPr="003B69A3">
        <w:rPr>
          <w:i/>
        </w:rPr>
        <w:t>Koch</w:t>
      </w:r>
      <w:r w:rsidRPr="003B69A3">
        <w:t xml:space="preserve">, [1983] A.J. No. 210 (C.A.Alta.) au para. 6; </w:t>
      </w:r>
      <w:r w:rsidRPr="003B69A3">
        <w:rPr>
          <w:i/>
        </w:rPr>
        <w:t xml:space="preserve">R. </w:t>
      </w:r>
      <w:r w:rsidRPr="003B69A3">
        <w:t xml:space="preserve">v. </w:t>
      </w:r>
      <w:r w:rsidRPr="003B69A3">
        <w:rPr>
          <w:i/>
        </w:rPr>
        <w:t>Sinio</w:t>
      </w:r>
      <w:r w:rsidRPr="003B69A3">
        <w:t xml:space="preserve">, 2009 BCCA 66 au para. 20; </w:t>
      </w:r>
      <w:r w:rsidRPr="003B69A3">
        <w:rPr>
          <w:i/>
        </w:rPr>
        <w:t xml:space="preserve">R. </w:t>
      </w:r>
      <w:r w:rsidRPr="003B69A3">
        <w:t xml:space="preserve">v. </w:t>
      </w:r>
      <w:r w:rsidRPr="003B69A3">
        <w:rPr>
          <w:i/>
        </w:rPr>
        <w:t>Ngoka</w:t>
      </w:r>
      <w:r w:rsidRPr="003B69A3">
        <w:t xml:space="preserve">, 2009 SKCA 143 au para. 19; </w:t>
      </w:r>
      <w:r w:rsidRPr="003B69A3">
        <w:rPr>
          <w:i/>
        </w:rPr>
        <w:t xml:space="preserve">R. </w:t>
      </w:r>
      <w:r w:rsidRPr="003B69A3">
        <w:t xml:space="preserve">v. </w:t>
      </w:r>
      <w:r w:rsidRPr="003B69A3">
        <w:rPr>
          <w:i/>
        </w:rPr>
        <w:t>Jama</w:t>
      </w:r>
      <w:r w:rsidRPr="003B69A3">
        <w:t>, 2018 ONSC 1252 a</w:t>
      </w:r>
      <w:r>
        <w:t>u</w:t>
      </w:r>
      <w:r w:rsidRPr="003B69A3">
        <w:t xml:space="preserve"> para. 8</w:t>
      </w:r>
      <w:r>
        <w:t>.</w:t>
      </w:r>
    </w:p>
  </w:footnote>
  <w:footnote w:id="68">
    <w:p w14:paraId="0BFD5531" w14:textId="77777777" w:rsidR="00E352C2" w:rsidRPr="00E352C2" w:rsidRDefault="00E352C2" w:rsidP="00E352C2">
      <w:pPr>
        <w:pStyle w:val="Notedebasdepage"/>
      </w:pPr>
      <w:r>
        <w:rPr>
          <w:rStyle w:val="Appelnotedebasdep"/>
        </w:rPr>
        <w:footnoteRef/>
      </w:r>
      <w:r w:rsidRPr="00E352C2">
        <w:t xml:space="preserve"> </w:t>
      </w:r>
      <w:r w:rsidRPr="00E352C2">
        <w:tab/>
        <w:t>Pièce S-9.</w:t>
      </w:r>
    </w:p>
  </w:footnote>
  <w:footnote w:id="69">
    <w:p w14:paraId="7BB701A9" w14:textId="3F61F1CE" w:rsidR="00E352C2" w:rsidRPr="009B03A8" w:rsidRDefault="00E352C2">
      <w:pPr>
        <w:pStyle w:val="Notedebasdepage"/>
      </w:pPr>
      <w:r>
        <w:rPr>
          <w:rStyle w:val="Appelnotedebasdep"/>
        </w:rPr>
        <w:footnoteRef/>
      </w:r>
      <w:r w:rsidRPr="009B03A8">
        <w:t xml:space="preserve"> </w:t>
      </w:r>
      <w:r w:rsidRPr="009B03A8">
        <w:tab/>
      </w:r>
      <w:r w:rsidR="009B03A8" w:rsidRPr="009B03A8">
        <w:t xml:space="preserve">Voir : </w:t>
      </w:r>
      <w:r w:rsidRPr="009B03A8">
        <w:rPr>
          <w:i/>
          <w:iCs/>
        </w:rPr>
        <w:t xml:space="preserve">R. </w:t>
      </w:r>
      <w:r w:rsidRPr="009B03A8">
        <w:t xml:space="preserve">v. </w:t>
      </w:r>
      <w:r w:rsidRPr="009B03A8">
        <w:rPr>
          <w:i/>
          <w:iCs/>
        </w:rPr>
        <w:t>Fletcher</w:t>
      </w:r>
      <w:r w:rsidRPr="009B03A8">
        <w:t xml:space="preserve"> (2008), 76 W.C.B. (2d) 514 (Ont.S.C.J.) a</w:t>
      </w:r>
      <w:r w:rsidR="009B03A8" w:rsidRPr="009B03A8">
        <w:t>u</w:t>
      </w:r>
      <w:r w:rsidRPr="009B03A8">
        <w:t xml:space="preserve"> para. 46; </w:t>
      </w:r>
      <w:r w:rsidRPr="009B03A8">
        <w:rPr>
          <w:i/>
          <w:iCs/>
        </w:rPr>
        <w:t xml:space="preserve">R. </w:t>
      </w:r>
      <w:r w:rsidRPr="009B03A8">
        <w:t xml:space="preserve">v. </w:t>
      </w:r>
      <w:r w:rsidRPr="009B03A8">
        <w:rPr>
          <w:i/>
          <w:iCs/>
        </w:rPr>
        <w:t>Connors</w:t>
      </w:r>
      <w:r w:rsidRPr="009B03A8">
        <w:t>, 2021 NLSC 178 a</w:t>
      </w:r>
      <w:r w:rsidR="009B03A8" w:rsidRPr="009B03A8">
        <w:t>u</w:t>
      </w:r>
      <w:r w:rsidRPr="009B03A8">
        <w:t xml:space="preserve"> para. 45; </w:t>
      </w:r>
      <w:r w:rsidRPr="009B03A8">
        <w:rPr>
          <w:i/>
          <w:iCs/>
        </w:rPr>
        <w:t xml:space="preserve">R. </w:t>
      </w:r>
      <w:r w:rsidRPr="009B03A8">
        <w:t xml:space="preserve">v. </w:t>
      </w:r>
      <w:r w:rsidRPr="009B03A8">
        <w:rPr>
          <w:i/>
          <w:iCs/>
        </w:rPr>
        <w:t>Behm</w:t>
      </w:r>
      <w:r w:rsidRPr="009B03A8">
        <w:t>, 2020 ONCJ 133 a</w:t>
      </w:r>
      <w:r w:rsidR="009B03A8" w:rsidRPr="009B03A8">
        <w:t>u</w:t>
      </w:r>
      <w:r w:rsidRPr="009B03A8">
        <w:t xml:space="preserve"> para. 15</w:t>
      </w:r>
      <w:r w:rsidR="009B03A8" w:rsidRPr="009B03A8">
        <w:t xml:space="preserve">; </w:t>
      </w:r>
      <w:bookmarkStart w:id="5" w:name="_Hlk125366718"/>
      <w:r w:rsidR="009B03A8" w:rsidRPr="009251DF">
        <w:rPr>
          <w:i/>
          <w:iCs/>
        </w:rPr>
        <w:t xml:space="preserve">R. </w:t>
      </w:r>
      <w:r w:rsidR="009B03A8" w:rsidRPr="009251DF">
        <w:t xml:space="preserve">v. </w:t>
      </w:r>
      <w:r w:rsidR="009B03A8">
        <w:rPr>
          <w:i/>
          <w:iCs/>
        </w:rPr>
        <w:t>Moore</w:t>
      </w:r>
      <w:r w:rsidR="009B03A8" w:rsidRPr="009251DF">
        <w:t>, 2018 NWTSC 1 a</w:t>
      </w:r>
      <w:r w:rsidR="009B03A8">
        <w:t>u</w:t>
      </w:r>
      <w:r w:rsidR="009B03A8" w:rsidRPr="009251DF">
        <w:t xml:space="preserve"> para. 2</w:t>
      </w:r>
      <w:r w:rsidR="009B03A8">
        <w:t>5</w:t>
      </w:r>
      <w:bookmarkEnd w:id="5"/>
      <w:r w:rsidR="009B03A8">
        <w:t xml:space="preserve">; </w:t>
      </w:r>
      <w:r w:rsidRPr="009B03A8">
        <w:rPr>
          <w:i/>
          <w:iCs/>
        </w:rPr>
        <w:t xml:space="preserve">R. </w:t>
      </w:r>
      <w:r w:rsidRPr="009B03A8">
        <w:t xml:space="preserve">v. </w:t>
      </w:r>
      <w:r w:rsidRPr="009B03A8">
        <w:rPr>
          <w:i/>
          <w:iCs/>
        </w:rPr>
        <w:t>Carpenter</w:t>
      </w:r>
      <w:r w:rsidRPr="009B03A8">
        <w:t xml:space="preserve"> (2005), 34 C.R. (6th) 395 (</w:t>
      </w:r>
      <w:r w:rsidR="009B03A8" w:rsidRPr="009B03A8">
        <w:t>C.A.</w:t>
      </w:r>
      <w:r w:rsidRPr="009B03A8">
        <w:t>Man.) a</w:t>
      </w:r>
      <w:r w:rsidR="009B03A8" w:rsidRPr="009B03A8">
        <w:t>u</w:t>
      </w:r>
      <w:r w:rsidRPr="009B03A8">
        <w:t xml:space="preserve"> para. </w:t>
      </w:r>
      <w:r w:rsidRPr="009251DF">
        <w:t>5;</w:t>
      </w:r>
      <w:r w:rsidR="009B03A8">
        <w:t xml:space="preserve"> </w:t>
      </w:r>
      <w:r w:rsidR="009B03A8">
        <w:rPr>
          <w:i/>
          <w:iCs/>
        </w:rPr>
        <w:t xml:space="preserve">R. </w:t>
      </w:r>
      <w:r w:rsidR="009B03A8">
        <w:t xml:space="preserve">v. </w:t>
      </w:r>
      <w:r w:rsidR="009B03A8">
        <w:rPr>
          <w:i/>
          <w:iCs/>
        </w:rPr>
        <w:t>Chicksi</w:t>
      </w:r>
      <w:r w:rsidR="009B03A8">
        <w:t>, 2018 NWTCC 1 au para. 24.</w:t>
      </w:r>
    </w:p>
  </w:footnote>
  <w:footnote w:id="70">
    <w:p w14:paraId="5E996172" w14:textId="743DF5FD" w:rsidR="00145E2F" w:rsidRPr="0089626E" w:rsidRDefault="00145E2F">
      <w:pPr>
        <w:pStyle w:val="Notedebasdepage"/>
      </w:pPr>
      <w:r>
        <w:rPr>
          <w:rStyle w:val="Appelnotedebasdep"/>
        </w:rPr>
        <w:footnoteRef/>
      </w:r>
      <w:r w:rsidRPr="009A3199">
        <w:t xml:space="preserve"> </w:t>
      </w:r>
      <w:r w:rsidRPr="009A3199">
        <w:tab/>
      </w:r>
      <w:r w:rsidR="0069437E">
        <w:rPr>
          <w:i/>
          <w:iCs/>
        </w:rPr>
        <w:t xml:space="preserve">R. </w:t>
      </w:r>
      <w:r w:rsidR="0069437E">
        <w:t xml:space="preserve">v. </w:t>
      </w:r>
      <w:r w:rsidR="0069437E">
        <w:rPr>
          <w:i/>
          <w:iCs/>
        </w:rPr>
        <w:t>Tamoikin</w:t>
      </w:r>
      <w:r w:rsidR="0069437E">
        <w:t xml:space="preserve">, 2020 NSCA 43 aux paras. </w:t>
      </w:r>
      <w:r w:rsidR="0069437E" w:rsidRPr="00E87027">
        <w:t>45-51, 58, 60;</w:t>
      </w:r>
      <w:r w:rsidR="00E87027" w:rsidRPr="00E87027">
        <w:t xml:space="preserve"> </w:t>
      </w:r>
      <w:r w:rsidR="00E87027" w:rsidRPr="00E87027">
        <w:rPr>
          <w:i/>
          <w:iCs/>
        </w:rPr>
        <w:t xml:space="preserve">R. </w:t>
      </w:r>
      <w:r w:rsidR="00E87027" w:rsidRPr="00E87027">
        <w:t xml:space="preserve">v. </w:t>
      </w:r>
      <w:r w:rsidR="00E87027" w:rsidRPr="00E87027">
        <w:rPr>
          <w:i/>
          <w:iCs/>
        </w:rPr>
        <w:t>Breen</w:t>
      </w:r>
      <w:r w:rsidR="00E87027" w:rsidRPr="00E87027">
        <w:t xml:space="preserve"> (1982), 69 C.C.C. (2d) 554 (C.</w:t>
      </w:r>
      <w:r w:rsidR="00E87027">
        <w:t>A.T.N.);</w:t>
      </w:r>
      <w:r w:rsidR="0069437E" w:rsidRPr="00E87027">
        <w:t xml:space="preserve"> </w:t>
      </w:r>
      <w:r w:rsidR="009A3199" w:rsidRPr="00E87027">
        <w:rPr>
          <w:i/>
          <w:iCs/>
        </w:rPr>
        <w:t xml:space="preserve">R. </w:t>
      </w:r>
      <w:r w:rsidR="009A3199" w:rsidRPr="00E87027">
        <w:t xml:space="preserve">v. </w:t>
      </w:r>
      <w:r w:rsidR="009A3199" w:rsidRPr="00E87027">
        <w:rPr>
          <w:i/>
          <w:iCs/>
        </w:rPr>
        <w:t>Bacon &amp; Modney</w:t>
      </w:r>
      <w:r w:rsidR="009A3199" w:rsidRPr="00E87027">
        <w:t xml:space="preserve"> (1976), 31 C.C.C. (2d) 56 (C.A.Alta.); </w:t>
      </w:r>
      <w:r w:rsidR="009A3199" w:rsidRPr="00E87027">
        <w:rPr>
          <w:i/>
          <w:iCs/>
        </w:rPr>
        <w:t xml:space="preserve">R. </w:t>
      </w:r>
      <w:r w:rsidR="009A3199" w:rsidRPr="00E87027">
        <w:t xml:space="preserve">v. </w:t>
      </w:r>
      <w:r w:rsidR="009A3199" w:rsidRPr="00E87027">
        <w:rPr>
          <w:i/>
          <w:iCs/>
        </w:rPr>
        <w:t>Wallwork</w:t>
      </w:r>
      <w:r w:rsidR="009A3199" w:rsidRPr="00E87027">
        <w:t xml:space="preserve">, 2009 BCCA 43 au para. </w:t>
      </w:r>
      <w:r w:rsidR="009A3199">
        <w:t>26;</w:t>
      </w:r>
      <w:r w:rsidR="00522D5D">
        <w:t xml:space="preserve"> </w:t>
      </w:r>
      <w:r w:rsidR="00522D5D">
        <w:rPr>
          <w:i/>
          <w:iCs/>
        </w:rPr>
        <w:t xml:space="preserve">R. </w:t>
      </w:r>
      <w:r w:rsidR="00522D5D">
        <w:t xml:space="preserve">v. </w:t>
      </w:r>
      <w:r w:rsidR="00522D5D">
        <w:rPr>
          <w:i/>
          <w:iCs/>
        </w:rPr>
        <w:t>Borde</w:t>
      </w:r>
      <w:r w:rsidR="00522D5D">
        <w:t xml:space="preserve"> (2003), 63 O.R. (3d) 417 (C.A.Ont.) aux paras. 37, 39;</w:t>
      </w:r>
      <w:r w:rsidR="009A3199">
        <w:t xml:space="preserve"> </w:t>
      </w:r>
      <w:r w:rsidR="009A3199">
        <w:rPr>
          <w:i/>
          <w:iCs/>
        </w:rPr>
        <w:t xml:space="preserve">R. </w:t>
      </w:r>
      <w:r w:rsidR="009A3199">
        <w:t xml:space="preserve">v. </w:t>
      </w:r>
      <w:r w:rsidR="009A3199">
        <w:rPr>
          <w:i/>
          <w:iCs/>
        </w:rPr>
        <w:t>McBee</w:t>
      </w:r>
      <w:r w:rsidR="009A3199">
        <w:t xml:space="preserve"> (1982), 7 </w:t>
      </w:r>
      <w:r w:rsidR="0089626E">
        <w:t>W.C.B. 333 (C.A.C.B.);</w:t>
      </w:r>
      <w:r w:rsidR="009A3199">
        <w:t xml:space="preserve"> </w:t>
      </w:r>
      <w:r w:rsidR="009A3199">
        <w:rPr>
          <w:i/>
          <w:iCs/>
        </w:rPr>
        <w:t xml:space="preserve">R. </w:t>
      </w:r>
      <w:r w:rsidR="009A3199">
        <w:t xml:space="preserve">v. </w:t>
      </w:r>
      <w:r w:rsidR="009A3199">
        <w:rPr>
          <w:i/>
          <w:iCs/>
        </w:rPr>
        <w:t>Z.T.S.</w:t>
      </w:r>
      <w:r w:rsidR="009A3199">
        <w:t xml:space="preserve"> (2012), 284 Man.R. (2d) 55 (C.A.Man.) au para. </w:t>
      </w:r>
      <w:r w:rsidR="009A3199" w:rsidRPr="0072120E">
        <w:rPr>
          <w:lang w:val="en-CA"/>
        </w:rPr>
        <w:t>67;</w:t>
      </w:r>
      <w:r w:rsidR="0072120E" w:rsidRPr="0072120E">
        <w:rPr>
          <w:lang w:val="en-CA"/>
        </w:rPr>
        <w:t xml:space="preserve"> </w:t>
      </w:r>
      <w:r w:rsidR="0072120E" w:rsidRPr="0072120E">
        <w:rPr>
          <w:i/>
          <w:iCs/>
          <w:lang w:val="en-CA"/>
        </w:rPr>
        <w:t xml:space="preserve">R. </w:t>
      </w:r>
      <w:r w:rsidR="0072120E" w:rsidRPr="0072120E">
        <w:rPr>
          <w:lang w:val="en-CA"/>
        </w:rPr>
        <w:t xml:space="preserve">v. </w:t>
      </w:r>
      <w:r w:rsidR="0072120E" w:rsidRPr="0072120E">
        <w:rPr>
          <w:i/>
          <w:iCs/>
          <w:lang w:val="en-CA"/>
        </w:rPr>
        <w:t>Overdiek</w:t>
      </w:r>
      <w:r w:rsidR="0072120E" w:rsidRPr="0072120E">
        <w:rPr>
          <w:lang w:val="en-CA"/>
        </w:rPr>
        <w:t>, [1982] B.C.J. No. 1045 (C.</w:t>
      </w:r>
      <w:r w:rsidR="0072120E">
        <w:rPr>
          <w:lang w:val="en-CA"/>
        </w:rPr>
        <w:t>A.C.B.);</w:t>
      </w:r>
      <w:r w:rsidR="002F453B" w:rsidRPr="0072120E">
        <w:rPr>
          <w:lang w:val="en-CA"/>
        </w:rPr>
        <w:t xml:space="preserve"> </w:t>
      </w:r>
      <w:r w:rsidR="002F453B" w:rsidRPr="0072120E">
        <w:rPr>
          <w:i/>
          <w:iCs/>
          <w:lang w:val="en-CA"/>
        </w:rPr>
        <w:t xml:space="preserve">R. </w:t>
      </w:r>
      <w:r w:rsidR="002F453B" w:rsidRPr="0072120E">
        <w:rPr>
          <w:lang w:val="en-CA"/>
        </w:rPr>
        <w:t xml:space="preserve">v. </w:t>
      </w:r>
      <w:r w:rsidR="002F453B" w:rsidRPr="0072120E">
        <w:rPr>
          <w:i/>
          <w:iCs/>
          <w:lang w:val="en-CA"/>
        </w:rPr>
        <w:t>Farrell</w:t>
      </w:r>
      <w:r w:rsidR="002F453B" w:rsidRPr="0072120E">
        <w:rPr>
          <w:lang w:val="en-CA"/>
        </w:rPr>
        <w:t xml:space="preserve">, 2022 NLSC 76 au para. </w:t>
      </w:r>
      <w:r w:rsidR="002F453B" w:rsidRPr="002F453B">
        <w:rPr>
          <w:lang w:val="en-CA"/>
        </w:rPr>
        <w:t xml:space="preserve">50; </w:t>
      </w:r>
      <w:r w:rsidR="002F453B" w:rsidRPr="002F453B">
        <w:rPr>
          <w:i/>
          <w:iCs/>
          <w:lang w:val="en-CA"/>
        </w:rPr>
        <w:t xml:space="preserve">R. </w:t>
      </w:r>
      <w:r w:rsidR="002F453B" w:rsidRPr="002F453B">
        <w:rPr>
          <w:lang w:val="en-CA"/>
        </w:rPr>
        <w:t xml:space="preserve">v. </w:t>
      </w:r>
      <w:r w:rsidR="002F453B" w:rsidRPr="002F453B">
        <w:rPr>
          <w:i/>
          <w:iCs/>
          <w:lang w:val="en-CA"/>
        </w:rPr>
        <w:t>Cleyndert</w:t>
      </w:r>
      <w:r w:rsidR="002F453B" w:rsidRPr="002F453B">
        <w:rPr>
          <w:lang w:val="en-CA"/>
        </w:rPr>
        <w:t>, [2006] O.J. N</w:t>
      </w:r>
      <w:r w:rsidR="002F453B">
        <w:rPr>
          <w:lang w:val="en-CA"/>
        </w:rPr>
        <w:t>o</w:t>
      </w:r>
      <w:r w:rsidR="002F453B" w:rsidRPr="002F453B">
        <w:rPr>
          <w:lang w:val="en-CA"/>
        </w:rPr>
        <w:t>.</w:t>
      </w:r>
      <w:r w:rsidR="002F453B">
        <w:rPr>
          <w:lang w:val="en-CA"/>
        </w:rPr>
        <w:t xml:space="preserve"> 4038 (C.A.Ont.);</w:t>
      </w:r>
      <w:r w:rsidR="009A3199" w:rsidRPr="002F453B">
        <w:rPr>
          <w:lang w:val="en-CA"/>
        </w:rPr>
        <w:t xml:space="preserve"> </w:t>
      </w:r>
      <w:r w:rsidR="009A3199" w:rsidRPr="002F453B">
        <w:rPr>
          <w:i/>
          <w:iCs/>
          <w:lang w:val="en-CA"/>
        </w:rPr>
        <w:t xml:space="preserve">R. </w:t>
      </w:r>
      <w:r w:rsidR="009A3199" w:rsidRPr="002F453B">
        <w:rPr>
          <w:lang w:val="en-CA"/>
        </w:rPr>
        <w:t xml:space="preserve">v. </w:t>
      </w:r>
      <w:r w:rsidR="009A3199" w:rsidRPr="002F453B">
        <w:rPr>
          <w:i/>
          <w:iCs/>
          <w:lang w:val="en-CA"/>
        </w:rPr>
        <w:t>Kalelest</w:t>
      </w:r>
      <w:r w:rsidR="009A3199" w:rsidRPr="002F453B">
        <w:rPr>
          <w:lang w:val="en-CA"/>
        </w:rPr>
        <w:t xml:space="preserve">, 2017 BCSC 1187 au para. </w:t>
      </w:r>
      <w:r w:rsidR="009A3199">
        <w:t xml:space="preserve">14; </w:t>
      </w:r>
      <w:r w:rsidR="009A3199">
        <w:rPr>
          <w:i/>
          <w:iCs/>
        </w:rPr>
        <w:t xml:space="preserve">R. </w:t>
      </w:r>
      <w:r w:rsidR="009A3199">
        <w:t xml:space="preserve">v. </w:t>
      </w:r>
      <w:r w:rsidR="009A3199">
        <w:rPr>
          <w:i/>
          <w:iCs/>
        </w:rPr>
        <w:t>Golic</w:t>
      </w:r>
      <w:r w:rsidR="009A3199">
        <w:t>, 2017 BCSC 2244 au para. 56, inf. uniquement sur la question du calcul du crédit pour la détention provisoire, 2018 BCCA 152;</w:t>
      </w:r>
      <w:r w:rsidR="00A10025">
        <w:t xml:space="preserve"> </w:t>
      </w:r>
      <w:r w:rsidR="00A10025">
        <w:rPr>
          <w:i/>
          <w:iCs/>
        </w:rPr>
        <w:t xml:space="preserve">R. </w:t>
      </w:r>
      <w:r w:rsidR="00A10025">
        <w:t xml:space="preserve">v. </w:t>
      </w:r>
      <w:r w:rsidR="00A10025">
        <w:rPr>
          <w:i/>
          <w:iCs/>
        </w:rPr>
        <w:t>Sylliboy</w:t>
      </w:r>
      <w:r w:rsidR="00A10025">
        <w:t xml:space="preserve">, 2022 NSSC 213 au para. 35; </w:t>
      </w:r>
      <w:r w:rsidR="00A10025">
        <w:rPr>
          <w:i/>
          <w:iCs/>
        </w:rPr>
        <w:t xml:space="preserve">R. </w:t>
      </w:r>
      <w:r w:rsidR="00A10025">
        <w:t xml:space="preserve">v. </w:t>
      </w:r>
      <w:r w:rsidR="00A10025">
        <w:rPr>
          <w:i/>
          <w:iCs/>
        </w:rPr>
        <w:t>Boucher</w:t>
      </w:r>
      <w:r w:rsidR="00A10025">
        <w:t>, 2020 ONSC 7713 au para. 32;</w:t>
      </w:r>
      <w:r w:rsidR="009A3199">
        <w:t xml:space="preserve"> </w:t>
      </w:r>
      <w:r w:rsidRPr="00145E2F">
        <w:rPr>
          <w:i/>
          <w:iCs/>
        </w:rPr>
        <w:t xml:space="preserve">R. </w:t>
      </w:r>
      <w:r w:rsidRPr="00145E2F">
        <w:t xml:space="preserve">v. </w:t>
      </w:r>
      <w:r w:rsidRPr="00145E2F">
        <w:rPr>
          <w:i/>
          <w:iCs/>
        </w:rPr>
        <w:t>Moonias</w:t>
      </w:r>
      <w:r w:rsidRPr="00145E2F">
        <w:t>, 2019 ONCJ 613 au p</w:t>
      </w:r>
      <w:r>
        <w:t xml:space="preserve">ara. </w:t>
      </w:r>
      <w:r w:rsidRPr="00145E2F">
        <w:t xml:space="preserve">28; </w:t>
      </w:r>
      <w:r w:rsidRPr="00145E2F">
        <w:rPr>
          <w:i/>
          <w:iCs/>
        </w:rPr>
        <w:t xml:space="preserve">R. </w:t>
      </w:r>
      <w:r w:rsidRPr="00145E2F">
        <w:t xml:space="preserve">v. </w:t>
      </w:r>
      <w:r w:rsidRPr="00145E2F">
        <w:rPr>
          <w:i/>
          <w:iCs/>
        </w:rPr>
        <w:t>Williams</w:t>
      </w:r>
      <w:r w:rsidRPr="00145E2F">
        <w:t>, 2019 ONCJ 105 au par</w:t>
      </w:r>
      <w:r>
        <w:t xml:space="preserve">a. </w:t>
      </w:r>
      <w:r w:rsidRPr="0089626E">
        <w:t>41</w:t>
      </w:r>
      <w:r w:rsidR="0089626E" w:rsidRPr="0089626E">
        <w:t xml:space="preserve">; </w:t>
      </w:r>
      <w:r w:rsidR="0089626E" w:rsidRPr="0089626E">
        <w:rPr>
          <w:i/>
          <w:iCs/>
        </w:rPr>
        <w:t xml:space="preserve">R. </w:t>
      </w:r>
      <w:r w:rsidR="0089626E" w:rsidRPr="0089626E">
        <w:t xml:space="preserve">c </w:t>
      </w:r>
      <w:r w:rsidR="0089626E" w:rsidRPr="0089626E">
        <w:rPr>
          <w:i/>
          <w:iCs/>
        </w:rPr>
        <w:t>Benabdallah</w:t>
      </w:r>
      <w:r w:rsidR="0089626E" w:rsidRPr="0089626E">
        <w:t xml:space="preserve">, 2010 QCCS 1676 au para. 26; </w:t>
      </w:r>
      <w:r w:rsidR="0089626E" w:rsidRPr="0089626E">
        <w:rPr>
          <w:i/>
          <w:iCs/>
        </w:rPr>
        <w:t xml:space="preserve">R. </w:t>
      </w:r>
      <w:r w:rsidR="0089626E" w:rsidRPr="0089626E">
        <w:t xml:space="preserve">c. </w:t>
      </w:r>
      <w:r w:rsidR="0089626E" w:rsidRPr="0089626E">
        <w:rPr>
          <w:i/>
          <w:iCs/>
        </w:rPr>
        <w:t>Buzizi</w:t>
      </w:r>
      <w:r w:rsidR="0089626E" w:rsidRPr="0089626E">
        <w:t>, 2015 Q</w:t>
      </w:r>
      <w:r w:rsidR="0089626E">
        <w:t xml:space="preserve">CCS 1686 au para. 39; </w:t>
      </w:r>
      <w:r w:rsidR="0089626E">
        <w:rPr>
          <w:i/>
          <w:iCs/>
        </w:rPr>
        <w:t xml:space="preserve">R. </w:t>
      </w:r>
      <w:r w:rsidR="0089626E">
        <w:t xml:space="preserve">c. </w:t>
      </w:r>
      <w:r w:rsidR="0089626E">
        <w:rPr>
          <w:i/>
          <w:iCs/>
        </w:rPr>
        <w:t>Lemieux</w:t>
      </w:r>
      <w:r w:rsidR="0089626E">
        <w:t xml:space="preserve">, 2015 QCCS 3723 aux paras. 9, 55; </w:t>
      </w:r>
      <w:r w:rsidR="0089626E">
        <w:rPr>
          <w:i/>
          <w:iCs/>
        </w:rPr>
        <w:t xml:space="preserve">R. </w:t>
      </w:r>
      <w:r w:rsidR="0089626E">
        <w:t xml:space="preserve">c. </w:t>
      </w:r>
      <w:r w:rsidR="0089626E">
        <w:rPr>
          <w:i/>
          <w:iCs/>
        </w:rPr>
        <w:t>D’Astous</w:t>
      </w:r>
      <w:r w:rsidR="0089626E">
        <w:t>, 2017 QCCS 1686 au para. 24.</w:t>
      </w:r>
    </w:p>
  </w:footnote>
  <w:footnote w:id="71">
    <w:p w14:paraId="36E924F2" w14:textId="41AF2614" w:rsidR="0089626E" w:rsidRPr="00BD536B" w:rsidRDefault="0089626E">
      <w:pPr>
        <w:pStyle w:val="Notedebasdepage"/>
      </w:pPr>
      <w:r>
        <w:rPr>
          <w:rStyle w:val="Appelnotedebasdep"/>
        </w:rPr>
        <w:footnoteRef/>
      </w:r>
      <w:r w:rsidRPr="00BD536B">
        <w:t xml:space="preserve"> </w:t>
      </w:r>
      <w:r w:rsidRPr="00BD536B">
        <w:tab/>
      </w:r>
      <w:r w:rsidRPr="00BD536B">
        <w:rPr>
          <w:i/>
          <w:iCs/>
        </w:rPr>
        <w:t xml:space="preserve">R. </w:t>
      </w:r>
      <w:r w:rsidRPr="00BD536B">
        <w:t xml:space="preserve">c. </w:t>
      </w:r>
      <w:r w:rsidRPr="00BD536B">
        <w:rPr>
          <w:i/>
          <w:iCs/>
        </w:rPr>
        <w:t>Hamel</w:t>
      </w:r>
      <w:r w:rsidRPr="00BD536B">
        <w:t>, [1992] J.Q. no. 37 (C.A.Qué.)</w:t>
      </w:r>
      <w:r w:rsidR="00BD536B" w:rsidRPr="00BD536B">
        <w:t xml:space="preserve">; </w:t>
      </w:r>
      <w:r w:rsidR="00BD536B" w:rsidRPr="00BD536B">
        <w:rPr>
          <w:i/>
          <w:iCs/>
        </w:rPr>
        <w:t xml:space="preserve">R. </w:t>
      </w:r>
      <w:r w:rsidR="00BD536B" w:rsidRPr="00BD536B">
        <w:t xml:space="preserve">v. </w:t>
      </w:r>
      <w:r w:rsidR="00BD536B" w:rsidRPr="00BD536B">
        <w:rPr>
          <w:i/>
          <w:iCs/>
        </w:rPr>
        <w:t>Denault</w:t>
      </w:r>
      <w:r w:rsidR="00BD536B" w:rsidRPr="00BD536B">
        <w:t xml:space="preserve"> (1981), 20 C.R. (2d) 1154 (C.A.On</w:t>
      </w:r>
      <w:r w:rsidR="00BD536B">
        <w:t>t.).</w:t>
      </w:r>
    </w:p>
  </w:footnote>
  <w:footnote w:id="72">
    <w:p w14:paraId="323152FF" w14:textId="77777777" w:rsidR="000B7539" w:rsidRPr="00780331" w:rsidRDefault="000B7539" w:rsidP="000B7539">
      <w:pPr>
        <w:pStyle w:val="Notedebasdepage"/>
      </w:pPr>
      <w:r>
        <w:rPr>
          <w:rStyle w:val="Appelnotedebasdep"/>
        </w:rPr>
        <w:footnoteRef/>
      </w:r>
      <w:r>
        <w:t xml:space="preserve"> </w:t>
      </w:r>
      <w:r>
        <w:tab/>
      </w:r>
      <w:r>
        <w:rPr>
          <w:i/>
        </w:rPr>
        <w:t xml:space="preserve">R. </w:t>
      </w:r>
      <w:r>
        <w:t xml:space="preserve">c. </w:t>
      </w:r>
      <w:r>
        <w:rPr>
          <w:i/>
        </w:rPr>
        <w:t>De L’Étoile</w:t>
      </w:r>
      <w:r>
        <w:t>, 2019 QCCA 2148 au para. 9.</w:t>
      </w:r>
    </w:p>
  </w:footnote>
  <w:footnote w:id="73">
    <w:p w14:paraId="456AD4EC" w14:textId="77777777" w:rsidR="000B7539" w:rsidRPr="002E0644" w:rsidRDefault="000B7539" w:rsidP="000B7539">
      <w:pPr>
        <w:pStyle w:val="Notedebasdepage"/>
      </w:pPr>
      <w:r>
        <w:rPr>
          <w:rStyle w:val="Appelnotedebasdep"/>
        </w:rPr>
        <w:footnoteRef/>
      </w:r>
      <w:r>
        <w:t xml:space="preserve"> </w:t>
      </w:r>
      <w:r>
        <w:tab/>
      </w:r>
      <w:r>
        <w:rPr>
          <w:i/>
        </w:rPr>
        <w:t xml:space="preserve">R. </w:t>
      </w:r>
      <w:r>
        <w:t xml:space="preserve">c. </w:t>
      </w:r>
      <w:r>
        <w:rPr>
          <w:i/>
        </w:rPr>
        <w:t>Anglehart</w:t>
      </w:r>
      <w:r>
        <w:t xml:space="preserve">, 2012 QCCA 771 aux paras. 31-33; </w:t>
      </w:r>
      <w:r>
        <w:rPr>
          <w:i/>
        </w:rPr>
        <w:t xml:space="preserve">R. </w:t>
      </w:r>
      <w:r>
        <w:t xml:space="preserve">c. </w:t>
      </w:r>
      <w:r>
        <w:rPr>
          <w:i/>
        </w:rPr>
        <w:t>Denis</w:t>
      </w:r>
      <w:r>
        <w:t xml:space="preserve">, 2018 QCCA 1137 au para. 19; </w:t>
      </w:r>
      <w:r>
        <w:rPr>
          <w:i/>
        </w:rPr>
        <w:t xml:space="preserve">R. </w:t>
      </w:r>
      <w:r>
        <w:t xml:space="preserve">c. </w:t>
      </w:r>
      <w:r>
        <w:rPr>
          <w:i/>
        </w:rPr>
        <w:t>Émond</w:t>
      </w:r>
      <w:r>
        <w:t>, 2019 QCCA 317 au para. 46.</w:t>
      </w:r>
    </w:p>
  </w:footnote>
  <w:footnote w:id="74">
    <w:p w14:paraId="2E774B9C" w14:textId="77777777" w:rsidR="000B7539" w:rsidRPr="00780331" w:rsidRDefault="000B7539" w:rsidP="000B7539">
      <w:pPr>
        <w:pStyle w:val="Notedebasdepage"/>
      </w:pPr>
      <w:r>
        <w:rPr>
          <w:rStyle w:val="Appelnotedebasdep"/>
        </w:rPr>
        <w:footnoteRef/>
      </w:r>
      <w:r>
        <w:t xml:space="preserve"> </w:t>
      </w:r>
      <w:r>
        <w:tab/>
      </w:r>
      <w:r>
        <w:rPr>
          <w:i/>
        </w:rPr>
        <w:t xml:space="preserve">R. </w:t>
      </w:r>
      <w:r>
        <w:t xml:space="preserve">c. </w:t>
      </w:r>
      <w:r>
        <w:rPr>
          <w:i/>
        </w:rPr>
        <w:t>Beaulieu</w:t>
      </w:r>
      <w:r>
        <w:t>, 2007 QCCA 403 au para. 20.</w:t>
      </w:r>
    </w:p>
  </w:footnote>
  <w:footnote w:id="75">
    <w:p w14:paraId="6D8E69FA" w14:textId="2A01CF36" w:rsidR="000B7539" w:rsidRDefault="000B7539">
      <w:pPr>
        <w:pStyle w:val="Notedebasdepage"/>
      </w:pPr>
      <w:r>
        <w:rPr>
          <w:rStyle w:val="Appelnotedebasdep"/>
        </w:rPr>
        <w:footnoteRef/>
      </w:r>
      <w:r>
        <w:t xml:space="preserve"> </w:t>
      </w:r>
      <w:r>
        <w:tab/>
      </w:r>
      <w:r>
        <w:rPr>
          <w:i/>
        </w:rPr>
        <w:t xml:space="preserve">R. </w:t>
      </w:r>
      <w:r>
        <w:t xml:space="preserve">c. </w:t>
      </w:r>
      <w:r>
        <w:rPr>
          <w:i/>
        </w:rPr>
        <w:t>De L’Étoile</w:t>
      </w:r>
      <w:r>
        <w:t xml:space="preserve">, 2019 QCCA 2148 au para. </w:t>
      </w:r>
      <w:r w:rsidRPr="00623890">
        <w:t>9</w:t>
      </w:r>
      <w:r>
        <w:t>.</w:t>
      </w:r>
    </w:p>
  </w:footnote>
  <w:footnote w:id="76">
    <w:p w14:paraId="64D16AA1" w14:textId="3DD5DC4C" w:rsidR="000B7539" w:rsidRDefault="000B7539">
      <w:pPr>
        <w:pStyle w:val="Notedebasdepage"/>
      </w:pPr>
      <w:r>
        <w:rPr>
          <w:rStyle w:val="Appelnotedebasdep"/>
        </w:rPr>
        <w:footnoteRef/>
      </w:r>
      <w:r>
        <w:t xml:space="preserve"> </w:t>
      </w:r>
      <w:r>
        <w:tab/>
      </w:r>
      <w:r w:rsidRPr="00623890">
        <w:rPr>
          <w:i/>
        </w:rPr>
        <w:t xml:space="preserve">R. </w:t>
      </w:r>
      <w:r w:rsidRPr="00623890">
        <w:t xml:space="preserve">c. </w:t>
      </w:r>
      <w:r w:rsidRPr="00623890">
        <w:rPr>
          <w:i/>
        </w:rPr>
        <w:t>Norris</w:t>
      </w:r>
      <w:r w:rsidRPr="00623890">
        <w:t>, 2016 QCCA 309 a</w:t>
      </w:r>
      <w:r>
        <w:t>u</w:t>
      </w:r>
      <w:r w:rsidRPr="00623890">
        <w:t xml:space="preserve"> para. 31</w:t>
      </w:r>
      <w:r>
        <w:t>.</w:t>
      </w:r>
    </w:p>
  </w:footnote>
  <w:footnote w:id="77">
    <w:p w14:paraId="252B7EAD" w14:textId="77777777" w:rsidR="00FA7D41" w:rsidRDefault="00FA7D41" w:rsidP="00FA7D41">
      <w:pPr>
        <w:pStyle w:val="Notedebasdepage"/>
      </w:pPr>
      <w:r>
        <w:rPr>
          <w:rStyle w:val="Appelnotedebasdep"/>
        </w:rPr>
        <w:footnoteRef/>
      </w:r>
      <w:r>
        <w:t xml:space="preserve"> </w:t>
      </w:r>
      <w:r>
        <w:tab/>
        <w:t>Pièce P-1 au para. 6.</w:t>
      </w:r>
    </w:p>
  </w:footnote>
  <w:footnote w:id="78">
    <w:p w14:paraId="10A779CF" w14:textId="77777777" w:rsidR="00FA7D41" w:rsidRPr="007B3165" w:rsidRDefault="00FA7D41" w:rsidP="00FA7D41">
      <w:pPr>
        <w:pStyle w:val="Notedebasdepage"/>
      </w:pPr>
      <w:r>
        <w:rPr>
          <w:rStyle w:val="Appelnotedebasdep"/>
        </w:rPr>
        <w:footnoteRef/>
      </w:r>
      <w:r>
        <w:t xml:space="preserve"> </w:t>
      </w:r>
      <w:r>
        <w:tab/>
      </w:r>
      <w:r>
        <w:rPr>
          <w:i/>
          <w:iCs/>
        </w:rPr>
        <w:t xml:space="preserve">R. </w:t>
      </w:r>
      <w:r>
        <w:t xml:space="preserve">c. </w:t>
      </w:r>
      <w:r>
        <w:rPr>
          <w:i/>
          <w:iCs/>
        </w:rPr>
        <w:t>Larche</w:t>
      </w:r>
      <w:r>
        <w:t xml:space="preserve">, [2006] 2 R.C.S. 762; </w:t>
      </w:r>
      <w:r>
        <w:rPr>
          <w:i/>
          <w:iCs/>
        </w:rPr>
        <w:t xml:space="preserve">R. </w:t>
      </w:r>
      <w:r>
        <w:t xml:space="preserve">c. </w:t>
      </w:r>
      <w:r>
        <w:rPr>
          <w:i/>
          <w:iCs/>
        </w:rPr>
        <w:t>Desnoyers</w:t>
      </w:r>
      <w:r>
        <w:t xml:space="preserve">, 2012 QCCA 2105; </w:t>
      </w:r>
      <w:r>
        <w:rPr>
          <w:i/>
          <w:iCs/>
        </w:rPr>
        <w:t xml:space="preserve">R. </w:t>
      </w:r>
      <w:r>
        <w:t xml:space="preserve">v. </w:t>
      </w:r>
      <w:r>
        <w:rPr>
          <w:i/>
          <w:iCs/>
        </w:rPr>
        <w:t>MacLeod</w:t>
      </w:r>
      <w:r>
        <w:t>, 2018 SKCA 1 au para. 29.</w:t>
      </w:r>
    </w:p>
  </w:footnote>
  <w:footnote w:id="79">
    <w:p w14:paraId="03F8AE34" w14:textId="77777777" w:rsidR="00FA7D41" w:rsidRDefault="00FA7D41" w:rsidP="00FA7D41">
      <w:pPr>
        <w:pStyle w:val="Notedebasdepage"/>
      </w:pPr>
      <w:r>
        <w:rPr>
          <w:rStyle w:val="Appelnotedebasdep"/>
        </w:rPr>
        <w:footnoteRef/>
      </w:r>
      <w:r>
        <w:t xml:space="preserve"> </w:t>
      </w:r>
      <w:r>
        <w:tab/>
      </w:r>
      <w:r>
        <w:rPr>
          <w:i/>
          <w:iCs/>
        </w:rPr>
        <w:t xml:space="preserve">R. </w:t>
      </w:r>
      <w:r>
        <w:t xml:space="preserve">c. </w:t>
      </w:r>
      <w:r>
        <w:rPr>
          <w:i/>
          <w:iCs/>
        </w:rPr>
        <w:t>Larche</w:t>
      </w:r>
      <w:r>
        <w:t>, [2006] 2 R.C.S. 762 au para. 51.</w:t>
      </w:r>
    </w:p>
  </w:footnote>
  <w:footnote w:id="80">
    <w:p w14:paraId="763FB69C" w14:textId="77777777" w:rsidR="00FA7D41" w:rsidRPr="00FA1BCA" w:rsidRDefault="00FA7D41" w:rsidP="00FA7D41">
      <w:pPr>
        <w:pStyle w:val="Notedebasdepage"/>
      </w:pPr>
      <w:r>
        <w:rPr>
          <w:rStyle w:val="Appelnotedebasdep"/>
        </w:rPr>
        <w:footnoteRef/>
      </w:r>
      <w:r>
        <w:t xml:space="preserve"> </w:t>
      </w:r>
      <w:r>
        <w:tab/>
        <w:t xml:space="preserve">Voir : </w:t>
      </w:r>
      <w:r>
        <w:rPr>
          <w:i/>
          <w:iCs/>
        </w:rPr>
        <w:t xml:space="preserve">R. </w:t>
      </w:r>
      <w:r>
        <w:t xml:space="preserve">v. </w:t>
      </w:r>
      <w:r>
        <w:rPr>
          <w:i/>
          <w:iCs/>
        </w:rPr>
        <w:t>Thériault</w:t>
      </w:r>
      <w:r>
        <w:t xml:space="preserve"> (2021), 157 O.R. (3d) 241 (C.A.Ont.) aux paras. 197-198, permission d’appel refusée, [2021] S.C.C.A. No. 362; </w:t>
      </w:r>
      <w:r>
        <w:rPr>
          <w:i/>
          <w:iCs/>
        </w:rPr>
        <w:t xml:space="preserve">R. </w:t>
      </w:r>
      <w:r>
        <w:t xml:space="preserve">v. </w:t>
      </w:r>
      <w:r>
        <w:rPr>
          <w:i/>
          <w:iCs/>
        </w:rPr>
        <w:t xml:space="preserve">Luu </w:t>
      </w:r>
      <w:r>
        <w:t>(2021), 488 C.R.R. (2d) 225 (C.A.Ont.).</w:t>
      </w:r>
    </w:p>
  </w:footnote>
  <w:footnote w:id="81">
    <w:p w14:paraId="054D87F2" w14:textId="77777777" w:rsidR="00FA7D41" w:rsidRDefault="00FA7D41" w:rsidP="00FA7D41">
      <w:pPr>
        <w:pStyle w:val="Notedebasdepage"/>
      </w:pPr>
      <w:r>
        <w:rPr>
          <w:rStyle w:val="Appelnotedebasdep"/>
        </w:rPr>
        <w:footnoteRef/>
      </w:r>
      <w:r>
        <w:t xml:space="preserve"> </w:t>
      </w:r>
      <w:r>
        <w:tab/>
      </w:r>
      <w:r>
        <w:rPr>
          <w:i/>
          <w:iCs/>
        </w:rPr>
        <w:t xml:space="preserve">R. </w:t>
      </w:r>
      <w:r>
        <w:t xml:space="preserve">v. </w:t>
      </w:r>
      <w:r>
        <w:rPr>
          <w:i/>
          <w:iCs/>
        </w:rPr>
        <w:t xml:space="preserve">Luu </w:t>
      </w:r>
      <w:r>
        <w:t>(2021), 488 C.R.R. (2d) 225 (C.A.Ont.).</w:t>
      </w:r>
    </w:p>
  </w:footnote>
  <w:footnote w:id="82">
    <w:p w14:paraId="0A64F967" w14:textId="77777777" w:rsidR="00FA7D41" w:rsidRDefault="00FA7D41" w:rsidP="00FA7D41">
      <w:pPr>
        <w:pStyle w:val="Notedebasdepage"/>
      </w:pPr>
      <w:r>
        <w:rPr>
          <w:rStyle w:val="Appelnotedebasdep"/>
        </w:rPr>
        <w:footnoteRef/>
      </w:r>
      <w:r>
        <w:t xml:space="preserve"> </w:t>
      </w:r>
      <w:r>
        <w:tab/>
      </w:r>
      <w:r>
        <w:rPr>
          <w:i/>
          <w:iCs/>
        </w:rPr>
        <w:t xml:space="preserve">R. </w:t>
      </w:r>
      <w:r>
        <w:t xml:space="preserve">c. </w:t>
      </w:r>
      <w:r>
        <w:rPr>
          <w:i/>
          <w:iCs/>
        </w:rPr>
        <w:t>Larche</w:t>
      </w:r>
      <w:r>
        <w:t xml:space="preserve">, [2006] 2 R.C.S. 762 au para. 44; </w:t>
      </w:r>
      <w:r>
        <w:rPr>
          <w:i/>
          <w:iCs/>
        </w:rPr>
        <w:t>Desnoyers</w:t>
      </w:r>
      <w:r>
        <w:t xml:space="preserve">, 2012 QCCA 2105 au para. 26; </w:t>
      </w:r>
      <w:r>
        <w:rPr>
          <w:i/>
          <w:iCs/>
        </w:rPr>
        <w:t xml:space="preserve">R. </w:t>
      </w:r>
      <w:r>
        <w:t xml:space="preserve">v. </w:t>
      </w:r>
      <w:r>
        <w:rPr>
          <w:i/>
          <w:iCs/>
        </w:rPr>
        <w:t>Shin</w:t>
      </w:r>
      <w:r>
        <w:t xml:space="preserve"> (2015), 330 C.R.R. (2d) 158 (C.A.Ont.) au para. 89; </w:t>
      </w:r>
      <w:r>
        <w:rPr>
          <w:i/>
          <w:iCs/>
        </w:rPr>
        <w:t xml:space="preserve">R. </w:t>
      </w:r>
      <w:r>
        <w:t xml:space="preserve">c. </w:t>
      </w:r>
      <w:r>
        <w:rPr>
          <w:i/>
          <w:iCs/>
        </w:rPr>
        <w:t>O’Keefe</w:t>
      </w:r>
      <w:r>
        <w:t>, 2016 QCCA 1541 au para. 26.</w:t>
      </w:r>
    </w:p>
  </w:footnote>
  <w:footnote w:id="83">
    <w:p w14:paraId="639A716A" w14:textId="77777777" w:rsidR="006C032B" w:rsidRPr="00886034" w:rsidRDefault="006C032B" w:rsidP="006C032B">
      <w:pPr>
        <w:pStyle w:val="Notedebasdepage"/>
      </w:pPr>
      <w:r>
        <w:rPr>
          <w:rStyle w:val="Appelnotedebasdep"/>
        </w:rPr>
        <w:footnoteRef/>
      </w:r>
      <w:r w:rsidRPr="008A2856">
        <w:t xml:space="preserve"> </w:t>
      </w:r>
      <w:r w:rsidRPr="008A2856">
        <w:tab/>
      </w:r>
      <w:r w:rsidRPr="008A2856">
        <w:rPr>
          <w:i/>
          <w:iCs/>
        </w:rPr>
        <w:t xml:space="preserve">R. </w:t>
      </w:r>
      <w:r w:rsidRPr="008A2856">
        <w:t xml:space="preserve">c. </w:t>
      </w:r>
      <w:r w:rsidRPr="008A2856">
        <w:rPr>
          <w:i/>
          <w:iCs/>
        </w:rPr>
        <w:t>Pearson</w:t>
      </w:r>
      <w:r w:rsidRPr="008A2856">
        <w:t xml:space="preserve">, [2001] J.Q. no. 5753 (C.A.Qué.) au para. </w:t>
      </w:r>
      <w:r w:rsidRPr="00AA7D4C">
        <w:t>21, permission d’appel refusé</w:t>
      </w:r>
      <w:r>
        <w:t xml:space="preserve">e, [2001] S.C.C.A. No. 77; </w:t>
      </w:r>
      <w:r>
        <w:rPr>
          <w:i/>
          <w:iCs/>
        </w:rPr>
        <w:t>Desnoyers</w:t>
      </w:r>
      <w:r>
        <w:t xml:space="preserve">, 2012 QCCA 2105 au para. 36; </w:t>
      </w:r>
      <w:r>
        <w:rPr>
          <w:i/>
          <w:iCs/>
        </w:rPr>
        <w:t xml:space="preserve">R. </w:t>
      </w:r>
      <w:r>
        <w:t xml:space="preserve">c. </w:t>
      </w:r>
      <w:r>
        <w:rPr>
          <w:i/>
          <w:iCs/>
        </w:rPr>
        <w:t>Marin</w:t>
      </w:r>
      <w:r>
        <w:t xml:space="preserve">, 2018 QCCA 1159 au para. 17; </w:t>
      </w:r>
      <w:r>
        <w:rPr>
          <w:i/>
          <w:iCs/>
        </w:rPr>
        <w:t xml:space="preserve">R. </w:t>
      </w:r>
      <w:r>
        <w:t xml:space="preserve">c. </w:t>
      </w:r>
      <w:r>
        <w:rPr>
          <w:i/>
          <w:iCs/>
        </w:rPr>
        <w:t>O’Keefe</w:t>
      </w:r>
      <w:r>
        <w:t>, 2016 QCCA 1541.</w:t>
      </w:r>
    </w:p>
  </w:footnote>
  <w:footnote w:id="84">
    <w:p w14:paraId="36FDE466" w14:textId="77777777" w:rsidR="006C032B" w:rsidRPr="00AA7D4C" w:rsidRDefault="006C032B" w:rsidP="006C032B">
      <w:pPr>
        <w:pStyle w:val="Notedebasdepage"/>
      </w:pPr>
      <w:r>
        <w:rPr>
          <w:rStyle w:val="Appelnotedebasdep"/>
        </w:rPr>
        <w:footnoteRef/>
      </w:r>
      <w:r w:rsidRPr="00AA7D4C">
        <w:t xml:space="preserve"> </w:t>
      </w:r>
      <w:r w:rsidRPr="00AA7D4C">
        <w:tab/>
        <w:t xml:space="preserve">Art. 725(2)(b) </w:t>
      </w:r>
      <w:r w:rsidRPr="00AA7D4C">
        <w:rPr>
          <w:i/>
          <w:iCs/>
        </w:rPr>
        <w:t>C.cr.</w:t>
      </w:r>
    </w:p>
  </w:footnote>
  <w:footnote w:id="85">
    <w:p w14:paraId="05E16D77" w14:textId="6D1399D7" w:rsidR="00FA7D41" w:rsidRDefault="00FA7D41" w:rsidP="00FA7D41">
      <w:pPr>
        <w:pStyle w:val="Notedebasdepage"/>
      </w:pPr>
      <w:r>
        <w:rPr>
          <w:rStyle w:val="Appelnotedebasdep"/>
        </w:rPr>
        <w:footnoteRef/>
      </w:r>
      <w:r>
        <w:t xml:space="preserve"> </w:t>
      </w:r>
      <w:r>
        <w:tab/>
      </w:r>
      <w:r>
        <w:rPr>
          <w:rFonts w:cs="Arial"/>
          <w:color w:val="000000"/>
        </w:rPr>
        <w:t>H. Parent &amp; J. Desrosiers, </w:t>
      </w:r>
      <w:r>
        <w:rPr>
          <w:rFonts w:cs="Arial"/>
          <w:i/>
          <w:iCs/>
          <w:color w:val="000000"/>
        </w:rPr>
        <w:t>Traité de droit criminel, Tome III : La peine</w:t>
      </w:r>
      <w:r>
        <w:rPr>
          <w:rFonts w:cs="Arial"/>
          <w:color w:val="000000"/>
        </w:rPr>
        <w:t xml:space="preserve">, </w:t>
      </w:r>
      <w:r w:rsidR="000842A5">
        <w:rPr>
          <w:rFonts w:cs="Arial"/>
          <w:color w:val="000000"/>
        </w:rPr>
        <w:t>3</w:t>
      </w:r>
      <w:r w:rsidRPr="00BF2696">
        <w:rPr>
          <w:rFonts w:cs="Arial"/>
          <w:color w:val="000000"/>
          <w:vertAlign w:val="superscript"/>
        </w:rPr>
        <w:t>e</w:t>
      </w:r>
      <w:r>
        <w:rPr>
          <w:rFonts w:cs="Arial"/>
          <w:color w:val="000000"/>
        </w:rPr>
        <w:t> éd., Éditions Thémis, Montréal (Qc), 20</w:t>
      </w:r>
      <w:r w:rsidR="000842A5">
        <w:rPr>
          <w:rFonts w:cs="Arial"/>
          <w:color w:val="000000"/>
        </w:rPr>
        <w:t>20</w:t>
      </w:r>
      <w:r>
        <w:rPr>
          <w:rFonts w:cs="Arial"/>
          <w:color w:val="000000"/>
        </w:rPr>
        <w:t>, à la p. 1</w:t>
      </w:r>
      <w:r w:rsidR="000842A5">
        <w:rPr>
          <w:rFonts w:cs="Arial"/>
          <w:color w:val="000000"/>
        </w:rPr>
        <w:t>81</w:t>
      </w:r>
      <w:r>
        <w:rPr>
          <w:rFonts w:cs="Arial"/>
          <w:color w:val="000000"/>
        </w:rPr>
        <w:t>.</w:t>
      </w:r>
    </w:p>
  </w:footnote>
  <w:footnote w:id="86">
    <w:p w14:paraId="343119B1" w14:textId="77777777" w:rsidR="00FA7D41" w:rsidRPr="00736DD8" w:rsidRDefault="00FA7D41" w:rsidP="00FA7D41">
      <w:pPr>
        <w:pStyle w:val="Notedebasdepage"/>
      </w:pPr>
      <w:r>
        <w:rPr>
          <w:rStyle w:val="Appelnotedebasdep"/>
        </w:rPr>
        <w:footnoteRef/>
      </w:r>
      <w:r>
        <w:t xml:space="preserve"> </w:t>
      </w:r>
      <w:r>
        <w:tab/>
        <w:t xml:space="preserve">Voir : </w:t>
      </w:r>
      <w:r>
        <w:rPr>
          <w:i/>
        </w:rPr>
        <w:t xml:space="preserve">R. </w:t>
      </w:r>
      <w:r>
        <w:t xml:space="preserve">v. </w:t>
      </w:r>
      <w:r>
        <w:rPr>
          <w:i/>
        </w:rPr>
        <w:t>Rodgers</w:t>
      </w:r>
      <w:r>
        <w:t xml:space="preserve">, 2021 ONCJ 34 au para. 33; </w:t>
      </w:r>
      <w:r>
        <w:rPr>
          <w:i/>
        </w:rPr>
        <w:t xml:space="preserve">R. </w:t>
      </w:r>
      <w:r>
        <w:t xml:space="preserve">v. </w:t>
      </w:r>
      <w:r>
        <w:rPr>
          <w:i/>
        </w:rPr>
        <w:t>Argueta</w:t>
      </w:r>
      <w:r>
        <w:t xml:space="preserve"> (2011), 98 W.C.B. (2d) 647 (Ont.C.J.) au para. 37; </w:t>
      </w:r>
      <w:r>
        <w:rPr>
          <w:i/>
        </w:rPr>
        <w:t xml:space="preserve">R. </w:t>
      </w:r>
      <w:r>
        <w:t xml:space="preserve">c. </w:t>
      </w:r>
      <w:r>
        <w:rPr>
          <w:i/>
        </w:rPr>
        <w:t>Bossé</w:t>
      </w:r>
      <w:r>
        <w:t xml:space="preserve">, 2015 QCCQ 6652 au para. 49, conf. par 2016 QCCA 73; </w:t>
      </w:r>
      <w:r>
        <w:rPr>
          <w:i/>
        </w:rPr>
        <w:t xml:space="preserve">R. </w:t>
      </w:r>
      <w:r>
        <w:t xml:space="preserve">c. </w:t>
      </w:r>
      <w:r>
        <w:rPr>
          <w:i/>
        </w:rPr>
        <w:t>Vanasse-Carpentier</w:t>
      </w:r>
      <w:r>
        <w:t>, 2015 QCCS 928.</w:t>
      </w:r>
    </w:p>
  </w:footnote>
  <w:footnote w:id="87">
    <w:p w14:paraId="5AB35C43" w14:textId="77777777" w:rsidR="00FA7D41" w:rsidRPr="00DB160E" w:rsidRDefault="00FA7D41" w:rsidP="00FA7D41">
      <w:pPr>
        <w:pStyle w:val="Notedebasdepage"/>
      </w:pPr>
      <w:r>
        <w:rPr>
          <w:rStyle w:val="Appelnotedebasdep"/>
        </w:rPr>
        <w:footnoteRef/>
      </w:r>
      <w:r>
        <w:t xml:space="preserve"> </w:t>
      </w:r>
      <w:r>
        <w:tab/>
        <w:t xml:space="preserve">Voir : </w:t>
      </w:r>
      <w:r>
        <w:rPr>
          <w:i/>
        </w:rPr>
        <w:t xml:space="preserve">R. </w:t>
      </w:r>
      <w:r>
        <w:t xml:space="preserve">v. </w:t>
      </w:r>
      <w:r>
        <w:rPr>
          <w:i/>
        </w:rPr>
        <w:t>Grant</w:t>
      </w:r>
      <w:r>
        <w:t xml:space="preserve">, 2020 ONSC 3062 au para. 12; </w:t>
      </w:r>
      <w:r>
        <w:rPr>
          <w:i/>
        </w:rPr>
        <w:t xml:space="preserve">R. </w:t>
      </w:r>
      <w:r>
        <w:t xml:space="preserve">v. </w:t>
      </w:r>
      <w:r>
        <w:rPr>
          <w:i/>
        </w:rPr>
        <w:t>Omar</w:t>
      </w:r>
      <w:r>
        <w:t xml:space="preserve">, 2017 ONSC 1833 aux paras. 28, 59, conf. sans référence à ce sujet, 2018 ONCA 599, permission d’appel refusée, [2018] S.C.C.A. No. 398; </w:t>
      </w:r>
      <w:r>
        <w:rPr>
          <w:i/>
        </w:rPr>
        <w:t xml:space="preserve">R. </w:t>
      </w:r>
      <w:r>
        <w:t xml:space="preserve">c. </w:t>
      </w:r>
      <w:r>
        <w:rPr>
          <w:i/>
        </w:rPr>
        <w:t>Mianscum</w:t>
      </w:r>
      <w:r>
        <w:t xml:space="preserve">, 2019 QCCQ 3829 au para. 40; </w:t>
      </w:r>
      <w:r>
        <w:rPr>
          <w:i/>
        </w:rPr>
        <w:t xml:space="preserve">R. </w:t>
      </w:r>
      <w:r>
        <w:t xml:space="preserve">c. </w:t>
      </w:r>
      <w:r>
        <w:rPr>
          <w:i/>
        </w:rPr>
        <w:t>Paul</w:t>
      </w:r>
      <w:r>
        <w:t>, 2017 QCCQ 82 au para. 15 [quoiqu’il avait 22 ans au moment de l’infraction].</w:t>
      </w:r>
    </w:p>
  </w:footnote>
  <w:footnote w:id="88">
    <w:p w14:paraId="2DE762B0" w14:textId="77777777" w:rsidR="00FA7D41" w:rsidRPr="009B3C4D" w:rsidRDefault="00FA7D41" w:rsidP="00FA7D41">
      <w:pPr>
        <w:pStyle w:val="Notedebasdepage"/>
      </w:pPr>
      <w:r>
        <w:rPr>
          <w:rStyle w:val="Appelnotedebasdep"/>
        </w:rPr>
        <w:footnoteRef/>
      </w:r>
      <w:r>
        <w:t xml:space="preserve"> </w:t>
      </w:r>
      <w:r>
        <w:tab/>
        <w:t xml:space="preserve">L’hon. G. Renaud, </w:t>
      </w:r>
      <w:r>
        <w:rPr>
          <w:i/>
        </w:rPr>
        <w:t>Principes de la détermination de la peine</w:t>
      </w:r>
      <w:r>
        <w:t>, Éditions Yvon Blais, Cowansville (Qc), 2004 à la p. 65.</w:t>
      </w:r>
    </w:p>
  </w:footnote>
  <w:footnote w:id="89">
    <w:p w14:paraId="20C1C671" w14:textId="77777777" w:rsidR="00FA7D41" w:rsidRPr="00871876" w:rsidRDefault="00FA7D41" w:rsidP="00FA7D41">
      <w:pPr>
        <w:pStyle w:val="Notedebasdepage"/>
      </w:pPr>
      <w:r>
        <w:rPr>
          <w:rStyle w:val="Appelnotedebasdep"/>
        </w:rPr>
        <w:footnoteRef/>
      </w:r>
      <w:r>
        <w:t xml:space="preserve"> </w:t>
      </w:r>
      <w:r>
        <w:tab/>
        <w:t xml:space="preserve">L’hon. </w:t>
      </w:r>
      <w:r w:rsidRPr="00871876">
        <w:t xml:space="preserve">G. Renaud, </w:t>
      </w:r>
      <w:r w:rsidRPr="00871876">
        <w:rPr>
          <w:i/>
        </w:rPr>
        <w:t>The Sentencing Code of Canada: Principles and Objectives</w:t>
      </w:r>
      <w:r w:rsidRPr="00871876">
        <w:t>, Lexis Nexis Canada, Markham (Ont.), 2009 aux pp. 149-150.</w:t>
      </w:r>
    </w:p>
  </w:footnote>
  <w:footnote w:id="90">
    <w:p w14:paraId="44E6A1FC" w14:textId="77777777" w:rsidR="00FA7D41" w:rsidRPr="003A202A" w:rsidRDefault="00FA7D41" w:rsidP="00FA7D41">
      <w:pPr>
        <w:pStyle w:val="Notedebasdepage"/>
      </w:pPr>
      <w:r>
        <w:rPr>
          <w:rStyle w:val="Appelnotedebasdep"/>
        </w:rPr>
        <w:footnoteRef/>
      </w:r>
      <w:r>
        <w:t xml:space="preserve"> </w:t>
      </w:r>
      <w:r>
        <w:tab/>
      </w:r>
      <w:r>
        <w:rPr>
          <w:i/>
        </w:rPr>
        <w:t xml:space="preserve">R. </w:t>
      </w:r>
      <w:r>
        <w:t xml:space="preserve">v. </w:t>
      </w:r>
      <w:r>
        <w:rPr>
          <w:i/>
        </w:rPr>
        <w:t>Bjornson</w:t>
      </w:r>
      <w:r>
        <w:t>, 2012 ABCA 230 au para. 11.</w:t>
      </w:r>
    </w:p>
  </w:footnote>
  <w:footnote w:id="91">
    <w:p w14:paraId="5EE11E95" w14:textId="77777777" w:rsidR="00FA7D41" w:rsidRPr="005E2AA3" w:rsidRDefault="00FA7D41" w:rsidP="00FA7D41">
      <w:pPr>
        <w:pStyle w:val="Notedebasdepage"/>
      </w:pPr>
      <w:r>
        <w:rPr>
          <w:rStyle w:val="Appelnotedebasdep"/>
        </w:rPr>
        <w:footnoteRef/>
      </w:r>
      <w:r>
        <w:t xml:space="preserve"> </w:t>
      </w:r>
      <w:r>
        <w:tab/>
      </w:r>
      <w:r>
        <w:rPr>
          <w:i/>
        </w:rPr>
        <w:t xml:space="preserve">R. </w:t>
      </w:r>
      <w:r>
        <w:t xml:space="preserve">v. </w:t>
      </w:r>
      <w:r>
        <w:rPr>
          <w:i/>
        </w:rPr>
        <w:t>Toor</w:t>
      </w:r>
      <w:r>
        <w:t>, 2006 BCCA 347 au para. 19.</w:t>
      </w:r>
    </w:p>
  </w:footnote>
  <w:footnote w:id="92">
    <w:p w14:paraId="7D5F1264" w14:textId="77777777" w:rsidR="00FA7D41" w:rsidRPr="008F5513" w:rsidRDefault="00FA7D41" w:rsidP="00FA7D41">
      <w:pPr>
        <w:pStyle w:val="Notedebasdepage"/>
      </w:pPr>
      <w:r>
        <w:rPr>
          <w:rStyle w:val="Appelnotedebasdep"/>
        </w:rPr>
        <w:footnoteRef/>
      </w:r>
      <w:r w:rsidRPr="008F5513">
        <w:t xml:space="preserve"> </w:t>
      </w:r>
      <w:r w:rsidRPr="008F5513">
        <w:tab/>
      </w:r>
      <w:r w:rsidRPr="008F5513">
        <w:rPr>
          <w:i/>
        </w:rPr>
        <w:t xml:space="preserve">R. </w:t>
      </w:r>
      <w:r w:rsidRPr="008F5513">
        <w:t xml:space="preserve">v. </w:t>
      </w:r>
      <w:r w:rsidRPr="008F5513">
        <w:rPr>
          <w:i/>
        </w:rPr>
        <w:t>Arbuthnot</w:t>
      </w:r>
      <w:r w:rsidRPr="008F5513">
        <w:t xml:space="preserve"> (2009), 248 C.C.C. (3d) 219 (C.A.Man.) au para. </w:t>
      </w:r>
      <w:r>
        <w:t>37.</w:t>
      </w:r>
    </w:p>
  </w:footnote>
  <w:footnote w:id="93">
    <w:p w14:paraId="518958A6" w14:textId="77777777" w:rsidR="006C032B" w:rsidRPr="00326404" w:rsidRDefault="006C032B" w:rsidP="006C032B">
      <w:pPr>
        <w:pStyle w:val="Notedebasdepage"/>
      </w:pPr>
      <w:r>
        <w:rPr>
          <w:rStyle w:val="Appelnotedebasdep"/>
        </w:rPr>
        <w:footnoteRef/>
      </w:r>
      <w:r>
        <w:t xml:space="preserve"> </w:t>
      </w:r>
      <w:r>
        <w:tab/>
      </w:r>
      <w:r>
        <w:rPr>
          <w:i/>
        </w:rPr>
        <w:t xml:space="preserve">R. </w:t>
      </w:r>
      <w:r>
        <w:t xml:space="preserve">c. </w:t>
      </w:r>
      <w:r>
        <w:rPr>
          <w:i/>
        </w:rPr>
        <w:t>Fournier</w:t>
      </w:r>
      <w:r>
        <w:t>, 2012 QCCA 1330 au para. 43.</w:t>
      </w:r>
    </w:p>
  </w:footnote>
  <w:footnote w:id="94">
    <w:p w14:paraId="1D1ABA77" w14:textId="77777777" w:rsidR="006C032B" w:rsidRPr="00C11D06" w:rsidRDefault="006C032B" w:rsidP="006C032B">
      <w:pPr>
        <w:pStyle w:val="Notedebasdepage"/>
      </w:pPr>
      <w:r>
        <w:rPr>
          <w:rStyle w:val="Appelnotedebasdep"/>
        </w:rPr>
        <w:footnoteRef/>
      </w:r>
      <w:r w:rsidRPr="00C11D06">
        <w:t xml:space="preserve"> </w:t>
      </w:r>
      <w:r w:rsidRPr="00C11D06">
        <w:tab/>
      </w:r>
      <w:r w:rsidRPr="00C11D06">
        <w:rPr>
          <w:i/>
        </w:rPr>
        <w:t xml:space="preserve">R. </w:t>
      </w:r>
      <w:r w:rsidRPr="00C11D06">
        <w:t xml:space="preserve">v. </w:t>
      </w:r>
      <w:r w:rsidRPr="00C11D06">
        <w:rPr>
          <w:i/>
        </w:rPr>
        <w:t>Sonier</w:t>
      </w:r>
      <w:r w:rsidRPr="00C11D06">
        <w:t xml:space="preserve"> (1985), 25 C.C.C. (3d) 180 (</w:t>
      </w:r>
      <w:r>
        <w:t>C.A.N.É.</w:t>
      </w:r>
      <w:r w:rsidRPr="00C11D06">
        <w:t>) a</w:t>
      </w:r>
      <w:r>
        <w:t>u</w:t>
      </w:r>
      <w:r w:rsidRPr="00C11D06">
        <w:t xml:space="preserve"> para. 13; </w:t>
      </w:r>
      <w:r w:rsidRPr="00C11D06">
        <w:rPr>
          <w:i/>
        </w:rPr>
        <w:t xml:space="preserve">R. </w:t>
      </w:r>
      <w:r w:rsidRPr="00C11D06">
        <w:t xml:space="preserve">v. </w:t>
      </w:r>
      <w:r w:rsidRPr="00C11D06">
        <w:rPr>
          <w:i/>
        </w:rPr>
        <w:t>Reeves</w:t>
      </w:r>
      <w:r w:rsidRPr="00C11D06">
        <w:t xml:space="preserve"> (1981), 6 W.C.B. 480 (C.A.C.B.) aux paras. 3-4; </w:t>
      </w:r>
      <w:r w:rsidRPr="00C11D06">
        <w:rPr>
          <w:i/>
        </w:rPr>
        <w:t xml:space="preserve">R. </w:t>
      </w:r>
      <w:r w:rsidRPr="00C11D06">
        <w:t xml:space="preserve">v. </w:t>
      </w:r>
      <w:r w:rsidRPr="00C11D06">
        <w:rPr>
          <w:i/>
        </w:rPr>
        <w:t>Reynolds</w:t>
      </w:r>
      <w:r w:rsidRPr="00C11D06">
        <w:t xml:space="preserve"> (1982), 51 N.S.R. (2d) 149 (C.</w:t>
      </w:r>
      <w:r>
        <w:t>A.N.É.</w:t>
      </w:r>
      <w:r w:rsidRPr="00C11D06">
        <w:t>)</w:t>
      </w:r>
      <w:r>
        <w:t>.</w:t>
      </w:r>
    </w:p>
  </w:footnote>
  <w:footnote w:id="95">
    <w:p w14:paraId="257018C3" w14:textId="017190B1" w:rsidR="006C032B" w:rsidRPr="00C11D06" w:rsidRDefault="006C032B" w:rsidP="006C032B">
      <w:pPr>
        <w:pStyle w:val="Notedebasdepage"/>
      </w:pPr>
      <w:r>
        <w:rPr>
          <w:rStyle w:val="Appelnotedebasdep"/>
        </w:rPr>
        <w:footnoteRef/>
      </w:r>
      <w:r w:rsidRPr="006A3B95">
        <w:t xml:space="preserve"> </w:t>
      </w:r>
      <w:r w:rsidRPr="006A3B95">
        <w:tab/>
      </w:r>
      <w:r w:rsidRPr="006A3B95">
        <w:rPr>
          <w:i/>
        </w:rPr>
        <w:t xml:space="preserve">R. </w:t>
      </w:r>
      <w:r w:rsidRPr="006A3B95">
        <w:t xml:space="preserve">v. </w:t>
      </w:r>
      <w:r w:rsidRPr="006A3B95">
        <w:rPr>
          <w:i/>
        </w:rPr>
        <w:t>Scott</w:t>
      </w:r>
      <w:r w:rsidRPr="006A3B95">
        <w:t>, 2015 ABCA 99 au para. 13. Voir aussi :</w:t>
      </w:r>
      <w:r w:rsidR="00E253A6">
        <w:t xml:space="preserve"> </w:t>
      </w:r>
      <w:r w:rsidR="00E253A6">
        <w:rPr>
          <w:i/>
          <w:iCs/>
        </w:rPr>
        <w:t xml:space="preserve">R. </w:t>
      </w:r>
      <w:r w:rsidR="00E253A6">
        <w:t xml:space="preserve">v. </w:t>
      </w:r>
      <w:r w:rsidR="00E253A6">
        <w:rPr>
          <w:i/>
          <w:iCs/>
        </w:rPr>
        <w:t>Kollie</w:t>
      </w:r>
      <w:r w:rsidR="00E253A6">
        <w:t>, 2021 ABCA 389 aux paras. 17-18;</w:t>
      </w:r>
      <w:r w:rsidRPr="006A3B95">
        <w:t xml:space="preserve"> </w:t>
      </w:r>
      <w:r w:rsidRPr="006A3B95">
        <w:rPr>
          <w:i/>
        </w:rPr>
        <w:t>R.</w:t>
      </w:r>
      <w:r w:rsidRPr="006A3B95">
        <w:t xml:space="preserve"> v. </w:t>
      </w:r>
      <w:r w:rsidRPr="006A3B95">
        <w:rPr>
          <w:i/>
        </w:rPr>
        <w:t>Gandour</w:t>
      </w:r>
      <w:r w:rsidRPr="006A3B95">
        <w:t xml:space="preserve">, 2018 ABCA 238 au para. </w:t>
      </w:r>
      <w:r w:rsidRPr="00C11D06">
        <w:t>42.</w:t>
      </w:r>
    </w:p>
  </w:footnote>
  <w:footnote w:id="96">
    <w:p w14:paraId="5872A6C9" w14:textId="4B27F7F5" w:rsidR="006C032B" w:rsidRPr="00A80689" w:rsidRDefault="006C032B" w:rsidP="006C032B">
      <w:pPr>
        <w:pStyle w:val="Notedebasdepage"/>
      </w:pPr>
      <w:r>
        <w:rPr>
          <w:rStyle w:val="Appelnotedebasdep"/>
        </w:rPr>
        <w:footnoteRef/>
      </w:r>
      <w:r>
        <w:t xml:space="preserve"> </w:t>
      </w:r>
      <w:r>
        <w:tab/>
      </w:r>
      <w:r>
        <w:rPr>
          <w:i/>
        </w:rPr>
        <w:t xml:space="preserve">R. </w:t>
      </w:r>
      <w:r>
        <w:t xml:space="preserve">c. </w:t>
      </w:r>
      <w:r>
        <w:rPr>
          <w:i/>
        </w:rPr>
        <w:t>Fournier</w:t>
      </w:r>
      <w:r>
        <w:t xml:space="preserve">, 2012 QCCA 1330 aux paras. 38-46; </w:t>
      </w:r>
      <w:r>
        <w:rPr>
          <w:i/>
        </w:rPr>
        <w:t xml:space="preserve">R. </w:t>
      </w:r>
      <w:r>
        <w:t xml:space="preserve">c. </w:t>
      </w:r>
      <w:r>
        <w:rPr>
          <w:i/>
        </w:rPr>
        <w:t>Camiré</w:t>
      </w:r>
      <w:r>
        <w:t xml:space="preserve">, 2010 QCCA 615 au para. 68 (citant </w:t>
      </w:r>
      <w:r>
        <w:rPr>
          <w:i/>
        </w:rPr>
        <w:t xml:space="preserve">R. </w:t>
      </w:r>
      <w:r>
        <w:t xml:space="preserve">c. </w:t>
      </w:r>
      <w:r>
        <w:rPr>
          <w:i/>
        </w:rPr>
        <w:t>Glaude</w:t>
      </w:r>
      <w:r>
        <w:t xml:space="preserve">, [2001] J.Q. no. 5626 (C.A.Qué.) au para. 9); </w:t>
      </w:r>
      <w:r>
        <w:rPr>
          <w:i/>
        </w:rPr>
        <w:t xml:space="preserve">R. </w:t>
      </w:r>
      <w:r>
        <w:t xml:space="preserve">v. </w:t>
      </w:r>
      <w:r>
        <w:rPr>
          <w:i/>
        </w:rPr>
        <w:t>Scott</w:t>
      </w:r>
      <w:r>
        <w:t>, 2015 ABCA 99 au para. 13.</w:t>
      </w:r>
    </w:p>
  </w:footnote>
  <w:footnote w:id="97">
    <w:p w14:paraId="247EEE92" w14:textId="47AC90A0" w:rsidR="00F44585" w:rsidRDefault="00F44585">
      <w:pPr>
        <w:pStyle w:val="Notedebasdepage"/>
      </w:pPr>
      <w:r>
        <w:rPr>
          <w:rStyle w:val="Appelnotedebasdep"/>
        </w:rPr>
        <w:footnoteRef/>
      </w:r>
      <w:r>
        <w:t xml:space="preserve"> </w:t>
      </w:r>
      <w:r>
        <w:tab/>
      </w:r>
      <w:r w:rsidRPr="00B82584">
        <w:rPr>
          <w:i/>
          <w:iCs/>
        </w:rPr>
        <w:t xml:space="preserve">R. </w:t>
      </w:r>
      <w:r w:rsidRPr="00B82584">
        <w:t xml:space="preserve">c. </w:t>
      </w:r>
      <w:r w:rsidRPr="00B82584">
        <w:rPr>
          <w:i/>
          <w:iCs/>
        </w:rPr>
        <w:t>Anthony-Cook</w:t>
      </w:r>
      <w:r w:rsidRPr="00B82584">
        <w:t xml:space="preserve">, [2016] 2 R.C.S. 204; </w:t>
      </w:r>
      <w:r w:rsidRPr="00B82584">
        <w:rPr>
          <w:i/>
          <w:iCs/>
        </w:rPr>
        <w:t xml:space="preserve">R. </w:t>
      </w:r>
      <w:r w:rsidRPr="00B82584">
        <w:t xml:space="preserve">c. </w:t>
      </w:r>
      <w:r w:rsidRPr="00B82584">
        <w:rPr>
          <w:i/>
          <w:iCs/>
        </w:rPr>
        <w:t>Reyes</w:t>
      </w:r>
      <w:r w:rsidRPr="00B82584">
        <w:t xml:space="preserve">, 2022 QCCA 1689; </w:t>
      </w:r>
      <w:r w:rsidRPr="00B82584">
        <w:rPr>
          <w:i/>
          <w:iCs/>
        </w:rPr>
        <w:t xml:space="preserve">R. </w:t>
      </w:r>
      <w:r w:rsidRPr="00B82584">
        <w:t xml:space="preserve">v. </w:t>
      </w:r>
      <w:r w:rsidRPr="00B82584">
        <w:rPr>
          <w:i/>
          <w:iCs/>
        </w:rPr>
        <w:t>Obodzinski</w:t>
      </w:r>
      <w:r w:rsidRPr="00B82584">
        <w:t xml:space="preserve">, 2021 QCCA 1395; </w:t>
      </w:r>
      <w:r w:rsidRPr="00B82584">
        <w:rPr>
          <w:i/>
          <w:iCs/>
        </w:rPr>
        <w:t xml:space="preserve">R. </w:t>
      </w:r>
      <w:r w:rsidRPr="00B82584">
        <w:t xml:space="preserve">c. </w:t>
      </w:r>
      <w:r w:rsidRPr="00B82584">
        <w:rPr>
          <w:i/>
          <w:iCs/>
        </w:rPr>
        <w:t>Galli</w:t>
      </w:r>
      <w:r>
        <w:rPr>
          <w:i/>
          <w:iCs/>
        </w:rPr>
        <w:t>en</w:t>
      </w:r>
      <w:r>
        <w:t>, 2021 QCCA 1026.</w:t>
      </w:r>
    </w:p>
  </w:footnote>
  <w:footnote w:id="98">
    <w:p w14:paraId="7F3070E7" w14:textId="2ED6EEE8" w:rsidR="00F74767" w:rsidRPr="00F74767" w:rsidRDefault="00F74767">
      <w:pPr>
        <w:pStyle w:val="Notedebasdepage"/>
      </w:pPr>
      <w:r>
        <w:rPr>
          <w:rStyle w:val="Appelnotedebasdep"/>
        </w:rPr>
        <w:footnoteRef/>
      </w:r>
      <w:r>
        <w:t xml:space="preserve"> </w:t>
      </w:r>
      <w:r>
        <w:tab/>
      </w:r>
      <w:r>
        <w:rPr>
          <w:i/>
          <w:iCs/>
        </w:rPr>
        <w:t xml:space="preserve">R. </w:t>
      </w:r>
      <w:r>
        <w:t xml:space="preserve">c. </w:t>
      </w:r>
      <w:r>
        <w:rPr>
          <w:i/>
          <w:iCs/>
        </w:rPr>
        <w:t>Poirier</w:t>
      </w:r>
      <w:r>
        <w:t>, 2018 QCCA 1803 au para. 44.</w:t>
      </w:r>
    </w:p>
  </w:footnote>
  <w:footnote w:id="99">
    <w:p w14:paraId="0CA38996" w14:textId="5F424D12" w:rsidR="00F44585" w:rsidRPr="00F44585" w:rsidRDefault="00F44585">
      <w:pPr>
        <w:pStyle w:val="Notedebasdepage"/>
      </w:pPr>
      <w:r>
        <w:rPr>
          <w:rStyle w:val="Appelnotedebasdep"/>
        </w:rPr>
        <w:footnoteRef/>
      </w:r>
      <w:r w:rsidRPr="00F44585">
        <w:t xml:space="preserve"> </w:t>
      </w:r>
      <w:r w:rsidRPr="00F44585">
        <w:tab/>
      </w:r>
      <w:r w:rsidRPr="00F44585">
        <w:rPr>
          <w:i/>
          <w:iCs/>
        </w:rPr>
        <w:t xml:space="preserve">R. </w:t>
      </w:r>
      <w:r w:rsidRPr="00F44585">
        <w:t>c.</w:t>
      </w:r>
      <w:r w:rsidRPr="00F44585">
        <w:rPr>
          <w:i/>
          <w:iCs/>
        </w:rPr>
        <w:t xml:space="preserve"> Giroux</w:t>
      </w:r>
      <w:r w:rsidRPr="00F44585">
        <w:t>, 2022 QCCA 708 aux</w:t>
      </w:r>
      <w:r>
        <w:t xml:space="preserve"> paras. 14-16.</w:t>
      </w:r>
      <w:r w:rsidR="005E3CF1">
        <w:t xml:space="preserve"> Voir aussi : </w:t>
      </w:r>
      <w:r w:rsidR="005E3CF1">
        <w:rPr>
          <w:i/>
          <w:iCs/>
        </w:rPr>
        <w:t xml:space="preserve">R. </w:t>
      </w:r>
      <w:r w:rsidR="005E3CF1">
        <w:t xml:space="preserve">c. </w:t>
      </w:r>
      <w:r w:rsidR="005E3CF1">
        <w:rPr>
          <w:i/>
          <w:iCs/>
        </w:rPr>
        <w:t>Trudel</w:t>
      </w:r>
      <w:r w:rsidR="005E3CF1">
        <w:t>, 2019 QCCA 1011 aux paras. 3-4.</w:t>
      </w:r>
    </w:p>
  </w:footnote>
  <w:footnote w:id="100">
    <w:p w14:paraId="6AF87C5B" w14:textId="534297D0" w:rsidR="00EC1445" w:rsidRPr="00EC1445" w:rsidRDefault="00EC1445">
      <w:pPr>
        <w:pStyle w:val="Notedebasdepage"/>
      </w:pPr>
      <w:r>
        <w:rPr>
          <w:rStyle w:val="Appelnotedebasdep"/>
        </w:rPr>
        <w:footnoteRef/>
      </w:r>
      <w:r w:rsidRPr="00EC1445">
        <w:t xml:space="preserve"> </w:t>
      </w:r>
      <w:r w:rsidRPr="00EC1445">
        <w:tab/>
      </w:r>
      <w:r w:rsidRPr="00EC1445">
        <w:rPr>
          <w:i/>
          <w:iCs/>
        </w:rPr>
        <w:t xml:space="preserve">R. </w:t>
      </w:r>
      <w:r w:rsidRPr="00EC1445">
        <w:t xml:space="preserve">v. </w:t>
      </w:r>
      <w:r w:rsidRPr="00EC1445">
        <w:rPr>
          <w:i/>
          <w:iCs/>
        </w:rPr>
        <w:t>Mohamed</w:t>
      </w:r>
      <w:r w:rsidRPr="00EC1445">
        <w:t>, 2022 ABCA 153 au pa</w:t>
      </w:r>
      <w:r>
        <w:t xml:space="preserve">ra. </w:t>
      </w:r>
      <w:r w:rsidRPr="00EC1445">
        <w:t xml:space="preserve">10; </w:t>
      </w:r>
      <w:r w:rsidRPr="00EC1445">
        <w:rPr>
          <w:i/>
          <w:iCs/>
        </w:rPr>
        <w:t xml:space="preserve">R. </w:t>
      </w:r>
      <w:r w:rsidRPr="00EC1445">
        <w:t xml:space="preserve">v. </w:t>
      </w:r>
      <w:r w:rsidRPr="00EC1445">
        <w:rPr>
          <w:i/>
          <w:iCs/>
        </w:rPr>
        <w:t>Belakziz</w:t>
      </w:r>
      <w:r w:rsidRPr="00EC1445">
        <w:t>, 2018 ABCA 370 aux</w:t>
      </w:r>
      <w:r>
        <w:t xml:space="preserve"> paras. 17-18.</w:t>
      </w:r>
    </w:p>
  </w:footnote>
  <w:footnote w:id="101">
    <w:p w14:paraId="5273E3E3" w14:textId="792D5B2C" w:rsidR="000A221A" w:rsidRPr="000A221A" w:rsidRDefault="000A221A">
      <w:pPr>
        <w:pStyle w:val="Notedebasdepage"/>
      </w:pPr>
      <w:r>
        <w:rPr>
          <w:rStyle w:val="Appelnotedebasdep"/>
        </w:rPr>
        <w:footnoteRef/>
      </w:r>
      <w:r w:rsidRPr="000A221A">
        <w:t xml:space="preserve"> </w:t>
      </w:r>
      <w:r w:rsidRPr="000A221A">
        <w:tab/>
      </w:r>
      <w:r w:rsidRPr="000A221A">
        <w:rPr>
          <w:i/>
          <w:iCs/>
        </w:rPr>
        <w:t xml:space="preserve">R. </w:t>
      </w:r>
      <w:r w:rsidRPr="000A221A">
        <w:t xml:space="preserve">v. </w:t>
      </w:r>
      <w:r w:rsidRPr="000A221A">
        <w:rPr>
          <w:i/>
          <w:iCs/>
        </w:rPr>
        <w:t>MacLeod</w:t>
      </w:r>
      <w:r w:rsidRPr="000A221A">
        <w:t>, 2018 SKCA 1 aux</w:t>
      </w:r>
      <w:r>
        <w:t xml:space="preserve"> paras. 18-22.</w:t>
      </w:r>
    </w:p>
  </w:footnote>
  <w:footnote w:id="102">
    <w:p w14:paraId="2051827D" w14:textId="7C5BB1F8" w:rsidR="008E4F00" w:rsidRDefault="008E4F00">
      <w:pPr>
        <w:pStyle w:val="Notedebasdepage"/>
      </w:pPr>
      <w:r>
        <w:rPr>
          <w:rStyle w:val="Appelnotedebasdep"/>
        </w:rPr>
        <w:footnoteRef/>
      </w:r>
      <w:r>
        <w:t xml:space="preserve"> </w:t>
      </w:r>
      <w:r>
        <w:tab/>
      </w:r>
      <w:r>
        <w:rPr>
          <w:i/>
          <w:iCs/>
        </w:rPr>
        <w:t xml:space="preserve">R. </w:t>
      </w:r>
      <w:r>
        <w:t xml:space="preserve">v. </w:t>
      </w:r>
      <w:r>
        <w:rPr>
          <w:i/>
          <w:iCs/>
        </w:rPr>
        <w:t>McKay</w:t>
      </w:r>
      <w:r>
        <w:t>, 2019 SKCA 129 aux paras. 18-20.</w:t>
      </w:r>
    </w:p>
  </w:footnote>
  <w:footnote w:id="103">
    <w:p w14:paraId="34E66A26" w14:textId="75D4628F" w:rsidR="008E4F00" w:rsidRPr="008E4F00" w:rsidRDefault="008E4F00">
      <w:pPr>
        <w:pStyle w:val="Notedebasdepage"/>
      </w:pPr>
      <w:r>
        <w:rPr>
          <w:rStyle w:val="Appelnotedebasdep"/>
        </w:rPr>
        <w:footnoteRef/>
      </w:r>
      <w:r>
        <w:t xml:space="preserve"> </w:t>
      </w:r>
      <w:r>
        <w:tab/>
      </w:r>
      <w:r>
        <w:rPr>
          <w:i/>
          <w:iCs/>
        </w:rPr>
        <w:t xml:space="preserve">R. </w:t>
      </w:r>
      <w:r>
        <w:t xml:space="preserve">v. </w:t>
      </w:r>
      <w:r>
        <w:rPr>
          <w:i/>
          <w:iCs/>
        </w:rPr>
        <w:t>Buffone</w:t>
      </w:r>
      <w:r>
        <w:t xml:space="preserve"> (2021), 408 C.C.C. (3d) 553 (C.A.Ont.) aux paras. 27-31.</w:t>
      </w:r>
    </w:p>
  </w:footnote>
  <w:footnote w:id="104">
    <w:p w14:paraId="0F0C2C4A" w14:textId="580FC7E6" w:rsidR="00EC1445" w:rsidRPr="00EC1445" w:rsidRDefault="00EC1445">
      <w:pPr>
        <w:pStyle w:val="Notedebasdepage"/>
      </w:pPr>
      <w:r>
        <w:rPr>
          <w:rStyle w:val="Appelnotedebasdep"/>
        </w:rPr>
        <w:footnoteRef/>
      </w:r>
      <w:r>
        <w:t xml:space="preserve"> </w:t>
      </w:r>
      <w:r>
        <w:tab/>
      </w:r>
      <w:r>
        <w:rPr>
          <w:i/>
          <w:iCs/>
        </w:rPr>
        <w:t xml:space="preserve">R. </w:t>
      </w:r>
      <w:r>
        <w:t xml:space="preserve">v. </w:t>
      </w:r>
      <w:r>
        <w:rPr>
          <w:i/>
          <w:iCs/>
        </w:rPr>
        <w:t>Benlolo</w:t>
      </w:r>
      <w:r>
        <w:t xml:space="preserve"> (2006), 81</w:t>
      </w:r>
      <w:r w:rsidR="0099676A">
        <w:t xml:space="preserve"> O.R. (3d) 440 (C.A.Ont.) au para. 22.</w:t>
      </w:r>
    </w:p>
  </w:footnote>
  <w:footnote w:id="105">
    <w:p w14:paraId="0AD6E670" w14:textId="271C965F" w:rsidR="0099676A" w:rsidRPr="0099676A" w:rsidRDefault="0099676A">
      <w:pPr>
        <w:pStyle w:val="Notedebasdepage"/>
      </w:pPr>
      <w:r>
        <w:rPr>
          <w:rStyle w:val="Appelnotedebasdep"/>
        </w:rPr>
        <w:footnoteRef/>
      </w:r>
      <w:r w:rsidRPr="0099676A">
        <w:t xml:space="preserve"> </w:t>
      </w:r>
      <w:r w:rsidRPr="0099676A">
        <w:tab/>
      </w:r>
      <w:r w:rsidRPr="0099676A">
        <w:rPr>
          <w:i/>
          <w:iCs/>
        </w:rPr>
        <w:t xml:space="preserve">R. </w:t>
      </w:r>
      <w:r w:rsidRPr="0099676A">
        <w:t xml:space="preserve">v. </w:t>
      </w:r>
      <w:r w:rsidRPr="0099676A">
        <w:rPr>
          <w:i/>
          <w:iCs/>
        </w:rPr>
        <w:t>Johnston</w:t>
      </w:r>
      <w:r w:rsidRPr="0099676A">
        <w:t xml:space="preserve"> (2011), 274 C.C.C. (3d) 388 (C.A.T.N.) au</w:t>
      </w:r>
      <w:r>
        <w:t>x</w:t>
      </w:r>
      <w:r w:rsidRPr="0099676A">
        <w:t xml:space="preserve"> p</w:t>
      </w:r>
      <w:r>
        <w:t xml:space="preserve">aras. 58-59. Voir aussi : </w:t>
      </w:r>
      <w:r>
        <w:rPr>
          <w:i/>
          <w:iCs/>
        </w:rPr>
        <w:t xml:space="preserve">R. </w:t>
      </w:r>
      <w:r>
        <w:t xml:space="preserve">v. </w:t>
      </w:r>
      <w:r>
        <w:rPr>
          <w:i/>
          <w:iCs/>
        </w:rPr>
        <w:t>Terry</w:t>
      </w:r>
      <w:r>
        <w:t xml:space="preserve">, 2015 NLCA 23 au para. 3; </w:t>
      </w:r>
      <w:r>
        <w:rPr>
          <w:i/>
          <w:iCs/>
        </w:rPr>
        <w:t xml:space="preserve">R. </w:t>
      </w:r>
      <w:r>
        <w:t xml:space="preserve">v. </w:t>
      </w:r>
      <w:r>
        <w:rPr>
          <w:i/>
          <w:iCs/>
        </w:rPr>
        <w:t>Kane</w:t>
      </w:r>
      <w:r>
        <w:t>, 2012 NLCA 53 aux paras. 27-28.</w:t>
      </w:r>
    </w:p>
  </w:footnote>
  <w:footnote w:id="106">
    <w:p w14:paraId="342C574F" w14:textId="5EAE1B56" w:rsidR="00AD58F3" w:rsidRPr="002D5E86" w:rsidRDefault="00AD58F3">
      <w:pPr>
        <w:pStyle w:val="Notedebasdepage"/>
      </w:pPr>
      <w:r>
        <w:rPr>
          <w:rStyle w:val="Appelnotedebasdep"/>
        </w:rPr>
        <w:footnoteRef/>
      </w:r>
      <w:r w:rsidRPr="002D5E86">
        <w:t xml:space="preserve"> </w:t>
      </w:r>
      <w:r w:rsidRPr="002D5E86">
        <w:tab/>
        <w:t>Pièces S-11 et S-12.</w:t>
      </w:r>
    </w:p>
  </w:footnote>
  <w:footnote w:id="107">
    <w:p w14:paraId="1F413601" w14:textId="235D05A8" w:rsidR="002D6DFD" w:rsidRPr="00307769" w:rsidRDefault="002D6DFD">
      <w:pPr>
        <w:pStyle w:val="Notedebasdepage"/>
      </w:pPr>
      <w:r>
        <w:rPr>
          <w:rStyle w:val="Appelnotedebasdep"/>
        </w:rPr>
        <w:footnoteRef/>
      </w:r>
      <w:r w:rsidRPr="00307769">
        <w:t xml:space="preserve"> </w:t>
      </w:r>
      <w:r w:rsidRPr="00307769">
        <w:tab/>
      </w:r>
      <w:r w:rsidRPr="00307769">
        <w:rPr>
          <w:i/>
        </w:rPr>
        <w:t xml:space="preserve">R. </w:t>
      </w:r>
      <w:r w:rsidRPr="00307769">
        <w:t xml:space="preserve">v. </w:t>
      </w:r>
      <w:r w:rsidRPr="00307769">
        <w:rPr>
          <w:i/>
        </w:rPr>
        <w:t>Noel</w:t>
      </w:r>
      <w:r w:rsidRPr="00307769">
        <w:t xml:space="preserve"> (2006), 34 M.V.R. (5th) 216 (C.A.Ont.) au para. 3.</w:t>
      </w:r>
    </w:p>
  </w:footnote>
  <w:footnote w:id="108">
    <w:p w14:paraId="7C0747A2" w14:textId="75FC12A0" w:rsidR="00307769" w:rsidRPr="008B2889" w:rsidRDefault="00307769" w:rsidP="00307769">
      <w:pPr>
        <w:pStyle w:val="Notedebasdepage"/>
      </w:pPr>
      <w:r>
        <w:rPr>
          <w:rStyle w:val="Appelnotedebasdep"/>
        </w:rPr>
        <w:footnoteRef/>
      </w:r>
      <w:r w:rsidRPr="00307769">
        <w:t xml:space="preserve"> </w:t>
      </w:r>
      <w:r>
        <w:tab/>
      </w:r>
      <w:r w:rsidRPr="00307769">
        <w:rPr>
          <w:i/>
        </w:rPr>
        <w:t xml:space="preserve">R. </w:t>
      </w:r>
      <w:r w:rsidRPr="00307769">
        <w:t xml:space="preserve">c. </w:t>
      </w:r>
      <w:r w:rsidRPr="00307769">
        <w:rPr>
          <w:i/>
        </w:rPr>
        <w:t>C.K.</w:t>
      </w:r>
      <w:r w:rsidRPr="00307769">
        <w:t>, 2022 QCCA 539;</w:t>
      </w:r>
      <w:r>
        <w:t xml:space="preserve"> </w:t>
      </w:r>
      <w:r w:rsidRPr="00347977">
        <w:rPr>
          <w:i/>
        </w:rPr>
        <w:t xml:space="preserve">R. </w:t>
      </w:r>
      <w:r w:rsidRPr="00347977">
        <w:t xml:space="preserve">v. </w:t>
      </w:r>
      <w:r w:rsidRPr="00347977">
        <w:rPr>
          <w:i/>
        </w:rPr>
        <w:t>Parry</w:t>
      </w:r>
      <w:r w:rsidRPr="00347977">
        <w:t xml:space="preserve"> (2012), 289 O.A.C. 201 (C.A.Ont.) au para. </w:t>
      </w:r>
      <w:r w:rsidRPr="008B2889">
        <w:t xml:space="preserve">18; </w:t>
      </w:r>
      <w:r w:rsidRPr="008B2889">
        <w:rPr>
          <w:i/>
        </w:rPr>
        <w:t xml:space="preserve">R. </w:t>
      </w:r>
      <w:r w:rsidRPr="008B2889">
        <w:t xml:space="preserve">v. </w:t>
      </w:r>
      <w:r w:rsidRPr="008B2889">
        <w:rPr>
          <w:i/>
        </w:rPr>
        <w:t>Marshall</w:t>
      </w:r>
      <w:r w:rsidRPr="008B2889">
        <w:t xml:space="preserve">, 2021 ONCA 28 au para. 9; </w:t>
      </w:r>
      <w:r w:rsidRPr="008B2889">
        <w:rPr>
          <w:i/>
        </w:rPr>
        <w:t>R.</w:t>
      </w:r>
      <w:r>
        <w:rPr>
          <w:i/>
        </w:rPr>
        <w:t xml:space="preserve"> </w:t>
      </w:r>
      <w:r>
        <w:t xml:space="preserve">v. </w:t>
      </w:r>
      <w:r>
        <w:rPr>
          <w:i/>
        </w:rPr>
        <w:t>Osman</w:t>
      </w:r>
      <w:r>
        <w:t>, 2016 ONCA 64 aux paras.</w:t>
      </w:r>
      <w:r w:rsidRPr="008B2889">
        <w:t xml:space="preserve"> 4-5; </w:t>
      </w:r>
      <w:r w:rsidRPr="008B2889">
        <w:rPr>
          <w:i/>
        </w:rPr>
        <w:t xml:space="preserve">R. </w:t>
      </w:r>
      <w:r w:rsidRPr="008B2889">
        <w:t xml:space="preserve">v. </w:t>
      </w:r>
      <w:r w:rsidRPr="008B2889">
        <w:rPr>
          <w:i/>
        </w:rPr>
        <w:t>Bond</w:t>
      </w:r>
      <w:r w:rsidRPr="008B2889">
        <w:t>, [2005] O.J. No. 108 (C.A.Ont.).</w:t>
      </w:r>
    </w:p>
  </w:footnote>
  <w:footnote w:id="109">
    <w:p w14:paraId="3E540FE2" w14:textId="50F55F22" w:rsidR="00307769" w:rsidRPr="000F6F8D" w:rsidRDefault="00307769" w:rsidP="00307769">
      <w:pPr>
        <w:pStyle w:val="Notedebasdepage"/>
      </w:pPr>
      <w:r>
        <w:rPr>
          <w:rStyle w:val="Appelnotedebasdep"/>
        </w:rPr>
        <w:footnoteRef/>
      </w:r>
      <w:r w:rsidRPr="000D2CBC">
        <w:t xml:space="preserve"> </w:t>
      </w:r>
      <w:r w:rsidRPr="000D2CBC">
        <w:tab/>
      </w:r>
      <w:r w:rsidRPr="00307769">
        <w:rPr>
          <w:i/>
        </w:rPr>
        <w:t xml:space="preserve">R. </w:t>
      </w:r>
      <w:r w:rsidRPr="00307769">
        <w:t xml:space="preserve">v. </w:t>
      </w:r>
      <w:r w:rsidRPr="00307769">
        <w:rPr>
          <w:i/>
        </w:rPr>
        <w:t>Roberts</w:t>
      </w:r>
      <w:r w:rsidRPr="00307769">
        <w:t>, 2019 NLCA 43 a</w:t>
      </w:r>
      <w:r>
        <w:t>ux</w:t>
      </w:r>
      <w:r w:rsidRPr="00307769">
        <w:t xml:space="preserve"> paras. 60-61, 6</w:t>
      </w:r>
      <w:r w:rsidR="00D64292">
        <w:t>4</w:t>
      </w:r>
      <w:r w:rsidRPr="00307769">
        <w:t>-67, 70;</w:t>
      </w:r>
      <w:r>
        <w:t xml:space="preserve"> </w:t>
      </w:r>
      <w:r w:rsidRPr="000D2CBC">
        <w:rPr>
          <w:i/>
        </w:rPr>
        <w:t xml:space="preserve">R. </w:t>
      </w:r>
      <w:r w:rsidRPr="000D2CBC">
        <w:t xml:space="preserve">v. </w:t>
      </w:r>
      <w:r w:rsidRPr="000D2CBC">
        <w:rPr>
          <w:i/>
        </w:rPr>
        <w:t>Park</w:t>
      </w:r>
      <w:r w:rsidRPr="000D2CBC">
        <w:t xml:space="preserve"> (2016), 33 C.R. (7th) 413 (C.A.Man.) a</w:t>
      </w:r>
      <w:r>
        <w:t>ux paras.</w:t>
      </w:r>
      <w:r w:rsidRPr="000D2CBC">
        <w:t xml:space="preserve"> </w:t>
      </w:r>
      <w:r>
        <w:t xml:space="preserve">9, 10, 14, 15; </w:t>
      </w:r>
      <w:r w:rsidRPr="000D2CBC">
        <w:rPr>
          <w:i/>
        </w:rPr>
        <w:t xml:space="preserve">R. </w:t>
      </w:r>
      <w:r w:rsidRPr="000D2CBC">
        <w:t xml:space="preserve">v. </w:t>
      </w:r>
      <w:r w:rsidRPr="000D2CBC">
        <w:rPr>
          <w:i/>
        </w:rPr>
        <w:t>Johnson</w:t>
      </w:r>
      <w:r w:rsidRPr="000D2CBC">
        <w:t xml:space="preserve"> (2012), 285 C.</w:t>
      </w:r>
      <w:r>
        <w:t>C</w:t>
      </w:r>
      <w:r w:rsidRPr="000D2CBC">
        <w:t>.C. (3d) 120 (C.</w:t>
      </w:r>
      <w:r>
        <w:t>A.Ont.)</w:t>
      </w:r>
      <w:r w:rsidRPr="000D2CBC">
        <w:t xml:space="preserve"> </w:t>
      </w:r>
      <w:r>
        <w:t xml:space="preserve">aux paras. 2, 3, 19, 25; </w:t>
      </w:r>
      <w:r>
        <w:rPr>
          <w:i/>
        </w:rPr>
        <w:t xml:space="preserve">R. </w:t>
      </w:r>
      <w:r>
        <w:t xml:space="preserve">v. </w:t>
      </w:r>
      <w:r>
        <w:rPr>
          <w:i/>
        </w:rPr>
        <w:t>Clarke</w:t>
      </w:r>
      <w:r>
        <w:t xml:space="preserve">, 2021 NLCA 8 aux paras. 73-74; </w:t>
      </w:r>
      <w:r>
        <w:rPr>
          <w:i/>
        </w:rPr>
        <w:t xml:space="preserve">R. </w:t>
      </w:r>
      <w:r>
        <w:t xml:space="preserve">v. </w:t>
      </w:r>
      <w:r>
        <w:rPr>
          <w:i/>
        </w:rPr>
        <w:t>Tamoikin</w:t>
      </w:r>
      <w:r>
        <w:t xml:space="preserve">, 2020 NSCA 43 aux paras. 66, 68, 71, 89; </w:t>
      </w:r>
      <w:r>
        <w:rPr>
          <w:i/>
        </w:rPr>
        <w:t xml:space="preserve">R. </w:t>
      </w:r>
      <w:r>
        <w:t xml:space="preserve">v. </w:t>
      </w:r>
      <w:r>
        <w:rPr>
          <w:i/>
        </w:rPr>
        <w:t>Antczak</w:t>
      </w:r>
      <w:r>
        <w:t>, 2021 MBCA 39 au para. 11.</w:t>
      </w:r>
    </w:p>
  </w:footnote>
  <w:footnote w:id="110">
    <w:p w14:paraId="041E858D" w14:textId="46DE1250" w:rsidR="00307769" w:rsidRPr="00202078" w:rsidRDefault="00307769">
      <w:pPr>
        <w:pStyle w:val="Notedebasdepage"/>
      </w:pPr>
      <w:r>
        <w:rPr>
          <w:rStyle w:val="Appelnotedebasdep"/>
        </w:rPr>
        <w:footnoteRef/>
      </w:r>
      <w:r w:rsidRPr="00307769">
        <w:t xml:space="preserve"> </w:t>
      </w:r>
      <w:r w:rsidRPr="00307769">
        <w:tab/>
      </w:r>
      <w:r w:rsidRPr="00307769">
        <w:rPr>
          <w:i/>
        </w:rPr>
        <w:t xml:space="preserve">R. </w:t>
      </w:r>
      <w:r w:rsidRPr="00307769">
        <w:t xml:space="preserve">c. </w:t>
      </w:r>
      <w:r w:rsidRPr="00307769">
        <w:rPr>
          <w:i/>
        </w:rPr>
        <w:t>C.K.</w:t>
      </w:r>
      <w:r w:rsidRPr="00307769">
        <w:t xml:space="preserve">, 2022 QCCA 539 au para. </w:t>
      </w:r>
      <w:r w:rsidRPr="00AA3208">
        <w:t xml:space="preserve">33; </w:t>
      </w:r>
      <w:r w:rsidRPr="00AA3208">
        <w:rPr>
          <w:i/>
        </w:rPr>
        <w:t xml:space="preserve">R. </w:t>
      </w:r>
      <w:r w:rsidRPr="00AA3208">
        <w:t xml:space="preserve">v. </w:t>
      </w:r>
      <w:r w:rsidRPr="00AA3208">
        <w:rPr>
          <w:i/>
        </w:rPr>
        <w:t>Roberts</w:t>
      </w:r>
      <w:r w:rsidRPr="00AA3208">
        <w:t xml:space="preserve">, </w:t>
      </w:r>
      <w:r w:rsidRPr="00AA3208">
        <w:rPr>
          <w:i/>
        </w:rPr>
        <w:t>supra</w:t>
      </w:r>
      <w:r w:rsidRPr="00AA3208">
        <w:t>, a</w:t>
      </w:r>
      <w:r>
        <w:t>u</w:t>
      </w:r>
      <w:r w:rsidR="00D64292">
        <w:t>x</w:t>
      </w:r>
      <w:r w:rsidRPr="00AA3208">
        <w:t xml:space="preserve"> para</w:t>
      </w:r>
      <w:r w:rsidR="00D64292">
        <w:t>s</w:t>
      </w:r>
      <w:r w:rsidRPr="00AA3208">
        <w:t>. 65</w:t>
      </w:r>
      <w:r w:rsidR="00D64292">
        <w:t>-66</w:t>
      </w:r>
      <w:r>
        <w:t>;</w:t>
      </w:r>
      <w:r w:rsidR="00D64292">
        <w:t xml:space="preserve"> </w:t>
      </w:r>
      <w:r w:rsidR="00D64292">
        <w:rPr>
          <w:i/>
          <w:iCs/>
        </w:rPr>
        <w:t xml:space="preserve">R. </w:t>
      </w:r>
      <w:r w:rsidR="00D64292">
        <w:t xml:space="preserve">v. </w:t>
      </w:r>
      <w:r w:rsidR="00D64292">
        <w:rPr>
          <w:i/>
          <w:iCs/>
        </w:rPr>
        <w:t>Park</w:t>
      </w:r>
      <w:r w:rsidR="00D64292">
        <w:t xml:space="preserve">, </w:t>
      </w:r>
      <w:r w:rsidR="00D64292">
        <w:rPr>
          <w:i/>
          <w:iCs/>
        </w:rPr>
        <w:t>supra</w:t>
      </w:r>
      <w:r w:rsidR="00D64292">
        <w:t>, au para. 10;</w:t>
      </w:r>
      <w:r>
        <w:t xml:space="preserve"> </w:t>
      </w:r>
      <w:r>
        <w:rPr>
          <w:i/>
          <w:iCs/>
        </w:rPr>
        <w:t xml:space="preserve">R. </w:t>
      </w:r>
      <w:r>
        <w:t xml:space="preserve">v. </w:t>
      </w:r>
      <w:r>
        <w:rPr>
          <w:i/>
          <w:iCs/>
        </w:rPr>
        <w:t>Sidwell</w:t>
      </w:r>
      <w:r>
        <w:t>, 2015 MBCA 56 aux paras. 17, 18, 30-31.</w:t>
      </w:r>
      <w:r w:rsidR="00202078">
        <w:t xml:space="preserve"> </w:t>
      </w:r>
      <w:r w:rsidR="00202078" w:rsidRPr="00202078">
        <w:rPr>
          <w:rFonts w:cs="Arial"/>
          <w:color w:val="000000"/>
        </w:rPr>
        <w:t xml:space="preserve">Cela ne signifie pas pour autant que la peine antérieure ne constitue pas un élément pertinent pouvant être pris en compte dans le prononcé de la peine. </w:t>
      </w:r>
      <w:r w:rsidR="00202078">
        <w:rPr>
          <w:rFonts w:cs="Arial"/>
          <w:color w:val="000000"/>
        </w:rPr>
        <w:t>U</w:t>
      </w:r>
      <w:r w:rsidR="00202078" w:rsidRPr="00202078">
        <w:rPr>
          <w:rFonts w:cs="Arial"/>
          <w:color w:val="000000"/>
        </w:rPr>
        <w:t xml:space="preserve">ne peine antérieure </w:t>
      </w:r>
      <w:r w:rsidR="00202078">
        <w:rPr>
          <w:rFonts w:cs="Arial"/>
          <w:color w:val="000000"/>
        </w:rPr>
        <w:t>peut</w:t>
      </w:r>
      <w:r w:rsidR="00202078" w:rsidRPr="00202078">
        <w:rPr>
          <w:rFonts w:cs="Arial"/>
          <w:color w:val="000000"/>
        </w:rPr>
        <w:t xml:space="preserve"> être utile pour établir les efforts entrepris de réhabilitation. </w:t>
      </w:r>
      <w:r w:rsidR="00202078">
        <w:rPr>
          <w:rFonts w:cs="Arial"/>
          <w:color w:val="000000"/>
        </w:rPr>
        <w:t>De plus,</w:t>
      </w:r>
      <w:r w:rsidR="00202078" w:rsidRPr="00202078">
        <w:rPr>
          <w:rFonts w:cs="Arial"/>
          <w:color w:val="000000"/>
        </w:rPr>
        <w:t xml:space="preserve"> dans certaines circonstances exceptionnelles, la prise en compte </w:t>
      </w:r>
      <w:r w:rsidR="00202078">
        <w:rPr>
          <w:rFonts w:cs="Arial"/>
          <w:color w:val="000000"/>
        </w:rPr>
        <w:t>peut être</w:t>
      </w:r>
      <w:r w:rsidR="00202078" w:rsidRPr="00202078">
        <w:rPr>
          <w:rFonts w:cs="Arial"/>
          <w:color w:val="000000"/>
        </w:rPr>
        <w:t xml:space="preserve"> importante afin de respecter certains principes de l’imposition de la peine, que ce soit celui de la proportionnalité, de la totalité ou de l’individualisation</w:t>
      </w:r>
      <w:r w:rsidR="00202078">
        <w:rPr>
          <w:rFonts w:cs="Arial"/>
          <w:color w:val="000000"/>
        </w:rPr>
        <w:t xml:space="preserve"> : </w:t>
      </w:r>
      <w:r w:rsidR="00202078">
        <w:rPr>
          <w:rFonts w:cs="Arial"/>
          <w:i/>
          <w:iCs/>
          <w:color w:val="000000"/>
        </w:rPr>
        <w:t xml:space="preserve">R. </w:t>
      </w:r>
      <w:r w:rsidR="00202078">
        <w:rPr>
          <w:rFonts w:cs="Arial"/>
          <w:color w:val="000000"/>
        </w:rPr>
        <w:t xml:space="preserve">c. </w:t>
      </w:r>
      <w:r w:rsidR="00202078">
        <w:rPr>
          <w:rFonts w:cs="Arial"/>
          <w:i/>
          <w:iCs/>
          <w:color w:val="000000"/>
        </w:rPr>
        <w:t>C.K.</w:t>
      </w:r>
      <w:r w:rsidR="00202078">
        <w:rPr>
          <w:rFonts w:cs="Arial"/>
          <w:color w:val="000000"/>
        </w:rPr>
        <w:t>, 2022 QCCA 539 au para. 37.</w:t>
      </w:r>
    </w:p>
  </w:footnote>
  <w:footnote w:id="111">
    <w:p w14:paraId="16298FE0" w14:textId="7202B7AB" w:rsidR="00F422A9" w:rsidRPr="00285133" w:rsidRDefault="00F422A9" w:rsidP="00F422A9">
      <w:pPr>
        <w:pStyle w:val="Notedebasdepage"/>
      </w:pPr>
      <w:r>
        <w:rPr>
          <w:rStyle w:val="Appelnotedebasdep"/>
        </w:rPr>
        <w:footnoteRef/>
      </w:r>
      <w:r w:rsidRPr="00285133">
        <w:t xml:space="preserve"> </w:t>
      </w:r>
      <w:r w:rsidRPr="00285133">
        <w:tab/>
      </w:r>
      <w:r w:rsidR="00A56F36" w:rsidRPr="00285133">
        <w:rPr>
          <w:i/>
        </w:rPr>
        <w:t xml:space="preserve">R. </w:t>
      </w:r>
      <w:r w:rsidR="00A56F36" w:rsidRPr="00285133">
        <w:t xml:space="preserve">v. </w:t>
      </w:r>
      <w:r w:rsidR="00A56F36" w:rsidRPr="00285133">
        <w:rPr>
          <w:i/>
        </w:rPr>
        <w:t>Barrett</w:t>
      </w:r>
      <w:r w:rsidR="00A56F36" w:rsidRPr="00285133">
        <w:t xml:space="preserve">, 2013 QCCA 1351 </w:t>
      </w:r>
      <w:r w:rsidR="00A56F36">
        <w:t>au</w:t>
      </w:r>
      <w:r w:rsidR="00A56F36" w:rsidRPr="00285133">
        <w:t xml:space="preserve"> para. 34</w:t>
      </w:r>
      <w:r w:rsidR="00A56F36">
        <w:t xml:space="preserve">; </w:t>
      </w:r>
      <w:r w:rsidRPr="00285133">
        <w:rPr>
          <w:i/>
        </w:rPr>
        <w:t xml:space="preserve">R. </w:t>
      </w:r>
      <w:r w:rsidRPr="00285133">
        <w:t xml:space="preserve">v. </w:t>
      </w:r>
      <w:r w:rsidRPr="00285133">
        <w:rPr>
          <w:i/>
        </w:rPr>
        <w:t>Buchanan</w:t>
      </w:r>
      <w:r w:rsidRPr="00285133">
        <w:t xml:space="preserve"> (2020), 386 C.C.C. (3d) 373 (C.A.Ont.) au para. </w:t>
      </w:r>
      <w:r w:rsidRPr="00A5370B">
        <w:t xml:space="preserve">61; </w:t>
      </w:r>
      <w:r w:rsidRPr="00A5370B">
        <w:rPr>
          <w:i/>
        </w:rPr>
        <w:t xml:space="preserve">R. </w:t>
      </w:r>
      <w:r w:rsidRPr="00A5370B">
        <w:t xml:space="preserve">v. </w:t>
      </w:r>
      <w:r w:rsidRPr="00A5370B">
        <w:rPr>
          <w:i/>
        </w:rPr>
        <w:t>DaCosta</w:t>
      </w:r>
      <w:r w:rsidRPr="00A5370B">
        <w:t xml:space="preserve">, 2017 ONCA 588 au para. </w:t>
      </w:r>
      <w:r w:rsidRPr="00285133">
        <w:t>21;</w:t>
      </w:r>
      <w:r>
        <w:t xml:space="preserve"> </w:t>
      </w:r>
      <w:r>
        <w:rPr>
          <w:i/>
        </w:rPr>
        <w:t xml:space="preserve">R. </w:t>
      </w:r>
      <w:r>
        <w:t xml:space="preserve">v. </w:t>
      </w:r>
      <w:r>
        <w:rPr>
          <w:i/>
        </w:rPr>
        <w:t>Wu</w:t>
      </w:r>
      <w:r>
        <w:t>, 2017 ONCA 620;</w:t>
      </w:r>
      <w:r w:rsidRPr="00285133">
        <w:t xml:space="preserve"> </w:t>
      </w:r>
      <w:r w:rsidRPr="00285133">
        <w:rPr>
          <w:i/>
        </w:rPr>
        <w:t xml:space="preserve">R. </w:t>
      </w:r>
      <w:r w:rsidRPr="00285133">
        <w:t xml:space="preserve">v. </w:t>
      </w:r>
      <w:r w:rsidRPr="00285133">
        <w:rPr>
          <w:i/>
        </w:rPr>
        <w:t>Bains</w:t>
      </w:r>
      <w:r w:rsidRPr="00285133">
        <w:t xml:space="preserve"> (2015), 328 C.C.C. (3d) 149 (C.A.</w:t>
      </w:r>
      <w:r>
        <w:t>Ont.</w:t>
      </w:r>
      <w:r w:rsidRPr="00285133">
        <w:t>) a</w:t>
      </w:r>
      <w:r>
        <w:t>ux</w:t>
      </w:r>
      <w:r w:rsidRPr="00285133">
        <w:t xml:space="preserve"> paras. 157, 173, permission d’appel refusée, [2015] S.C.C.A. No. 478 &amp; [2015] S.C.C.A. No. 498; </w:t>
      </w:r>
      <w:r w:rsidRPr="00285133">
        <w:rPr>
          <w:i/>
        </w:rPr>
        <w:t xml:space="preserve">R. </w:t>
      </w:r>
      <w:r w:rsidRPr="00285133">
        <w:t xml:space="preserve">v. </w:t>
      </w:r>
      <w:r w:rsidRPr="00285133">
        <w:rPr>
          <w:i/>
        </w:rPr>
        <w:t>Bryan</w:t>
      </w:r>
      <w:r w:rsidRPr="00285133">
        <w:t xml:space="preserve">, 2013 ONCA 97 au para. 11; </w:t>
      </w:r>
      <w:r w:rsidRPr="00285133">
        <w:rPr>
          <w:i/>
        </w:rPr>
        <w:t xml:space="preserve">R. </w:t>
      </w:r>
      <w:r w:rsidRPr="00285133">
        <w:t xml:space="preserve">v. </w:t>
      </w:r>
      <w:r w:rsidRPr="00285133">
        <w:rPr>
          <w:i/>
        </w:rPr>
        <w:t>Sandhu</w:t>
      </w:r>
      <w:r w:rsidRPr="00285133">
        <w:t xml:space="preserve">, 2017 ONCA 709 au para. 4; </w:t>
      </w:r>
      <w:r w:rsidRPr="00285133">
        <w:rPr>
          <w:i/>
        </w:rPr>
        <w:t xml:space="preserve">R. </w:t>
      </w:r>
      <w:r w:rsidRPr="00285133">
        <w:t xml:space="preserve">v. </w:t>
      </w:r>
      <w:r w:rsidRPr="00285133">
        <w:rPr>
          <w:i/>
        </w:rPr>
        <w:t>N’Kansah</w:t>
      </w:r>
      <w:r w:rsidRPr="00285133">
        <w:t>, 2019 ONCA 290 au para. 14.</w:t>
      </w:r>
    </w:p>
  </w:footnote>
  <w:footnote w:id="112">
    <w:p w14:paraId="0548B29D" w14:textId="46AED9C1" w:rsidR="00B42660" w:rsidRDefault="00B42660">
      <w:pPr>
        <w:pStyle w:val="Notedebasdepage"/>
      </w:pPr>
      <w:r>
        <w:rPr>
          <w:rStyle w:val="Appelnotedebasdep"/>
        </w:rPr>
        <w:footnoteRef/>
      </w:r>
      <w:r>
        <w:t xml:space="preserve"> </w:t>
      </w:r>
      <w:r>
        <w:tab/>
        <w:t>Pièce S-5.</w:t>
      </w:r>
    </w:p>
  </w:footnote>
  <w:footnote w:id="113">
    <w:p w14:paraId="2B5DFA31" w14:textId="7BD7739B" w:rsidR="00B42660" w:rsidRDefault="00B42660">
      <w:pPr>
        <w:pStyle w:val="Notedebasdepage"/>
      </w:pPr>
      <w:r>
        <w:rPr>
          <w:rStyle w:val="Appelnotedebasdep"/>
        </w:rPr>
        <w:footnoteRef/>
      </w:r>
      <w:r>
        <w:t xml:space="preserve"> </w:t>
      </w:r>
      <w:r>
        <w:tab/>
        <w:t>Pièce S-7.</w:t>
      </w:r>
    </w:p>
  </w:footnote>
  <w:footnote w:id="114">
    <w:p w14:paraId="310A80A3" w14:textId="5AB7E072" w:rsidR="00A67076" w:rsidRPr="00505A9A" w:rsidRDefault="00A67076" w:rsidP="00A67076">
      <w:pPr>
        <w:pStyle w:val="Notedebasdepage"/>
      </w:pPr>
      <w:r>
        <w:rPr>
          <w:rStyle w:val="Appelnotedebasdep"/>
        </w:rPr>
        <w:footnoteRef/>
      </w:r>
      <w:r>
        <w:t xml:space="preserve"> </w:t>
      </w:r>
      <w:r>
        <w:tab/>
      </w:r>
      <w:r>
        <w:rPr>
          <w:i/>
          <w:iCs/>
        </w:rPr>
        <w:t xml:space="preserve">R. </w:t>
      </w:r>
      <w:r>
        <w:t xml:space="preserve">c. </w:t>
      </w:r>
      <w:r>
        <w:rPr>
          <w:i/>
          <w:iCs/>
        </w:rPr>
        <w:t>Laguerre</w:t>
      </w:r>
      <w:r>
        <w:t>, 2022 QCCA 1548 aux paras. 39, 42, 46, 53;</w:t>
      </w:r>
      <w:r w:rsidR="00FE40E3">
        <w:t xml:space="preserve"> </w:t>
      </w:r>
      <w:r w:rsidR="00FE40E3">
        <w:rPr>
          <w:i/>
          <w:iCs/>
        </w:rPr>
        <w:t xml:space="preserve">R. </w:t>
      </w:r>
      <w:r w:rsidR="00FE40E3">
        <w:t xml:space="preserve">c. </w:t>
      </w:r>
      <w:r w:rsidR="00FE40E3">
        <w:rPr>
          <w:i/>
          <w:iCs/>
        </w:rPr>
        <w:t>Moisan</w:t>
      </w:r>
      <w:r w:rsidR="00FE40E3">
        <w:t>, 202</w:t>
      </w:r>
      <w:r w:rsidR="002C3D67">
        <w:t>3</w:t>
      </w:r>
      <w:r w:rsidR="00FE40E3">
        <w:t xml:space="preserve"> QCCA 117 aux paras. 18, 23-25;</w:t>
      </w:r>
      <w:r>
        <w:t xml:space="preserve"> </w:t>
      </w:r>
      <w:r>
        <w:rPr>
          <w:i/>
          <w:iCs/>
        </w:rPr>
        <w:t xml:space="preserve">R. </w:t>
      </w:r>
      <w:r>
        <w:t xml:space="preserve">c. </w:t>
      </w:r>
      <w:r>
        <w:rPr>
          <w:i/>
          <w:iCs/>
        </w:rPr>
        <w:t>Arsenault</w:t>
      </w:r>
      <w:r>
        <w:t xml:space="preserve">, 2019 QCCA 1881 aux paras. 1, 4, 5, 11; </w:t>
      </w:r>
      <w:r>
        <w:rPr>
          <w:i/>
          <w:iCs/>
        </w:rPr>
        <w:t xml:space="preserve">R. </w:t>
      </w:r>
      <w:r>
        <w:t xml:space="preserve">c. </w:t>
      </w:r>
      <w:r>
        <w:rPr>
          <w:i/>
          <w:iCs/>
        </w:rPr>
        <w:t>Vaillancourt</w:t>
      </w:r>
      <w:r>
        <w:t xml:space="preserve">, 2019 QCCA 150 aux paras. </w:t>
      </w:r>
      <w:r w:rsidRPr="0037343D">
        <w:t xml:space="preserve">3-4; </w:t>
      </w:r>
      <w:r w:rsidRPr="0037343D">
        <w:rPr>
          <w:i/>
          <w:iCs/>
        </w:rPr>
        <w:t xml:space="preserve">R. </w:t>
      </w:r>
      <w:r w:rsidRPr="0037343D">
        <w:t xml:space="preserve">c. </w:t>
      </w:r>
      <w:r w:rsidRPr="0037343D">
        <w:rPr>
          <w:i/>
          <w:iCs/>
        </w:rPr>
        <w:t>Hagan</w:t>
      </w:r>
      <w:r w:rsidRPr="0037343D">
        <w:t xml:space="preserve">, 2014 QCCA 387 au </w:t>
      </w:r>
      <w:r>
        <w:t xml:space="preserve">para. </w:t>
      </w:r>
      <w:r w:rsidRPr="0037343D">
        <w:t xml:space="preserve">81; </w:t>
      </w:r>
      <w:r w:rsidRPr="0037343D">
        <w:rPr>
          <w:i/>
          <w:iCs/>
        </w:rPr>
        <w:t xml:space="preserve">R. </w:t>
      </w:r>
      <w:r w:rsidRPr="0037343D">
        <w:t xml:space="preserve">c. </w:t>
      </w:r>
      <w:r w:rsidRPr="0037343D">
        <w:rPr>
          <w:i/>
          <w:iCs/>
        </w:rPr>
        <w:t>Aprile</w:t>
      </w:r>
      <w:r w:rsidRPr="0037343D">
        <w:t xml:space="preserve">, 2007 QCCA 1040 au para. </w:t>
      </w:r>
      <w:r w:rsidRPr="009548FF">
        <w:t xml:space="preserve">11; </w:t>
      </w:r>
      <w:r w:rsidRPr="009548FF">
        <w:rPr>
          <w:i/>
        </w:rPr>
        <w:t xml:space="preserve">R. </w:t>
      </w:r>
      <w:r w:rsidRPr="009548FF">
        <w:t xml:space="preserve">c. </w:t>
      </w:r>
      <w:r w:rsidRPr="009548FF">
        <w:rPr>
          <w:i/>
        </w:rPr>
        <w:t>Angelillo</w:t>
      </w:r>
      <w:r w:rsidRPr="009548FF">
        <w:t xml:space="preserve">, [2006] 2 R.C.S. 728 au para. </w:t>
      </w:r>
      <w:r w:rsidRPr="00505A9A">
        <w:t>27.</w:t>
      </w:r>
    </w:p>
  </w:footnote>
  <w:footnote w:id="115">
    <w:p w14:paraId="7AF5B285" w14:textId="77777777" w:rsidR="00A67076" w:rsidRPr="00505A9A" w:rsidRDefault="00A67076" w:rsidP="00A67076">
      <w:pPr>
        <w:pStyle w:val="Notedebasdepage"/>
      </w:pPr>
      <w:r>
        <w:rPr>
          <w:rStyle w:val="Appelnotedebasdep"/>
        </w:rPr>
        <w:footnoteRef/>
      </w:r>
      <w:r w:rsidRPr="00505A9A">
        <w:t xml:space="preserve"> </w:t>
      </w:r>
      <w:r w:rsidRPr="00505A9A">
        <w:tab/>
      </w:r>
      <w:r w:rsidRPr="00505A9A">
        <w:rPr>
          <w:i/>
          <w:iCs/>
        </w:rPr>
        <w:t xml:space="preserve">R. </w:t>
      </w:r>
      <w:r w:rsidRPr="00505A9A">
        <w:t xml:space="preserve">v. </w:t>
      </w:r>
      <w:r w:rsidRPr="00505A9A">
        <w:rPr>
          <w:i/>
          <w:iCs/>
        </w:rPr>
        <w:t>Mulvahill</w:t>
      </w:r>
      <w:r w:rsidRPr="00505A9A">
        <w:t xml:space="preserve"> (1991), 69 C.C.C. (3d) 1 (C.A.C.B.).</w:t>
      </w:r>
    </w:p>
  </w:footnote>
  <w:footnote w:id="116">
    <w:p w14:paraId="11970356" w14:textId="77777777" w:rsidR="00227557" w:rsidRPr="00505A9A" w:rsidRDefault="00227557" w:rsidP="00227557">
      <w:pPr>
        <w:pStyle w:val="Notedebasdepage"/>
      </w:pPr>
      <w:r>
        <w:rPr>
          <w:rStyle w:val="Appelnotedebasdep"/>
        </w:rPr>
        <w:footnoteRef/>
      </w:r>
      <w:r w:rsidRPr="00505A9A">
        <w:t xml:space="preserve"> </w:t>
      </w:r>
      <w:r w:rsidRPr="00505A9A">
        <w:tab/>
        <w:t>Pièce S-11.</w:t>
      </w:r>
    </w:p>
  </w:footnote>
  <w:footnote w:id="117">
    <w:p w14:paraId="6967BEA6" w14:textId="77777777" w:rsidR="00227557" w:rsidRDefault="00227557" w:rsidP="00227557">
      <w:pPr>
        <w:pStyle w:val="Notedebasdepage"/>
      </w:pPr>
      <w:r>
        <w:rPr>
          <w:rStyle w:val="Appelnotedebasdep"/>
        </w:rPr>
        <w:footnoteRef/>
      </w:r>
      <w:r>
        <w:t xml:space="preserve"> </w:t>
      </w:r>
      <w:r>
        <w:tab/>
        <w:t>Pièce S-12.</w:t>
      </w:r>
    </w:p>
  </w:footnote>
  <w:footnote w:id="118">
    <w:p w14:paraId="0E4D532B" w14:textId="77777777" w:rsidR="00227557" w:rsidRPr="00DE4189" w:rsidRDefault="00227557" w:rsidP="00227557">
      <w:pPr>
        <w:pStyle w:val="Notedebasdepage"/>
      </w:pPr>
      <w:r>
        <w:rPr>
          <w:rStyle w:val="Appelnotedebasdep"/>
        </w:rPr>
        <w:footnoteRef/>
      </w:r>
      <w:r w:rsidRPr="00E85AD2">
        <w:t xml:space="preserve"> </w:t>
      </w:r>
      <w:r w:rsidRPr="00E85AD2">
        <w:tab/>
      </w:r>
      <w:r>
        <w:rPr>
          <w:i/>
          <w:iCs/>
        </w:rPr>
        <w:t xml:space="preserve">R. </w:t>
      </w:r>
      <w:r>
        <w:t xml:space="preserve">c. </w:t>
      </w:r>
      <w:r>
        <w:rPr>
          <w:i/>
          <w:iCs/>
        </w:rPr>
        <w:t>Stevens</w:t>
      </w:r>
      <w:r>
        <w:t xml:space="preserve">, 2014 QCCA 444 aux paras. 33, 39; </w:t>
      </w:r>
      <w:r w:rsidRPr="00E85AD2">
        <w:rPr>
          <w:i/>
          <w:iCs/>
        </w:rPr>
        <w:t xml:space="preserve">R. </w:t>
      </w:r>
      <w:r w:rsidRPr="00E85AD2">
        <w:t xml:space="preserve">c. </w:t>
      </w:r>
      <w:r w:rsidRPr="00E85AD2">
        <w:rPr>
          <w:i/>
          <w:iCs/>
        </w:rPr>
        <w:t>I</w:t>
      </w:r>
      <w:r>
        <w:rPr>
          <w:i/>
          <w:iCs/>
        </w:rPr>
        <w:t>f</w:t>
      </w:r>
      <w:r w:rsidRPr="00E85AD2">
        <w:rPr>
          <w:i/>
          <w:iCs/>
        </w:rPr>
        <w:t>e</w:t>
      </w:r>
      <w:r>
        <w:rPr>
          <w:i/>
          <w:iCs/>
        </w:rPr>
        <w:t>z</w:t>
      </w:r>
      <w:r w:rsidRPr="00E85AD2">
        <w:rPr>
          <w:i/>
          <w:iCs/>
        </w:rPr>
        <w:t>ue</w:t>
      </w:r>
      <w:r w:rsidRPr="00E85AD2">
        <w:t xml:space="preserve">, 2015 QCCA 2021 au </w:t>
      </w:r>
      <w:r>
        <w:t xml:space="preserve">para. 13; </w:t>
      </w:r>
      <w:r>
        <w:rPr>
          <w:i/>
          <w:iCs/>
        </w:rPr>
        <w:t xml:space="preserve">R. </w:t>
      </w:r>
      <w:r>
        <w:t xml:space="preserve">c. </w:t>
      </w:r>
      <w:r>
        <w:rPr>
          <w:i/>
          <w:iCs/>
        </w:rPr>
        <w:t>Larouche</w:t>
      </w:r>
      <w:r>
        <w:t xml:space="preserve">, 2012 QCCA 2272 au para. </w:t>
      </w:r>
      <w:r w:rsidRPr="006449C8">
        <w:t xml:space="preserve">34; </w:t>
      </w:r>
      <w:r w:rsidRPr="006449C8">
        <w:rPr>
          <w:rFonts w:cs="Arial"/>
          <w:i/>
          <w:iCs/>
        </w:rPr>
        <w:t xml:space="preserve">R. </w:t>
      </w:r>
      <w:r w:rsidRPr="006449C8">
        <w:rPr>
          <w:rFonts w:cs="Arial"/>
        </w:rPr>
        <w:t xml:space="preserve">c. </w:t>
      </w:r>
      <w:r w:rsidRPr="006449C8">
        <w:rPr>
          <w:rFonts w:cs="Arial"/>
          <w:i/>
          <w:iCs/>
        </w:rPr>
        <w:t>Blagrove</w:t>
      </w:r>
      <w:r w:rsidRPr="006449C8">
        <w:rPr>
          <w:rFonts w:cs="Arial"/>
        </w:rPr>
        <w:t xml:space="preserve">, </w:t>
      </w:r>
      <w:r>
        <w:rPr>
          <w:rFonts w:cs="Arial"/>
        </w:rPr>
        <w:sym w:font="Symbol" w:char="F05B"/>
      </w:r>
      <w:r w:rsidRPr="006449C8">
        <w:rPr>
          <w:rFonts w:cs="Arial"/>
        </w:rPr>
        <w:t>1996</w:t>
      </w:r>
      <w:r>
        <w:rPr>
          <w:rFonts w:cs="Arial"/>
        </w:rPr>
        <w:sym w:font="Symbol" w:char="F05D"/>
      </w:r>
      <w:r w:rsidRPr="006449C8">
        <w:rPr>
          <w:rFonts w:cs="Arial"/>
        </w:rPr>
        <w:t xml:space="preserve"> J.Q. no. 2568 (C.A.Qué.) au pa</w:t>
      </w:r>
      <w:r>
        <w:rPr>
          <w:rFonts w:cs="Arial"/>
        </w:rPr>
        <w:t xml:space="preserve">ra. 24; </w:t>
      </w:r>
      <w:r>
        <w:rPr>
          <w:rFonts w:cs="Arial"/>
          <w:i/>
          <w:iCs/>
        </w:rPr>
        <w:t xml:space="preserve">R. </w:t>
      </w:r>
      <w:r>
        <w:rPr>
          <w:rFonts w:cs="Arial"/>
        </w:rPr>
        <w:t xml:space="preserve">c. </w:t>
      </w:r>
      <w:r>
        <w:rPr>
          <w:rFonts w:cs="Arial"/>
          <w:i/>
          <w:iCs/>
        </w:rPr>
        <w:t>Calderon</w:t>
      </w:r>
      <w:r>
        <w:rPr>
          <w:rFonts w:cs="Arial"/>
        </w:rPr>
        <w:t xml:space="preserve">, 2015 QCCA 1573 au para. 27; </w:t>
      </w:r>
      <w:r>
        <w:rPr>
          <w:rFonts w:cs="Arial"/>
          <w:i/>
          <w:iCs/>
        </w:rPr>
        <w:t xml:space="preserve">R. </w:t>
      </w:r>
      <w:r>
        <w:rPr>
          <w:rFonts w:cs="Arial"/>
        </w:rPr>
        <w:t xml:space="preserve">c. </w:t>
      </w:r>
      <w:r>
        <w:rPr>
          <w:rFonts w:cs="Arial"/>
          <w:i/>
          <w:iCs/>
        </w:rPr>
        <w:t>Gaudreault-Tremblay</w:t>
      </w:r>
      <w:r>
        <w:rPr>
          <w:rFonts w:cs="Arial"/>
        </w:rPr>
        <w:t>, 2019 QCCA 1936 au para. 25.</w:t>
      </w:r>
    </w:p>
  </w:footnote>
  <w:footnote w:id="119">
    <w:p w14:paraId="4DDF18D4" w14:textId="66B10018" w:rsidR="0080242A" w:rsidRDefault="0080242A">
      <w:pPr>
        <w:pStyle w:val="Notedebasdepage"/>
      </w:pPr>
      <w:r>
        <w:rPr>
          <w:rStyle w:val="Appelnotedebasdep"/>
        </w:rPr>
        <w:footnoteRef/>
      </w:r>
      <w:r>
        <w:t xml:space="preserve"> </w:t>
      </w:r>
      <w:r>
        <w:tab/>
        <w:t>Soit 1</w:t>
      </w:r>
      <w:r w:rsidR="00CA5C11">
        <w:t>9</w:t>
      </w:r>
      <w:r>
        <w:t xml:space="preserve"> mois et </w:t>
      </w:r>
      <w:r w:rsidR="00CA5C11">
        <w:t>1</w:t>
      </w:r>
      <w:r>
        <w:t>0 jours.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84859" w14:textId="77777777" w:rsidR="00744D35" w:rsidRDefault="00744D3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1DED4" w14:textId="6419DEC7" w:rsidR="00382B71" w:rsidRDefault="00382B71" w:rsidP="0088275E">
    <w:pPr>
      <w:tabs>
        <w:tab w:val="center" w:pos="4709"/>
        <w:tab w:val="right" w:pos="9360"/>
      </w:tabs>
      <w:ind w:right="524"/>
    </w:pPr>
    <w:r>
      <w:rPr>
        <w:rFonts w:cs="Arial"/>
        <w:szCs w:val="24"/>
      </w:rPr>
      <w:t>500-01-217105-219</w:t>
    </w:r>
    <w:r>
      <w:rPr>
        <w:i/>
      </w:rPr>
      <w:tab/>
    </w:r>
    <w:r w:rsidRPr="00D91EEA">
      <w:tab/>
      <w:t xml:space="preserve">PAGE: </w:t>
    </w:r>
    <w:r>
      <w:fldChar w:fldCharType="begin"/>
    </w:r>
    <w:r>
      <w:instrText xml:space="preserve"> PAGE </w:instrText>
    </w:r>
    <w:r>
      <w:fldChar w:fldCharType="separate"/>
    </w:r>
    <w:r w:rsidR="00197D24">
      <w:rPr>
        <w:noProof/>
      </w:rPr>
      <w:t>26</w:t>
    </w:r>
    <w:r>
      <w:fldChar w:fldCharType="end"/>
    </w:r>
  </w:p>
  <w:p w14:paraId="7B1E4C45" w14:textId="77777777" w:rsidR="00382B71" w:rsidRDefault="00382B71">
    <w:pPr>
      <w:tabs>
        <w:tab w:val="center" w:pos="4709"/>
        <w:tab w:val="right" w:pos="9090"/>
      </w:tabs>
      <w:ind w:right="52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46089" w14:textId="77777777" w:rsidR="00744D35" w:rsidRDefault="00744D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C0C24"/>
    <w:multiLevelType w:val="hybridMultilevel"/>
    <w:tmpl w:val="EA845C7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6EB6DF7"/>
    <w:multiLevelType w:val="hybridMultilevel"/>
    <w:tmpl w:val="45BCAFB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6AE1760"/>
    <w:multiLevelType w:val="hybridMultilevel"/>
    <w:tmpl w:val="A6360BB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8271D6B"/>
    <w:multiLevelType w:val="hybridMultilevel"/>
    <w:tmpl w:val="9A7E478C"/>
    <w:lvl w:ilvl="0" w:tplc="F0407A8A">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4" w15:restartNumberingAfterBreak="0">
    <w:nsid w:val="327604CD"/>
    <w:multiLevelType w:val="hybridMultilevel"/>
    <w:tmpl w:val="D95E8F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5302623"/>
    <w:multiLevelType w:val="hybridMultilevel"/>
    <w:tmpl w:val="8A36DA24"/>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885632C"/>
    <w:multiLevelType w:val="hybridMultilevel"/>
    <w:tmpl w:val="BAD4F5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4144B65"/>
    <w:multiLevelType w:val="hybridMultilevel"/>
    <w:tmpl w:val="EA845C7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09C0DCC"/>
    <w:multiLevelType w:val="multilevel"/>
    <w:tmpl w:val="906ACC06"/>
    <w:lvl w:ilvl="0">
      <w:start w:val="1"/>
      <w:numFmt w:val="decimal"/>
      <w:pStyle w:val="Paragraphe"/>
      <w:lvlText w:val="[%1]"/>
      <w:lvlJc w:val="left"/>
      <w:pPr>
        <w:tabs>
          <w:tab w:val="num" w:pos="360"/>
        </w:tabs>
        <w:ind w:left="0" w:firstLine="0"/>
      </w:pPr>
      <w:rPr>
        <w:rFonts w:ascii="Arial" w:hAnsi="Arial" w:hint="default"/>
        <w:b w:val="0"/>
        <w:i w:val="0"/>
        <w:sz w:val="24"/>
        <w:lang w:val="fr-CA"/>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66B867B7"/>
    <w:multiLevelType w:val="hybridMultilevel"/>
    <w:tmpl w:val="AEAEB702"/>
    <w:lvl w:ilvl="0" w:tplc="739A64E2">
      <w:start w:val="1"/>
      <w:numFmt w:val="decimal"/>
      <w:lvlText w:val="%1."/>
      <w:lvlJc w:val="left"/>
      <w:pPr>
        <w:ind w:left="720" w:hanging="360"/>
      </w:pPr>
      <w:rPr>
        <w:rFonts w:ascii="Arial" w:eastAsia="Times New Roman" w:hAnsi="Arial" w:cs="Times New Roman"/>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7697283"/>
    <w:multiLevelType w:val="hybridMultilevel"/>
    <w:tmpl w:val="C9A8EC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9A32F5D"/>
    <w:multiLevelType w:val="hybridMultilevel"/>
    <w:tmpl w:val="45BCAFB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E997952"/>
    <w:multiLevelType w:val="hybridMultilevel"/>
    <w:tmpl w:val="05FCDA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1"/>
  </w:num>
  <w:num w:numId="5">
    <w:abstractNumId w:val="9"/>
  </w:num>
  <w:num w:numId="6">
    <w:abstractNumId w:val="2"/>
  </w:num>
  <w:num w:numId="7">
    <w:abstractNumId w:val="6"/>
  </w:num>
  <w:num w:numId="8">
    <w:abstractNumId w:val="4"/>
  </w:num>
  <w:num w:numId="9">
    <w:abstractNumId w:val="10"/>
  </w:num>
  <w:num w:numId="10">
    <w:abstractNumId w:val="0"/>
  </w:num>
  <w:num w:numId="11">
    <w:abstractNumId w:val="7"/>
  </w:num>
  <w:num w:numId="12">
    <w:abstractNumId w:val="12"/>
  </w:num>
  <w:num w:numId="13">
    <w:abstractNumId w:val="11"/>
  </w:num>
  <w:num w:numId="14">
    <w:abstractNumId w:val="3"/>
  </w:num>
  <w:num w:numId="1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defaultTabStop w:val="734"/>
  <w:hyphenationZone w:val="425"/>
  <w:displayHorizontalDrawingGridEvery w:val="0"/>
  <w:displayVerticalDrawingGridEvery w:val="0"/>
  <w:doNotUseMarginsForDrawingGridOrigin/>
  <w:noPunctuationKerning/>
  <w:characterSpacingControl w:val="doNotCompress"/>
  <w:hdrShapeDefaults>
    <o:shapedefaults v:ext="edit" spidmax="141313"/>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21"/>
    <w:rsid w:val="00000833"/>
    <w:rsid w:val="00001F38"/>
    <w:rsid w:val="00002255"/>
    <w:rsid w:val="0000390B"/>
    <w:rsid w:val="00004DBF"/>
    <w:rsid w:val="00004EF3"/>
    <w:rsid w:val="00005C7B"/>
    <w:rsid w:val="00007197"/>
    <w:rsid w:val="000127DF"/>
    <w:rsid w:val="000127FD"/>
    <w:rsid w:val="0001304D"/>
    <w:rsid w:val="000141F1"/>
    <w:rsid w:val="00014D66"/>
    <w:rsid w:val="00015897"/>
    <w:rsid w:val="00016561"/>
    <w:rsid w:val="00016841"/>
    <w:rsid w:val="00020776"/>
    <w:rsid w:val="00021260"/>
    <w:rsid w:val="00022663"/>
    <w:rsid w:val="00022952"/>
    <w:rsid w:val="00022E5D"/>
    <w:rsid w:val="0002452F"/>
    <w:rsid w:val="00025389"/>
    <w:rsid w:val="00025511"/>
    <w:rsid w:val="0002665A"/>
    <w:rsid w:val="000279C7"/>
    <w:rsid w:val="00030D41"/>
    <w:rsid w:val="0003202E"/>
    <w:rsid w:val="000326DA"/>
    <w:rsid w:val="00032F5B"/>
    <w:rsid w:val="00035040"/>
    <w:rsid w:val="00036BF6"/>
    <w:rsid w:val="000403B5"/>
    <w:rsid w:val="00040C38"/>
    <w:rsid w:val="00041AA7"/>
    <w:rsid w:val="00041E0A"/>
    <w:rsid w:val="0004334D"/>
    <w:rsid w:val="00043951"/>
    <w:rsid w:val="00043C32"/>
    <w:rsid w:val="000440EC"/>
    <w:rsid w:val="0004434D"/>
    <w:rsid w:val="00044C61"/>
    <w:rsid w:val="00044D98"/>
    <w:rsid w:val="00045CF2"/>
    <w:rsid w:val="00046313"/>
    <w:rsid w:val="0004754C"/>
    <w:rsid w:val="000478F2"/>
    <w:rsid w:val="00050080"/>
    <w:rsid w:val="000510ED"/>
    <w:rsid w:val="0005129C"/>
    <w:rsid w:val="00051437"/>
    <w:rsid w:val="00051AF2"/>
    <w:rsid w:val="00052483"/>
    <w:rsid w:val="000534E4"/>
    <w:rsid w:val="00053887"/>
    <w:rsid w:val="00054A19"/>
    <w:rsid w:val="000558F7"/>
    <w:rsid w:val="00056708"/>
    <w:rsid w:val="0006213C"/>
    <w:rsid w:val="00062CE2"/>
    <w:rsid w:val="00062F08"/>
    <w:rsid w:val="000634D7"/>
    <w:rsid w:val="00063949"/>
    <w:rsid w:val="00063E27"/>
    <w:rsid w:val="00065FD7"/>
    <w:rsid w:val="0006703B"/>
    <w:rsid w:val="000672B1"/>
    <w:rsid w:val="00070986"/>
    <w:rsid w:val="0007419A"/>
    <w:rsid w:val="0007462A"/>
    <w:rsid w:val="00074733"/>
    <w:rsid w:val="000757C3"/>
    <w:rsid w:val="000758C1"/>
    <w:rsid w:val="000762C0"/>
    <w:rsid w:val="00080A8C"/>
    <w:rsid w:val="00080EF3"/>
    <w:rsid w:val="0008122A"/>
    <w:rsid w:val="0008145F"/>
    <w:rsid w:val="00083774"/>
    <w:rsid w:val="000842A5"/>
    <w:rsid w:val="00084D42"/>
    <w:rsid w:val="00085849"/>
    <w:rsid w:val="00085A2E"/>
    <w:rsid w:val="00086B87"/>
    <w:rsid w:val="00086EE0"/>
    <w:rsid w:val="00087F8A"/>
    <w:rsid w:val="0009007E"/>
    <w:rsid w:val="000906C4"/>
    <w:rsid w:val="00090E3F"/>
    <w:rsid w:val="0009406E"/>
    <w:rsid w:val="00095C88"/>
    <w:rsid w:val="00095C8E"/>
    <w:rsid w:val="000965C1"/>
    <w:rsid w:val="0009681A"/>
    <w:rsid w:val="00096B90"/>
    <w:rsid w:val="00096BD2"/>
    <w:rsid w:val="000A02C2"/>
    <w:rsid w:val="000A04D3"/>
    <w:rsid w:val="000A0DA0"/>
    <w:rsid w:val="000A1DEC"/>
    <w:rsid w:val="000A221A"/>
    <w:rsid w:val="000A26AC"/>
    <w:rsid w:val="000A2868"/>
    <w:rsid w:val="000A3B14"/>
    <w:rsid w:val="000A4A75"/>
    <w:rsid w:val="000A525B"/>
    <w:rsid w:val="000A6404"/>
    <w:rsid w:val="000A6569"/>
    <w:rsid w:val="000A6901"/>
    <w:rsid w:val="000A6C61"/>
    <w:rsid w:val="000A6D0F"/>
    <w:rsid w:val="000A7093"/>
    <w:rsid w:val="000B0043"/>
    <w:rsid w:val="000B1C3C"/>
    <w:rsid w:val="000B20D2"/>
    <w:rsid w:val="000B23F6"/>
    <w:rsid w:val="000B2721"/>
    <w:rsid w:val="000B3804"/>
    <w:rsid w:val="000B5168"/>
    <w:rsid w:val="000B523E"/>
    <w:rsid w:val="000B573F"/>
    <w:rsid w:val="000B59CF"/>
    <w:rsid w:val="000B5E25"/>
    <w:rsid w:val="000B672C"/>
    <w:rsid w:val="000B6B00"/>
    <w:rsid w:val="000B6CFB"/>
    <w:rsid w:val="000B7539"/>
    <w:rsid w:val="000B7579"/>
    <w:rsid w:val="000B7F4D"/>
    <w:rsid w:val="000C007B"/>
    <w:rsid w:val="000C03A2"/>
    <w:rsid w:val="000C059B"/>
    <w:rsid w:val="000C0662"/>
    <w:rsid w:val="000C1085"/>
    <w:rsid w:val="000C14E0"/>
    <w:rsid w:val="000C471C"/>
    <w:rsid w:val="000C5253"/>
    <w:rsid w:val="000C69F1"/>
    <w:rsid w:val="000C6CFE"/>
    <w:rsid w:val="000C7AC0"/>
    <w:rsid w:val="000C7B66"/>
    <w:rsid w:val="000D0B18"/>
    <w:rsid w:val="000D1193"/>
    <w:rsid w:val="000D1651"/>
    <w:rsid w:val="000D2A79"/>
    <w:rsid w:val="000D3296"/>
    <w:rsid w:val="000D3937"/>
    <w:rsid w:val="000D3B73"/>
    <w:rsid w:val="000D4B47"/>
    <w:rsid w:val="000D4B4E"/>
    <w:rsid w:val="000D59C2"/>
    <w:rsid w:val="000D6E2B"/>
    <w:rsid w:val="000E275A"/>
    <w:rsid w:val="000E3E0B"/>
    <w:rsid w:val="000E4B22"/>
    <w:rsid w:val="000E4BD2"/>
    <w:rsid w:val="000E5CCB"/>
    <w:rsid w:val="000E610A"/>
    <w:rsid w:val="000E78F4"/>
    <w:rsid w:val="000F03B5"/>
    <w:rsid w:val="000F1675"/>
    <w:rsid w:val="000F1D61"/>
    <w:rsid w:val="000F25E9"/>
    <w:rsid w:val="000F27CD"/>
    <w:rsid w:val="000F29F2"/>
    <w:rsid w:val="000F44E2"/>
    <w:rsid w:val="000F55C6"/>
    <w:rsid w:val="000F5BD8"/>
    <w:rsid w:val="000F7E52"/>
    <w:rsid w:val="001001F8"/>
    <w:rsid w:val="001011DC"/>
    <w:rsid w:val="00101761"/>
    <w:rsid w:val="00101AE7"/>
    <w:rsid w:val="001022EA"/>
    <w:rsid w:val="00102488"/>
    <w:rsid w:val="00103A45"/>
    <w:rsid w:val="00104C35"/>
    <w:rsid w:val="0010574B"/>
    <w:rsid w:val="00105E38"/>
    <w:rsid w:val="0010654C"/>
    <w:rsid w:val="001065C7"/>
    <w:rsid w:val="0011005A"/>
    <w:rsid w:val="001108A8"/>
    <w:rsid w:val="00111038"/>
    <w:rsid w:val="001113A9"/>
    <w:rsid w:val="001115A3"/>
    <w:rsid w:val="001122DA"/>
    <w:rsid w:val="001123AC"/>
    <w:rsid w:val="001125E8"/>
    <w:rsid w:val="0011415C"/>
    <w:rsid w:val="001159C3"/>
    <w:rsid w:val="00115D1C"/>
    <w:rsid w:val="001166B8"/>
    <w:rsid w:val="0011686B"/>
    <w:rsid w:val="00117385"/>
    <w:rsid w:val="00117706"/>
    <w:rsid w:val="00117D82"/>
    <w:rsid w:val="00120A9D"/>
    <w:rsid w:val="0012179F"/>
    <w:rsid w:val="00121AA5"/>
    <w:rsid w:val="00121D25"/>
    <w:rsid w:val="0012202A"/>
    <w:rsid w:val="00123CB7"/>
    <w:rsid w:val="00123F42"/>
    <w:rsid w:val="00124419"/>
    <w:rsid w:val="00124B06"/>
    <w:rsid w:val="001255D4"/>
    <w:rsid w:val="00126F3C"/>
    <w:rsid w:val="00127790"/>
    <w:rsid w:val="00132AB1"/>
    <w:rsid w:val="00132B6D"/>
    <w:rsid w:val="001337E7"/>
    <w:rsid w:val="00133B96"/>
    <w:rsid w:val="00133C04"/>
    <w:rsid w:val="00134577"/>
    <w:rsid w:val="00134A05"/>
    <w:rsid w:val="00135447"/>
    <w:rsid w:val="00135E00"/>
    <w:rsid w:val="0013636C"/>
    <w:rsid w:val="00137B35"/>
    <w:rsid w:val="00137F93"/>
    <w:rsid w:val="00140B35"/>
    <w:rsid w:val="0014124C"/>
    <w:rsid w:val="00141D64"/>
    <w:rsid w:val="001427A9"/>
    <w:rsid w:val="00143589"/>
    <w:rsid w:val="00145E2F"/>
    <w:rsid w:val="001466CA"/>
    <w:rsid w:val="00146E93"/>
    <w:rsid w:val="001473D4"/>
    <w:rsid w:val="00151213"/>
    <w:rsid w:val="00152673"/>
    <w:rsid w:val="0015385A"/>
    <w:rsid w:val="00154088"/>
    <w:rsid w:val="001540D3"/>
    <w:rsid w:val="00157198"/>
    <w:rsid w:val="00160769"/>
    <w:rsid w:val="0016118F"/>
    <w:rsid w:val="00161CEE"/>
    <w:rsid w:val="00163A1A"/>
    <w:rsid w:val="00163EC7"/>
    <w:rsid w:val="001644C6"/>
    <w:rsid w:val="0016462C"/>
    <w:rsid w:val="0016472A"/>
    <w:rsid w:val="00164A07"/>
    <w:rsid w:val="00165411"/>
    <w:rsid w:val="0016565E"/>
    <w:rsid w:val="00165797"/>
    <w:rsid w:val="00165CD9"/>
    <w:rsid w:val="00170E35"/>
    <w:rsid w:val="0017185C"/>
    <w:rsid w:val="0017252C"/>
    <w:rsid w:val="00172723"/>
    <w:rsid w:val="001728D2"/>
    <w:rsid w:val="00174491"/>
    <w:rsid w:val="001768F6"/>
    <w:rsid w:val="00176C1B"/>
    <w:rsid w:val="00176DCD"/>
    <w:rsid w:val="001772FD"/>
    <w:rsid w:val="00177323"/>
    <w:rsid w:val="00177F8D"/>
    <w:rsid w:val="0018033F"/>
    <w:rsid w:val="00180394"/>
    <w:rsid w:val="00180FA3"/>
    <w:rsid w:val="00181207"/>
    <w:rsid w:val="00181471"/>
    <w:rsid w:val="001822DD"/>
    <w:rsid w:val="00183511"/>
    <w:rsid w:val="00186DF9"/>
    <w:rsid w:val="00186F1D"/>
    <w:rsid w:val="00190493"/>
    <w:rsid w:val="0019055F"/>
    <w:rsid w:val="001905FB"/>
    <w:rsid w:val="001908D0"/>
    <w:rsid w:val="00190BB3"/>
    <w:rsid w:val="00192189"/>
    <w:rsid w:val="00193060"/>
    <w:rsid w:val="001939FC"/>
    <w:rsid w:val="00193ABD"/>
    <w:rsid w:val="00195003"/>
    <w:rsid w:val="0019673B"/>
    <w:rsid w:val="00197D24"/>
    <w:rsid w:val="001A1328"/>
    <w:rsid w:val="001A340B"/>
    <w:rsid w:val="001A3B38"/>
    <w:rsid w:val="001A434D"/>
    <w:rsid w:val="001A6143"/>
    <w:rsid w:val="001A6F74"/>
    <w:rsid w:val="001A75AF"/>
    <w:rsid w:val="001A783C"/>
    <w:rsid w:val="001A79A7"/>
    <w:rsid w:val="001B02E1"/>
    <w:rsid w:val="001B21BC"/>
    <w:rsid w:val="001B4217"/>
    <w:rsid w:val="001B5FDB"/>
    <w:rsid w:val="001B706D"/>
    <w:rsid w:val="001B7255"/>
    <w:rsid w:val="001B74C9"/>
    <w:rsid w:val="001B7540"/>
    <w:rsid w:val="001B7838"/>
    <w:rsid w:val="001C026C"/>
    <w:rsid w:val="001C0FCB"/>
    <w:rsid w:val="001C15AA"/>
    <w:rsid w:val="001C20C6"/>
    <w:rsid w:val="001C2365"/>
    <w:rsid w:val="001C24B6"/>
    <w:rsid w:val="001C3022"/>
    <w:rsid w:val="001C3300"/>
    <w:rsid w:val="001C3AA5"/>
    <w:rsid w:val="001C4FBE"/>
    <w:rsid w:val="001C5096"/>
    <w:rsid w:val="001C5D6D"/>
    <w:rsid w:val="001C68AB"/>
    <w:rsid w:val="001C7587"/>
    <w:rsid w:val="001C799B"/>
    <w:rsid w:val="001D0537"/>
    <w:rsid w:val="001D151A"/>
    <w:rsid w:val="001D1B48"/>
    <w:rsid w:val="001D1E98"/>
    <w:rsid w:val="001D2D2C"/>
    <w:rsid w:val="001D2E01"/>
    <w:rsid w:val="001D2E51"/>
    <w:rsid w:val="001D373D"/>
    <w:rsid w:val="001D56BF"/>
    <w:rsid w:val="001D6A01"/>
    <w:rsid w:val="001E06FD"/>
    <w:rsid w:val="001E0A78"/>
    <w:rsid w:val="001E0B92"/>
    <w:rsid w:val="001E0DD9"/>
    <w:rsid w:val="001E2CC4"/>
    <w:rsid w:val="001E310E"/>
    <w:rsid w:val="001E388B"/>
    <w:rsid w:val="001E4C49"/>
    <w:rsid w:val="001E4DED"/>
    <w:rsid w:val="001E4FA5"/>
    <w:rsid w:val="001E5244"/>
    <w:rsid w:val="001E52D0"/>
    <w:rsid w:val="001E5EB5"/>
    <w:rsid w:val="001E5F30"/>
    <w:rsid w:val="001F0DB4"/>
    <w:rsid w:val="001F1066"/>
    <w:rsid w:val="001F244E"/>
    <w:rsid w:val="001F2A4E"/>
    <w:rsid w:val="001F2C86"/>
    <w:rsid w:val="001F3104"/>
    <w:rsid w:val="001F4527"/>
    <w:rsid w:val="001F50BF"/>
    <w:rsid w:val="001F578B"/>
    <w:rsid w:val="001F6948"/>
    <w:rsid w:val="001F7159"/>
    <w:rsid w:val="001F7220"/>
    <w:rsid w:val="001F766B"/>
    <w:rsid w:val="002003AB"/>
    <w:rsid w:val="002008A9"/>
    <w:rsid w:val="00200948"/>
    <w:rsid w:val="002012A9"/>
    <w:rsid w:val="002013DF"/>
    <w:rsid w:val="00202078"/>
    <w:rsid w:val="00204467"/>
    <w:rsid w:val="002061AA"/>
    <w:rsid w:val="0020625E"/>
    <w:rsid w:val="00206479"/>
    <w:rsid w:val="0020678E"/>
    <w:rsid w:val="0020712B"/>
    <w:rsid w:val="0021149B"/>
    <w:rsid w:val="00211733"/>
    <w:rsid w:val="00212730"/>
    <w:rsid w:val="00213822"/>
    <w:rsid w:val="00213B95"/>
    <w:rsid w:val="00215157"/>
    <w:rsid w:val="0021571E"/>
    <w:rsid w:val="00216D3F"/>
    <w:rsid w:val="00216E0E"/>
    <w:rsid w:val="00221B92"/>
    <w:rsid w:val="0022258E"/>
    <w:rsid w:val="002225C7"/>
    <w:rsid w:val="00223266"/>
    <w:rsid w:val="0022370F"/>
    <w:rsid w:val="00223E75"/>
    <w:rsid w:val="00224B50"/>
    <w:rsid w:val="0022557E"/>
    <w:rsid w:val="00226BC3"/>
    <w:rsid w:val="00227557"/>
    <w:rsid w:val="00227693"/>
    <w:rsid w:val="0023027D"/>
    <w:rsid w:val="00230C3F"/>
    <w:rsid w:val="0023123A"/>
    <w:rsid w:val="00231C3D"/>
    <w:rsid w:val="00231CC5"/>
    <w:rsid w:val="002344FD"/>
    <w:rsid w:val="00234822"/>
    <w:rsid w:val="00235114"/>
    <w:rsid w:val="002366F6"/>
    <w:rsid w:val="002367D0"/>
    <w:rsid w:val="00237C90"/>
    <w:rsid w:val="00240751"/>
    <w:rsid w:val="00240A58"/>
    <w:rsid w:val="0024152F"/>
    <w:rsid w:val="00242A8E"/>
    <w:rsid w:val="00242CB2"/>
    <w:rsid w:val="00243337"/>
    <w:rsid w:val="00243357"/>
    <w:rsid w:val="00243828"/>
    <w:rsid w:val="00243EC7"/>
    <w:rsid w:val="00244D20"/>
    <w:rsid w:val="0024622C"/>
    <w:rsid w:val="00246F53"/>
    <w:rsid w:val="00247A36"/>
    <w:rsid w:val="002515C3"/>
    <w:rsid w:val="00251C5C"/>
    <w:rsid w:val="00251F0C"/>
    <w:rsid w:val="00252466"/>
    <w:rsid w:val="00253E71"/>
    <w:rsid w:val="00254BD4"/>
    <w:rsid w:val="00255E17"/>
    <w:rsid w:val="0025791A"/>
    <w:rsid w:val="00257F52"/>
    <w:rsid w:val="00257F6C"/>
    <w:rsid w:val="0026013C"/>
    <w:rsid w:val="00260AF1"/>
    <w:rsid w:val="00261A74"/>
    <w:rsid w:val="002625AF"/>
    <w:rsid w:val="0026282C"/>
    <w:rsid w:val="00264238"/>
    <w:rsid w:val="00264FAC"/>
    <w:rsid w:val="0026520D"/>
    <w:rsid w:val="002658E9"/>
    <w:rsid w:val="002660AF"/>
    <w:rsid w:val="002660D0"/>
    <w:rsid w:val="0026614D"/>
    <w:rsid w:val="002675C2"/>
    <w:rsid w:val="00267C64"/>
    <w:rsid w:val="00272560"/>
    <w:rsid w:val="00272B30"/>
    <w:rsid w:val="00273D10"/>
    <w:rsid w:val="00273D82"/>
    <w:rsid w:val="00274958"/>
    <w:rsid w:val="002805D9"/>
    <w:rsid w:val="002806C2"/>
    <w:rsid w:val="002814E9"/>
    <w:rsid w:val="00281AF8"/>
    <w:rsid w:val="0028271D"/>
    <w:rsid w:val="00282953"/>
    <w:rsid w:val="00282B3F"/>
    <w:rsid w:val="00283303"/>
    <w:rsid w:val="00283D38"/>
    <w:rsid w:val="00283E5D"/>
    <w:rsid w:val="00283F1F"/>
    <w:rsid w:val="00284CBC"/>
    <w:rsid w:val="00285133"/>
    <w:rsid w:val="00285480"/>
    <w:rsid w:val="002857C8"/>
    <w:rsid w:val="00285A4D"/>
    <w:rsid w:val="00286D29"/>
    <w:rsid w:val="0028749C"/>
    <w:rsid w:val="0029036E"/>
    <w:rsid w:val="0029213E"/>
    <w:rsid w:val="00292345"/>
    <w:rsid w:val="00293775"/>
    <w:rsid w:val="002946CD"/>
    <w:rsid w:val="00294B48"/>
    <w:rsid w:val="00294F7D"/>
    <w:rsid w:val="00296031"/>
    <w:rsid w:val="002969EF"/>
    <w:rsid w:val="002970D1"/>
    <w:rsid w:val="002976E0"/>
    <w:rsid w:val="00297C4F"/>
    <w:rsid w:val="002A03E7"/>
    <w:rsid w:val="002A1376"/>
    <w:rsid w:val="002A1476"/>
    <w:rsid w:val="002A1701"/>
    <w:rsid w:val="002A1D79"/>
    <w:rsid w:val="002A2C94"/>
    <w:rsid w:val="002A32C0"/>
    <w:rsid w:val="002A3C1A"/>
    <w:rsid w:val="002A5155"/>
    <w:rsid w:val="002A737D"/>
    <w:rsid w:val="002A7D2F"/>
    <w:rsid w:val="002B0ABF"/>
    <w:rsid w:val="002B1A5B"/>
    <w:rsid w:val="002B2E63"/>
    <w:rsid w:val="002B4767"/>
    <w:rsid w:val="002B50B6"/>
    <w:rsid w:val="002B5E20"/>
    <w:rsid w:val="002B5F55"/>
    <w:rsid w:val="002B68D2"/>
    <w:rsid w:val="002B73CA"/>
    <w:rsid w:val="002C0250"/>
    <w:rsid w:val="002C02C4"/>
    <w:rsid w:val="002C05E6"/>
    <w:rsid w:val="002C08BF"/>
    <w:rsid w:val="002C1700"/>
    <w:rsid w:val="002C213C"/>
    <w:rsid w:val="002C3599"/>
    <w:rsid w:val="002C3602"/>
    <w:rsid w:val="002C3D67"/>
    <w:rsid w:val="002C3F42"/>
    <w:rsid w:val="002C3FF4"/>
    <w:rsid w:val="002C41D1"/>
    <w:rsid w:val="002C67B8"/>
    <w:rsid w:val="002C76FB"/>
    <w:rsid w:val="002C7C30"/>
    <w:rsid w:val="002C7E5B"/>
    <w:rsid w:val="002C7F37"/>
    <w:rsid w:val="002D03FB"/>
    <w:rsid w:val="002D0770"/>
    <w:rsid w:val="002D0B1B"/>
    <w:rsid w:val="002D0ECD"/>
    <w:rsid w:val="002D0EDA"/>
    <w:rsid w:val="002D2FA2"/>
    <w:rsid w:val="002D3225"/>
    <w:rsid w:val="002D5B5D"/>
    <w:rsid w:val="002D5E86"/>
    <w:rsid w:val="002D61AD"/>
    <w:rsid w:val="002D6981"/>
    <w:rsid w:val="002D6DFD"/>
    <w:rsid w:val="002D7133"/>
    <w:rsid w:val="002E02DB"/>
    <w:rsid w:val="002E0B7E"/>
    <w:rsid w:val="002E1688"/>
    <w:rsid w:val="002E1928"/>
    <w:rsid w:val="002E1F4D"/>
    <w:rsid w:val="002E21F5"/>
    <w:rsid w:val="002E2F58"/>
    <w:rsid w:val="002E2FDD"/>
    <w:rsid w:val="002E3FF3"/>
    <w:rsid w:val="002E4DF0"/>
    <w:rsid w:val="002E5C6F"/>
    <w:rsid w:val="002E63B8"/>
    <w:rsid w:val="002E7292"/>
    <w:rsid w:val="002E76B9"/>
    <w:rsid w:val="002F0302"/>
    <w:rsid w:val="002F0F1F"/>
    <w:rsid w:val="002F0FA2"/>
    <w:rsid w:val="002F18E0"/>
    <w:rsid w:val="002F1A15"/>
    <w:rsid w:val="002F453B"/>
    <w:rsid w:val="002F4B7B"/>
    <w:rsid w:val="002F62F4"/>
    <w:rsid w:val="002F6501"/>
    <w:rsid w:val="002F665C"/>
    <w:rsid w:val="00300877"/>
    <w:rsid w:val="00300AFC"/>
    <w:rsid w:val="003014E7"/>
    <w:rsid w:val="00302704"/>
    <w:rsid w:val="003034B6"/>
    <w:rsid w:val="003041BF"/>
    <w:rsid w:val="00307146"/>
    <w:rsid w:val="00307769"/>
    <w:rsid w:val="00307F40"/>
    <w:rsid w:val="00311BCA"/>
    <w:rsid w:val="00313BFC"/>
    <w:rsid w:val="00314DC9"/>
    <w:rsid w:val="003154CA"/>
    <w:rsid w:val="00315921"/>
    <w:rsid w:val="0031641C"/>
    <w:rsid w:val="00321A40"/>
    <w:rsid w:val="00325298"/>
    <w:rsid w:val="003260F6"/>
    <w:rsid w:val="00331615"/>
    <w:rsid w:val="0033322E"/>
    <w:rsid w:val="0033375E"/>
    <w:rsid w:val="00333B27"/>
    <w:rsid w:val="00334256"/>
    <w:rsid w:val="003355CA"/>
    <w:rsid w:val="0033664F"/>
    <w:rsid w:val="00336DE5"/>
    <w:rsid w:val="00341934"/>
    <w:rsid w:val="0034202D"/>
    <w:rsid w:val="003434E1"/>
    <w:rsid w:val="0034415B"/>
    <w:rsid w:val="0034470A"/>
    <w:rsid w:val="0034609D"/>
    <w:rsid w:val="00346E5F"/>
    <w:rsid w:val="003474A8"/>
    <w:rsid w:val="00351C0F"/>
    <w:rsid w:val="0035352D"/>
    <w:rsid w:val="0035391E"/>
    <w:rsid w:val="00357215"/>
    <w:rsid w:val="00357681"/>
    <w:rsid w:val="00357DE2"/>
    <w:rsid w:val="003606B0"/>
    <w:rsid w:val="00360937"/>
    <w:rsid w:val="00360CB4"/>
    <w:rsid w:val="003615AF"/>
    <w:rsid w:val="00361693"/>
    <w:rsid w:val="0036191A"/>
    <w:rsid w:val="00361BA0"/>
    <w:rsid w:val="0036241B"/>
    <w:rsid w:val="0036248E"/>
    <w:rsid w:val="00362D9F"/>
    <w:rsid w:val="0036323B"/>
    <w:rsid w:val="0036389C"/>
    <w:rsid w:val="003648D1"/>
    <w:rsid w:val="00364B7C"/>
    <w:rsid w:val="00365882"/>
    <w:rsid w:val="00366019"/>
    <w:rsid w:val="003665F7"/>
    <w:rsid w:val="00366F3B"/>
    <w:rsid w:val="00367ABD"/>
    <w:rsid w:val="00367BBB"/>
    <w:rsid w:val="00367DB0"/>
    <w:rsid w:val="003716AF"/>
    <w:rsid w:val="00371A44"/>
    <w:rsid w:val="00371AE8"/>
    <w:rsid w:val="00372342"/>
    <w:rsid w:val="00372A1B"/>
    <w:rsid w:val="00372B1D"/>
    <w:rsid w:val="0037343D"/>
    <w:rsid w:val="00373795"/>
    <w:rsid w:val="00374157"/>
    <w:rsid w:val="00374C19"/>
    <w:rsid w:val="00374E5E"/>
    <w:rsid w:val="00374E6D"/>
    <w:rsid w:val="00374F7A"/>
    <w:rsid w:val="003758FB"/>
    <w:rsid w:val="0037662D"/>
    <w:rsid w:val="00376978"/>
    <w:rsid w:val="003777E8"/>
    <w:rsid w:val="003809E8"/>
    <w:rsid w:val="003811CD"/>
    <w:rsid w:val="00381FAD"/>
    <w:rsid w:val="003820B1"/>
    <w:rsid w:val="00382B71"/>
    <w:rsid w:val="003834BC"/>
    <w:rsid w:val="00383BE2"/>
    <w:rsid w:val="00384044"/>
    <w:rsid w:val="003861FD"/>
    <w:rsid w:val="003867F1"/>
    <w:rsid w:val="00386A1C"/>
    <w:rsid w:val="00386FBF"/>
    <w:rsid w:val="00387175"/>
    <w:rsid w:val="00391056"/>
    <w:rsid w:val="00391439"/>
    <w:rsid w:val="0039175E"/>
    <w:rsid w:val="00391883"/>
    <w:rsid w:val="00391A79"/>
    <w:rsid w:val="00392BA3"/>
    <w:rsid w:val="00393813"/>
    <w:rsid w:val="00394CE4"/>
    <w:rsid w:val="00395946"/>
    <w:rsid w:val="0039632B"/>
    <w:rsid w:val="00396E1C"/>
    <w:rsid w:val="00397060"/>
    <w:rsid w:val="003A24ED"/>
    <w:rsid w:val="003A37DB"/>
    <w:rsid w:val="003A4AE5"/>
    <w:rsid w:val="003A5DFD"/>
    <w:rsid w:val="003A5F40"/>
    <w:rsid w:val="003A61EB"/>
    <w:rsid w:val="003A6620"/>
    <w:rsid w:val="003A6EF5"/>
    <w:rsid w:val="003B09B0"/>
    <w:rsid w:val="003B0A44"/>
    <w:rsid w:val="003B0BC1"/>
    <w:rsid w:val="003B12B3"/>
    <w:rsid w:val="003B1491"/>
    <w:rsid w:val="003B21DB"/>
    <w:rsid w:val="003B225E"/>
    <w:rsid w:val="003B2986"/>
    <w:rsid w:val="003B335C"/>
    <w:rsid w:val="003B40CD"/>
    <w:rsid w:val="003B40DF"/>
    <w:rsid w:val="003B443A"/>
    <w:rsid w:val="003B4459"/>
    <w:rsid w:val="003B462C"/>
    <w:rsid w:val="003B4D5F"/>
    <w:rsid w:val="003B554F"/>
    <w:rsid w:val="003B5E36"/>
    <w:rsid w:val="003B72FD"/>
    <w:rsid w:val="003B752D"/>
    <w:rsid w:val="003B798E"/>
    <w:rsid w:val="003C0538"/>
    <w:rsid w:val="003C0647"/>
    <w:rsid w:val="003C06D9"/>
    <w:rsid w:val="003C131A"/>
    <w:rsid w:val="003C1CA1"/>
    <w:rsid w:val="003C408B"/>
    <w:rsid w:val="003C5234"/>
    <w:rsid w:val="003C5502"/>
    <w:rsid w:val="003C617D"/>
    <w:rsid w:val="003C66E0"/>
    <w:rsid w:val="003C689D"/>
    <w:rsid w:val="003C6D47"/>
    <w:rsid w:val="003D1C56"/>
    <w:rsid w:val="003D45D6"/>
    <w:rsid w:val="003D4682"/>
    <w:rsid w:val="003D5418"/>
    <w:rsid w:val="003D6E0C"/>
    <w:rsid w:val="003D7EF9"/>
    <w:rsid w:val="003E188A"/>
    <w:rsid w:val="003E217A"/>
    <w:rsid w:val="003E23FF"/>
    <w:rsid w:val="003E24CB"/>
    <w:rsid w:val="003E29B9"/>
    <w:rsid w:val="003E2ADD"/>
    <w:rsid w:val="003E4F26"/>
    <w:rsid w:val="003E68C3"/>
    <w:rsid w:val="003E7517"/>
    <w:rsid w:val="003E7CD0"/>
    <w:rsid w:val="003F19E3"/>
    <w:rsid w:val="003F31FF"/>
    <w:rsid w:val="003F3681"/>
    <w:rsid w:val="003F48A9"/>
    <w:rsid w:val="003F5651"/>
    <w:rsid w:val="003F57B5"/>
    <w:rsid w:val="003F75C5"/>
    <w:rsid w:val="00400592"/>
    <w:rsid w:val="00400916"/>
    <w:rsid w:val="00401603"/>
    <w:rsid w:val="004018B5"/>
    <w:rsid w:val="00401D85"/>
    <w:rsid w:val="00401ECF"/>
    <w:rsid w:val="00402064"/>
    <w:rsid w:val="0040220A"/>
    <w:rsid w:val="0040224B"/>
    <w:rsid w:val="00404C73"/>
    <w:rsid w:val="004051AB"/>
    <w:rsid w:val="00405DE6"/>
    <w:rsid w:val="00405E83"/>
    <w:rsid w:val="00405F6F"/>
    <w:rsid w:val="00410094"/>
    <w:rsid w:val="004102FD"/>
    <w:rsid w:val="00410954"/>
    <w:rsid w:val="0041308C"/>
    <w:rsid w:val="00415D17"/>
    <w:rsid w:val="004161AF"/>
    <w:rsid w:val="00416299"/>
    <w:rsid w:val="00416790"/>
    <w:rsid w:val="004171F7"/>
    <w:rsid w:val="00417373"/>
    <w:rsid w:val="00417481"/>
    <w:rsid w:val="00417C97"/>
    <w:rsid w:val="00420560"/>
    <w:rsid w:val="00420890"/>
    <w:rsid w:val="0042092B"/>
    <w:rsid w:val="004214D8"/>
    <w:rsid w:val="00421662"/>
    <w:rsid w:val="00421AA7"/>
    <w:rsid w:val="00421B66"/>
    <w:rsid w:val="0042208C"/>
    <w:rsid w:val="00422554"/>
    <w:rsid w:val="00422747"/>
    <w:rsid w:val="004228BB"/>
    <w:rsid w:val="00424437"/>
    <w:rsid w:val="004245C4"/>
    <w:rsid w:val="00424BEB"/>
    <w:rsid w:val="00424EDD"/>
    <w:rsid w:val="00426789"/>
    <w:rsid w:val="00426ABE"/>
    <w:rsid w:val="00426F5A"/>
    <w:rsid w:val="004273C4"/>
    <w:rsid w:val="004276D0"/>
    <w:rsid w:val="00427972"/>
    <w:rsid w:val="00430598"/>
    <w:rsid w:val="00430FA9"/>
    <w:rsid w:val="00431D45"/>
    <w:rsid w:val="00431D92"/>
    <w:rsid w:val="00431DF5"/>
    <w:rsid w:val="00432A83"/>
    <w:rsid w:val="00432D3A"/>
    <w:rsid w:val="00435465"/>
    <w:rsid w:val="004356FB"/>
    <w:rsid w:val="00435721"/>
    <w:rsid w:val="00435E28"/>
    <w:rsid w:val="004361F3"/>
    <w:rsid w:val="00441883"/>
    <w:rsid w:val="00443300"/>
    <w:rsid w:val="00443382"/>
    <w:rsid w:val="004434B1"/>
    <w:rsid w:val="00443658"/>
    <w:rsid w:val="00443A42"/>
    <w:rsid w:val="004441FB"/>
    <w:rsid w:val="00446006"/>
    <w:rsid w:val="0044757A"/>
    <w:rsid w:val="004504C5"/>
    <w:rsid w:val="00450576"/>
    <w:rsid w:val="00450DC5"/>
    <w:rsid w:val="00451782"/>
    <w:rsid w:val="00451B84"/>
    <w:rsid w:val="00452317"/>
    <w:rsid w:val="004541C3"/>
    <w:rsid w:val="00454D8A"/>
    <w:rsid w:val="004555A8"/>
    <w:rsid w:val="00455689"/>
    <w:rsid w:val="0045573A"/>
    <w:rsid w:val="0045745C"/>
    <w:rsid w:val="004605ED"/>
    <w:rsid w:val="004617AE"/>
    <w:rsid w:val="00461999"/>
    <w:rsid w:val="00462652"/>
    <w:rsid w:val="00462878"/>
    <w:rsid w:val="004642C0"/>
    <w:rsid w:val="00464F00"/>
    <w:rsid w:val="00465836"/>
    <w:rsid w:val="00467C0A"/>
    <w:rsid w:val="004705A2"/>
    <w:rsid w:val="00470A4F"/>
    <w:rsid w:val="00470BB5"/>
    <w:rsid w:val="00471842"/>
    <w:rsid w:val="00472806"/>
    <w:rsid w:val="0047547E"/>
    <w:rsid w:val="00475E50"/>
    <w:rsid w:val="004760B0"/>
    <w:rsid w:val="00476C67"/>
    <w:rsid w:val="00476D3F"/>
    <w:rsid w:val="004772B2"/>
    <w:rsid w:val="00477819"/>
    <w:rsid w:val="0048091F"/>
    <w:rsid w:val="00480B58"/>
    <w:rsid w:val="00482404"/>
    <w:rsid w:val="004847A1"/>
    <w:rsid w:val="00485233"/>
    <w:rsid w:val="0048545A"/>
    <w:rsid w:val="00485658"/>
    <w:rsid w:val="00485AD5"/>
    <w:rsid w:val="00486891"/>
    <w:rsid w:val="00486DE4"/>
    <w:rsid w:val="00487459"/>
    <w:rsid w:val="00492194"/>
    <w:rsid w:val="004921F6"/>
    <w:rsid w:val="00494B6C"/>
    <w:rsid w:val="00494DE4"/>
    <w:rsid w:val="004950B9"/>
    <w:rsid w:val="0049544E"/>
    <w:rsid w:val="004959CE"/>
    <w:rsid w:val="00497710"/>
    <w:rsid w:val="0049796C"/>
    <w:rsid w:val="00497C98"/>
    <w:rsid w:val="004A10EC"/>
    <w:rsid w:val="004A1F05"/>
    <w:rsid w:val="004A20EF"/>
    <w:rsid w:val="004A25BB"/>
    <w:rsid w:val="004A2FEC"/>
    <w:rsid w:val="004A3CD6"/>
    <w:rsid w:val="004A4BE5"/>
    <w:rsid w:val="004A4F51"/>
    <w:rsid w:val="004A5D79"/>
    <w:rsid w:val="004A6AF1"/>
    <w:rsid w:val="004A7B15"/>
    <w:rsid w:val="004B015A"/>
    <w:rsid w:val="004B0CF0"/>
    <w:rsid w:val="004B44A0"/>
    <w:rsid w:val="004B5EB8"/>
    <w:rsid w:val="004B706A"/>
    <w:rsid w:val="004C0477"/>
    <w:rsid w:val="004C157E"/>
    <w:rsid w:val="004C24E9"/>
    <w:rsid w:val="004C2D51"/>
    <w:rsid w:val="004C41A5"/>
    <w:rsid w:val="004C454E"/>
    <w:rsid w:val="004C45C4"/>
    <w:rsid w:val="004C55E4"/>
    <w:rsid w:val="004C59FF"/>
    <w:rsid w:val="004C69D8"/>
    <w:rsid w:val="004C6C4D"/>
    <w:rsid w:val="004C79AD"/>
    <w:rsid w:val="004C7BCE"/>
    <w:rsid w:val="004C7D71"/>
    <w:rsid w:val="004D09DD"/>
    <w:rsid w:val="004D1EB4"/>
    <w:rsid w:val="004D1F92"/>
    <w:rsid w:val="004D1FD2"/>
    <w:rsid w:val="004D22CB"/>
    <w:rsid w:val="004D3C93"/>
    <w:rsid w:val="004D532F"/>
    <w:rsid w:val="004D5D92"/>
    <w:rsid w:val="004D6D71"/>
    <w:rsid w:val="004D7F55"/>
    <w:rsid w:val="004E001D"/>
    <w:rsid w:val="004E03AE"/>
    <w:rsid w:val="004E06A7"/>
    <w:rsid w:val="004E07FE"/>
    <w:rsid w:val="004E0ECE"/>
    <w:rsid w:val="004E123A"/>
    <w:rsid w:val="004E2645"/>
    <w:rsid w:val="004E4118"/>
    <w:rsid w:val="004E41C1"/>
    <w:rsid w:val="004E4BF1"/>
    <w:rsid w:val="004E5FCA"/>
    <w:rsid w:val="004E7AE5"/>
    <w:rsid w:val="004F0916"/>
    <w:rsid w:val="004F1E52"/>
    <w:rsid w:val="004F22A3"/>
    <w:rsid w:val="004F251C"/>
    <w:rsid w:val="004F2794"/>
    <w:rsid w:val="004F3969"/>
    <w:rsid w:val="004F3F9A"/>
    <w:rsid w:val="004F7883"/>
    <w:rsid w:val="00500187"/>
    <w:rsid w:val="00500F79"/>
    <w:rsid w:val="005023FC"/>
    <w:rsid w:val="00502565"/>
    <w:rsid w:val="00503815"/>
    <w:rsid w:val="00503E3B"/>
    <w:rsid w:val="00505A9A"/>
    <w:rsid w:val="00506746"/>
    <w:rsid w:val="00506B19"/>
    <w:rsid w:val="00507677"/>
    <w:rsid w:val="00510E54"/>
    <w:rsid w:val="0051147B"/>
    <w:rsid w:val="0051194A"/>
    <w:rsid w:val="00511B6F"/>
    <w:rsid w:val="00511DA8"/>
    <w:rsid w:val="00512C77"/>
    <w:rsid w:val="00513AB0"/>
    <w:rsid w:val="00513B91"/>
    <w:rsid w:val="00513BB6"/>
    <w:rsid w:val="005153D2"/>
    <w:rsid w:val="005176BE"/>
    <w:rsid w:val="00520462"/>
    <w:rsid w:val="005209A8"/>
    <w:rsid w:val="0052177E"/>
    <w:rsid w:val="00522D5D"/>
    <w:rsid w:val="005232B0"/>
    <w:rsid w:val="00524054"/>
    <w:rsid w:val="00524207"/>
    <w:rsid w:val="005257DF"/>
    <w:rsid w:val="0052588C"/>
    <w:rsid w:val="005270C4"/>
    <w:rsid w:val="005277A6"/>
    <w:rsid w:val="0053028A"/>
    <w:rsid w:val="00530D4A"/>
    <w:rsid w:val="0053143D"/>
    <w:rsid w:val="0053156F"/>
    <w:rsid w:val="0053187D"/>
    <w:rsid w:val="00531AF7"/>
    <w:rsid w:val="00531F3C"/>
    <w:rsid w:val="00533105"/>
    <w:rsid w:val="0053543D"/>
    <w:rsid w:val="005363E6"/>
    <w:rsid w:val="00536C1B"/>
    <w:rsid w:val="00536D26"/>
    <w:rsid w:val="005400A0"/>
    <w:rsid w:val="00540DDF"/>
    <w:rsid w:val="00541FC4"/>
    <w:rsid w:val="005426EA"/>
    <w:rsid w:val="00542857"/>
    <w:rsid w:val="00542B95"/>
    <w:rsid w:val="00543039"/>
    <w:rsid w:val="00543228"/>
    <w:rsid w:val="00544158"/>
    <w:rsid w:val="005442D0"/>
    <w:rsid w:val="00544EFB"/>
    <w:rsid w:val="00545AC3"/>
    <w:rsid w:val="00545C6B"/>
    <w:rsid w:val="005468A7"/>
    <w:rsid w:val="00546F86"/>
    <w:rsid w:val="0054792F"/>
    <w:rsid w:val="00550A82"/>
    <w:rsid w:val="005518F7"/>
    <w:rsid w:val="0055202A"/>
    <w:rsid w:val="005522FB"/>
    <w:rsid w:val="00553A85"/>
    <w:rsid w:val="00554136"/>
    <w:rsid w:val="00554C5F"/>
    <w:rsid w:val="00555225"/>
    <w:rsid w:val="00555817"/>
    <w:rsid w:val="005560CD"/>
    <w:rsid w:val="0055669C"/>
    <w:rsid w:val="00556FE5"/>
    <w:rsid w:val="00557E84"/>
    <w:rsid w:val="00560EA1"/>
    <w:rsid w:val="00562829"/>
    <w:rsid w:val="00562D30"/>
    <w:rsid w:val="0056356E"/>
    <w:rsid w:val="005638EB"/>
    <w:rsid w:val="00564E23"/>
    <w:rsid w:val="00564E34"/>
    <w:rsid w:val="00564E49"/>
    <w:rsid w:val="00565275"/>
    <w:rsid w:val="0056533A"/>
    <w:rsid w:val="00565A65"/>
    <w:rsid w:val="00565B5E"/>
    <w:rsid w:val="005662AF"/>
    <w:rsid w:val="00567506"/>
    <w:rsid w:val="00570C16"/>
    <w:rsid w:val="00571265"/>
    <w:rsid w:val="00571BBF"/>
    <w:rsid w:val="00571F89"/>
    <w:rsid w:val="005725FA"/>
    <w:rsid w:val="00572776"/>
    <w:rsid w:val="0057291F"/>
    <w:rsid w:val="00572F3C"/>
    <w:rsid w:val="00574721"/>
    <w:rsid w:val="005752AB"/>
    <w:rsid w:val="00577186"/>
    <w:rsid w:val="005800BD"/>
    <w:rsid w:val="00582312"/>
    <w:rsid w:val="005825B5"/>
    <w:rsid w:val="005827DA"/>
    <w:rsid w:val="00582A15"/>
    <w:rsid w:val="00583DF8"/>
    <w:rsid w:val="00584452"/>
    <w:rsid w:val="00584D98"/>
    <w:rsid w:val="0058533E"/>
    <w:rsid w:val="00586038"/>
    <w:rsid w:val="00586328"/>
    <w:rsid w:val="00587737"/>
    <w:rsid w:val="00590F18"/>
    <w:rsid w:val="00591827"/>
    <w:rsid w:val="00592DCD"/>
    <w:rsid w:val="005A0AC5"/>
    <w:rsid w:val="005A233D"/>
    <w:rsid w:val="005A2838"/>
    <w:rsid w:val="005A627E"/>
    <w:rsid w:val="005A66AF"/>
    <w:rsid w:val="005A788E"/>
    <w:rsid w:val="005A789E"/>
    <w:rsid w:val="005B22E8"/>
    <w:rsid w:val="005B4187"/>
    <w:rsid w:val="005B4809"/>
    <w:rsid w:val="005B5DE2"/>
    <w:rsid w:val="005B76E1"/>
    <w:rsid w:val="005B7DDD"/>
    <w:rsid w:val="005C2704"/>
    <w:rsid w:val="005C36F9"/>
    <w:rsid w:val="005C4AAF"/>
    <w:rsid w:val="005C5085"/>
    <w:rsid w:val="005C595B"/>
    <w:rsid w:val="005C674B"/>
    <w:rsid w:val="005C6C90"/>
    <w:rsid w:val="005C726C"/>
    <w:rsid w:val="005D023E"/>
    <w:rsid w:val="005D0EC3"/>
    <w:rsid w:val="005D1624"/>
    <w:rsid w:val="005D247A"/>
    <w:rsid w:val="005D43CD"/>
    <w:rsid w:val="005D53B6"/>
    <w:rsid w:val="005D5767"/>
    <w:rsid w:val="005D5C3A"/>
    <w:rsid w:val="005D7B9E"/>
    <w:rsid w:val="005E05AF"/>
    <w:rsid w:val="005E0A0B"/>
    <w:rsid w:val="005E0C95"/>
    <w:rsid w:val="005E1E09"/>
    <w:rsid w:val="005E1E45"/>
    <w:rsid w:val="005E2199"/>
    <w:rsid w:val="005E2920"/>
    <w:rsid w:val="005E2E1E"/>
    <w:rsid w:val="005E3CF1"/>
    <w:rsid w:val="005E3EF6"/>
    <w:rsid w:val="005E43F8"/>
    <w:rsid w:val="005E4C3B"/>
    <w:rsid w:val="005E53B6"/>
    <w:rsid w:val="005E5F96"/>
    <w:rsid w:val="005E69DD"/>
    <w:rsid w:val="005E7BFF"/>
    <w:rsid w:val="005F0159"/>
    <w:rsid w:val="005F0F54"/>
    <w:rsid w:val="005F1122"/>
    <w:rsid w:val="005F135B"/>
    <w:rsid w:val="005F2E0E"/>
    <w:rsid w:val="005F3A22"/>
    <w:rsid w:val="005F44BB"/>
    <w:rsid w:val="005F4981"/>
    <w:rsid w:val="005F4DFF"/>
    <w:rsid w:val="005F608D"/>
    <w:rsid w:val="005F7DAB"/>
    <w:rsid w:val="006003ED"/>
    <w:rsid w:val="00600D55"/>
    <w:rsid w:val="00601CDE"/>
    <w:rsid w:val="006021DB"/>
    <w:rsid w:val="00603AA6"/>
    <w:rsid w:val="00604F52"/>
    <w:rsid w:val="00606310"/>
    <w:rsid w:val="006067E2"/>
    <w:rsid w:val="00606F66"/>
    <w:rsid w:val="006072B5"/>
    <w:rsid w:val="00611064"/>
    <w:rsid w:val="006118D2"/>
    <w:rsid w:val="00611DA0"/>
    <w:rsid w:val="00613FEB"/>
    <w:rsid w:val="0061458E"/>
    <w:rsid w:val="0061599D"/>
    <w:rsid w:val="00615E9A"/>
    <w:rsid w:val="00617272"/>
    <w:rsid w:val="00617B9F"/>
    <w:rsid w:val="00617BA6"/>
    <w:rsid w:val="00617BC1"/>
    <w:rsid w:val="00617ED1"/>
    <w:rsid w:val="00620473"/>
    <w:rsid w:val="006207FB"/>
    <w:rsid w:val="006217AB"/>
    <w:rsid w:val="006217D4"/>
    <w:rsid w:val="00621880"/>
    <w:rsid w:val="00622BF7"/>
    <w:rsid w:val="0062357D"/>
    <w:rsid w:val="00623890"/>
    <w:rsid w:val="00623A94"/>
    <w:rsid w:val="006246E9"/>
    <w:rsid w:val="00627013"/>
    <w:rsid w:val="00627404"/>
    <w:rsid w:val="00627E9B"/>
    <w:rsid w:val="00630476"/>
    <w:rsid w:val="0063071E"/>
    <w:rsid w:val="00630CDB"/>
    <w:rsid w:val="00632434"/>
    <w:rsid w:val="00632BE0"/>
    <w:rsid w:val="006338E7"/>
    <w:rsid w:val="00635DE6"/>
    <w:rsid w:val="0063692C"/>
    <w:rsid w:val="0063736B"/>
    <w:rsid w:val="00637BD9"/>
    <w:rsid w:val="00637DCD"/>
    <w:rsid w:val="0064347F"/>
    <w:rsid w:val="006449C8"/>
    <w:rsid w:val="006451D9"/>
    <w:rsid w:val="0064550E"/>
    <w:rsid w:val="00646221"/>
    <w:rsid w:val="00646621"/>
    <w:rsid w:val="00646674"/>
    <w:rsid w:val="0064680C"/>
    <w:rsid w:val="00646CF2"/>
    <w:rsid w:val="0064711D"/>
    <w:rsid w:val="00647558"/>
    <w:rsid w:val="00650C56"/>
    <w:rsid w:val="00650F05"/>
    <w:rsid w:val="00651C09"/>
    <w:rsid w:val="006524B0"/>
    <w:rsid w:val="00652961"/>
    <w:rsid w:val="006535A7"/>
    <w:rsid w:val="00653B59"/>
    <w:rsid w:val="00654148"/>
    <w:rsid w:val="00654B05"/>
    <w:rsid w:val="00654BAC"/>
    <w:rsid w:val="0065532D"/>
    <w:rsid w:val="0065601E"/>
    <w:rsid w:val="00656551"/>
    <w:rsid w:val="00661203"/>
    <w:rsid w:val="0066358C"/>
    <w:rsid w:val="0066380A"/>
    <w:rsid w:val="00663F0A"/>
    <w:rsid w:val="006644C9"/>
    <w:rsid w:val="00664572"/>
    <w:rsid w:val="006658A3"/>
    <w:rsid w:val="00665EF5"/>
    <w:rsid w:val="0066637A"/>
    <w:rsid w:val="0066652D"/>
    <w:rsid w:val="006669FD"/>
    <w:rsid w:val="00666D7B"/>
    <w:rsid w:val="006673AD"/>
    <w:rsid w:val="00667C0E"/>
    <w:rsid w:val="0067034F"/>
    <w:rsid w:val="00670486"/>
    <w:rsid w:val="00671EAA"/>
    <w:rsid w:val="00675006"/>
    <w:rsid w:val="00675CCE"/>
    <w:rsid w:val="006774EE"/>
    <w:rsid w:val="00677F4E"/>
    <w:rsid w:val="00680F59"/>
    <w:rsid w:val="00682353"/>
    <w:rsid w:val="00683360"/>
    <w:rsid w:val="006835B1"/>
    <w:rsid w:val="006836A3"/>
    <w:rsid w:val="00684118"/>
    <w:rsid w:val="00684204"/>
    <w:rsid w:val="00684C66"/>
    <w:rsid w:val="0068597F"/>
    <w:rsid w:val="0068615E"/>
    <w:rsid w:val="00686AA4"/>
    <w:rsid w:val="00687839"/>
    <w:rsid w:val="00690312"/>
    <w:rsid w:val="00690536"/>
    <w:rsid w:val="00691346"/>
    <w:rsid w:val="00691889"/>
    <w:rsid w:val="00691904"/>
    <w:rsid w:val="006923D3"/>
    <w:rsid w:val="00693A9B"/>
    <w:rsid w:val="00693B52"/>
    <w:rsid w:val="00693ECA"/>
    <w:rsid w:val="00693FDF"/>
    <w:rsid w:val="0069437E"/>
    <w:rsid w:val="00694391"/>
    <w:rsid w:val="006A0969"/>
    <w:rsid w:val="006A1293"/>
    <w:rsid w:val="006A18C9"/>
    <w:rsid w:val="006A1ADB"/>
    <w:rsid w:val="006A22F4"/>
    <w:rsid w:val="006A24F6"/>
    <w:rsid w:val="006A34B3"/>
    <w:rsid w:val="006A355B"/>
    <w:rsid w:val="006A3A68"/>
    <w:rsid w:val="006A3C7F"/>
    <w:rsid w:val="006A6320"/>
    <w:rsid w:val="006A762A"/>
    <w:rsid w:val="006A7F81"/>
    <w:rsid w:val="006B045E"/>
    <w:rsid w:val="006B0AA7"/>
    <w:rsid w:val="006B106C"/>
    <w:rsid w:val="006B1B15"/>
    <w:rsid w:val="006B2A74"/>
    <w:rsid w:val="006B3416"/>
    <w:rsid w:val="006B3A66"/>
    <w:rsid w:val="006B3C92"/>
    <w:rsid w:val="006B4225"/>
    <w:rsid w:val="006B4F5E"/>
    <w:rsid w:val="006B7DFA"/>
    <w:rsid w:val="006C032B"/>
    <w:rsid w:val="006C087C"/>
    <w:rsid w:val="006C0AA5"/>
    <w:rsid w:val="006C0BC1"/>
    <w:rsid w:val="006C0DCB"/>
    <w:rsid w:val="006C2524"/>
    <w:rsid w:val="006C364E"/>
    <w:rsid w:val="006C3688"/>
    <w:rsid w:val="006C5492"/>
    <w:rsid w:val="006C7C3F"/>
    <w:rsid w:val="006D176B"/>
    <w:rsid w:val="006D1F31"/>
    <w:rsid w:val="006D260C"/>
    <w:rsid w:val="006D2DA5"/>
    <w:rsid w:val="006D30E5"/>
    <w:rsid w:val="006D330E"/>
    <w:rsid w:val="006D407E"/>
    <w:rsid w:val="006D46FF"/>
    <w:rsid w:val="006D56BF"/>
    <w:rsid w:val="006D5F09"/>
    <w:rsid w:val="006D6085"/>
    <w:rsid w:val="006D6515"/>
    <w:rsid w:val="006D6B9F"/>
    <w:rsid w:val="006D6BB6"/>
    <w:rsid w:val="006D7927"/>
    <w:rsid w:val="006E044B"/>
    <w:rsid w:val="006E0CF3"/>
    <w:rsid w:val="006E0F38"/>
    <w:rsid w:val="006E14CC"/>
    <w:rsid w:val="006E234F"/>
    <w:rsid w:val="006E3C27"/>
    <w:rsid w:val="006E51F2"/>
    <w:rsid w:val="006E55D8"/>
    <w:rsid w:val="006E5F9C"/>
    <w:rsid w:val="006E7D01"/>
    <w:rsid w:val="006F0AD1"/>
    <w:rsid w:val="006F1789"/>
    <w:rsid w:val="006F1826"/>
    <w:rsid w:val="006F1BB8"/>
    <w:rsid w:val="006F2D8F"/>
    <w:rsid w:val="006F3B0C"/>
    <w:rsid w:val="006F49EA"/>
    <w:rsid w:val="006F4CF1"/>
    <w:rsid w:val="006F62DE"/>
    <w:rsid w:val="006F6B2C"/>
    <w:rsid w:val="006F70B6"/>
    <w:rsid w:val="006F7F35"/>
    <w:rsid w:val="007003B9"/>
    <w:rsid w:val="007005AE"/>
    <w:rsid w:val="0070148A"/>
    <w:rsid w:val="0070294B"/>
    <w:rsid w:val="00702CF1"/>
    <w:rsid w:val="00704EDB"/>
    <w:rsid w:val="007057B5"/>
    <w:rsid w:val="0070615D"/>
    <w:rsid w:val="007074A3"/>
    <w:rsid w:val="00710537"/>
    <w:rsid w:val="00712FC5"/>
    <w:rsid w:val="007140AB"/>
    <w:rsid w:val="00714591"/>
    <w:rsid w:val="007151CC"/>
    <w:rsid w:val="0071593B"/>
    <w:rsid w:val="00716465"/>
    <w:rsid w:val="00717385"/>
    <w:rsid w:val="0072012E"/>
    <w:rsid w:val="00721135"/>
    <w:rsid w:val="0072120E"/>
    <w:rsid w:val="00721359"/>
    <w:rsid w:val="00721E73"/>
    <w:rsid w:val="007226EC"/>
    <w:rsid w:val="00723CA0"/>
    <w:rsid w:val="0072423C"/>
    <w:rsid w:val="00724617"/>
    <w:rsid w:val="00724D5F"/>
    <w:rsid w:val="00725259"/>
    <w:rsid w:val="007258BA"/>
    <w:rsid w:val="0072691A"/>
    <w:rsid w:val="00726B0A"/>
    <w:rsid w:val="00727994"/>
    <w:rsid w:val="00727AC2"/>
    <w:rsid w:val="00730CB8"/>
    <w:rsid w:val="00732052"/>
    <w:rsid w:val="00732222"/>
    <w:rsid w:val="00732542"/>
    <w:rsid w:val="00733A8E"/>
    <w:rsid w:val="00733EEC"/>
    <w:rsid w:val="0073401C"/>
    <w:rsid w:val="0073414D"/>
    <w:rsid w:val="00735E92"/>
    <w:rsid w:val="00736D35"/>
    <w:rsid w:val="0073719D"/>
    <w:rsid w:val="0073785C"/>
    <w:rsid w:val="0074088C"/>
    <w:rsid w:val="007410DB"/>
    <w:rsid w:val="0074421E"/>
    <w:rsid w:val="00744D35"/>
    <w:rsid w:val="007455A3"/>
    <w:rsid w:val="0074578A"/>
    <w:rsid w:val="0074593D"/>
    <w:rsid w:val="007464A4"/>
    <w:rsid w:val="00751568"/>
    <w:rsid w:val="00752028"/>
    <w:rsid w:val="00752BC7"/>
    <w:rsid w:val="0075315C"/>
    <w:rsid w:val="00753504"/>
    <w:rsid w:val="00753520"/>
    <w:rsid w:val="00754E6C"/>
    <w:rsid w:val="0075756F"/>
    <w:rsid w:val="00757BA9"/>
    <w:rsid w:val="0076004E"/>
    <w:rsid w:val="007601F4"/>
    <w:rsid w:val="00760F16"/>
    <w:rsid w:val="007613CA"/>
    <w:rsid w:val="00762101"/>
    <w:rsid w:val="007622D0"/>
    <w:rsid w:val="0076307D"/>
    <w:rsid w:val="00763494"/>
    <w:rsid w:val="007638CF"/>
    <w:rsid w:val="00764097"/>
    <w:rsid w:val="00764F74"/>
    <w:rsid w:val="00765088"/>
    <w:rsid w:val="0076513A"/>
    <w:rsid w:val="0076525D"/>
    <w:rsid w:val="007655AD"/>
    <w:rsid w:val="0076590D"/>
    <w:rsid w:val="00765EC0"/>
    <w:rsid w:val="007666EA"/>
    <w:rsid w:val="007702A3"/>
    <w:rsid w:val="00770521"/>
    <w:rsid w:val="007735B2"/>
    <w:rsid w:val="00773703"/>
    <w:rsid w:val="0077381E"/>
    <w:rsid w:val="00773EB8"/>
    <w:rsid w:val="007753B0"/>
    <w:rsid w:val="007755E6"/>
    <w:rsid w:val="007809F8"/>
    <w:rsid w:val="00782AE6"/>
    <w:rsid w:val="00783520"/>
    <w:rsid w:val="00783700"/>
    <w:rsid w:val="00785B18"/>
    <w:rsid w:val="007869B1"/>
    <w:rsid w:val="00790046"/>
    <w:rsid w:val="0079228D"/>
    <w:rsid w:val="00793BA8"/>
    <w:rsid w:val="007947BB"/>
    <w:rsid w:val="007954CF"/>
    <w:rsid w:val="00795660"/>
    <w:rsid w:val="00796CBF"/>
    <w:rsid w:val="007A06EA"/>
    <w:rsid w:val="007A1646"/>
    <w:rsid w:val="007A1785"/>
    <w:rsid w:val="007A1A2B"/>
    <w:rsid w:val="007A225D"/>
    <w:rsid w:val="007A2853"/>
    <w:rsid w:val="007A2B77"/>
    <w:rsid w:val="007A39AF"/>
    <w:rsid w:val="007A60CC"/>
    <w:rsid w:val="007A6997"/>
    <w:rsid w:val="007A6A2A"/>
    <w:rsid w:val="007A6AF8"/>
    <w:rsid w:val="007A6B68"/>
    <w:rsid w:val="007A6E78"/>
    <w:rsid w:val="007A7CAC"/>
    <w:rsid w:val="007B01BB"/>
    <w:rsid w:val="007B0264"/>
    <w:rsid w:val="007B0363"/>
    <w:rsid w:val="007B05C3"/>
    <w:rsid w:val="007B16CD"/>
    <w:rsid w:val="007B206F"/>
    <w:rsid w:val="007B2648"/>
    <w:rsid w:val="007B3165"/>
    <w:rsid w:val="007B3CEC"/>
    <w:rsid w:val="007B496C"/>
    <w:rsid w:val="007B512C"/>
    <w:rsid w:val="007B57A1"/>
    <w:rsid w:val="007B7469"/>
    <w:rsid w:val="007C0506"/>
    <w:rsid w:val="007C0B5A"/>
    <w:rsid w:val="007C1818"/>
    <w:rsid w:val="007C4C79"/>
    <w:rsid w:val="007C6AB0"/>
    <w:rsid w:val="007D0103"/>
    <w:rsid w:val="007D0106"/>
    <w:rsid w:val="007D072F"/>
    <w:rsid w:val="007D0923"/>
    <w:rsid w:val="007D0E16"/>
    <w:rsid w:val="007D180E"/>
    <w:rsid w:val="007D1E30"/>
    <w:rsid w:val="007D234F"/>
    <w:rsid w:val="007D25B2"/>
    <w:rsid w:val="007D2761"/>
    <w:rsid w:val="007D37ED"/>
    <w:rsid w:val="007D4062"/>
    <w:rsid w:val="007D4544"/>
    <w:rsid w:val="007D6DB7"/>
    <w:rsid w:val="007D711F"/>
    <w:rsid w:val="007D739E"/>
    <w:rsid w:val="007E0296"/>
    <w:rsid w:val="007E0BA6"/>
    <w:rsid w:val="007E0EBF"/>
    <w:rsid w:val="007E1144"/>
    <w:rsid w:val="007E11C0"/>
    <w:rsid w:val="007E1F9F"/>
    <w:rsid w:val="007E290E"/>
    <w:rsid w:val="007E3463"/>
    <w:rsid w:val="007E3789"/>
    <w:rsid w:val="007E433F"/>
    <w:rsid w:val="007E4FAF"/>
    <w:rsid w:val="007E4FEE"/>
    <w:rsid w:val="007E6E47"/>
    <w:rsid w:val="007E7F37"/>
    <w:rsid w:val="007E7FDD"/>
    <w:rsid w:val="007F1580"/>
    <w:rsid w:val="007F24C3"/>
    <w:rsid w:val="007F4467"/>
    <w:rsid w:val="007F4819"/>
    <w:rsid w:val="007F5285"/>
    <w:rsid w:val="007F57D3"/>
    <w:rsid w:val="007F7740"/>
    <w:rsid w:val="007F7B7F"/>
    <w:rsid w:val="007F7F96"/>
    <w:rsid w:val="008009EE"/>
    <w:rsid w:val="00800BE5"/>
    <w:rsid w:val="00800DEB"/>
    <w:rsid w:val="00801322"/>
    <w:rsid w:val="0080242A"/>
    <w:rsid w:val="008026B1"/>
    <w:rsid w:val="00802BB2"/>
    <w:rsid w:val="00802CD2"/>
    <w:rsid w:val="008034C5"/>
    <w:rsid w:val="00803857"/>
    <w:rsid w:val="00803E22"/>
    <w:rsid w:val="00804FBE"/>
    <w:rsid w:val="00805253"/>
    <w:rsid w:val="008076A5"/>
    <w:rsid w:val="00807F56"/>
    <w:rsid w:val="0081008E"/>
    <w:rsid w:val="00810827"/>
    <w:rsid w:val="008121F0"/>
    <w:rsid w:val="008135D8"/>
    <w:rsid w:val="008137D9"/>
    <w:rsid w:val="008147B6"/>
    <w:rsid w:val="00816BDF"/>
    <w:rsid w:val="00816BF9"/>
    <w:rsid w:val="00816CF6"/>
    <w:rsid w:val="0081706C"/>
    <w:rsid w:val="00822195"/>
    <w:rsid w:val="00822A24"/>
    <w:rsid w:val="00822F62"/>
    <w:rsid w:val="0082355D"/>
    <w:rsid w:val="008236C2"/>
    <w:rsid w:val="00823BBA"/>
    <w:rsid w:val="008253EE"/>
    <w:rsid w:val="008259F3"/>
    <w:rsid w:val="00825EEF"/>
    <w:rsid w:val="00826C64"/>
    <w:rsid w:val="00827663"/>
    <w:rsid w:val="008279A6"/>
    <w:rsid w:val="008359B1"/>
    <w:rsid w:val="00836B5B"/>
    <w:rsid w:val="00840385"/>
    <w:rsid w:val="00840E6D"/>
    <w:rsid w:val="00841632"/>
    <w:rsid w:val="008420B9"/>
    <w:rsid w:val="008424B3"/>
    <w:rsid w:val="00842C17"/>
    <w:rsid w:val="00843319"/>
    <w:rsid w:val="00845C97"/>
    <w:rsid w:val="00846DE9"/>
    <w:rsid w:val="00852146"/>
    <w:rsid w:val="008521EB"/>
    <w:rsid w:val="00853CAA"/>
    <w:rsid w:val="00854ECC"/>
    <w:rsid w:val="008551E9"/>
    <w:rsid w:val="00856155"/>
    <w:rsid w:val="00856563"/>
    <w:rsid w:val="00857148"/>
    <w:rsid w:val="00857685"/>
    <w:rsid w:val="008602E7"/>
    <w:rsid w:val="00860D12"/>
    <w:rsid w:val="008612A0"/>
    <w:rsid w:val="00861504"/>
    <w:rsid w:val="00861B5B"/>
    <w:rsid w:val="00861FE8"/>
    <w:rsid w:val="00862E64"/>
    <w:rsid w:val="0086432E"/>
    <w:rsid w:val="00865F28"/>
    <w:rsid w:val="008720F5"/>
    <w:rsid w:val="0087275E"/>
    <w:rsid w:val="00873A07"/>
    <w:rsid w:val="0087546C"/>
    <w:rsid w:val="00875A3A"/>
    <w:rsid w:val="00876015"/>
    <w:rsid w:val="00876E48"/>
    <w:rsid w:val="008822DE"/>
    <w:rsid w:val="0088261B"/>
    <w:rsid w:val="0088275E"/>
    <w:rsid w:val="00882EAA"/>
    <w:rsid w:val="0088314C"/>
    <w:rsid w:val="00883184"/>
    <w:rsid w:val="00884E74"/>
    <w:rsid w:val="00886034"/>
    <w:rsid w:val="00886674"/>
    <w:rsid w:val="008869C8"/>
    <w:rsid w:val="008903B5"/>
    <w:rsid w:val="00890A2A"/>
    <w:rsid w:val="00891162"/>
    <w:rsid w:val="0089123A"/>
    <w:rsid w:val="008918FA"/>
    <w:rsid w:val="00893AC4"/>
    <w:rsid w:val="00894062"/>
    <w:rsid w:val="00894C43"/>
    <w:rsid w:val="00894E06"/>
    <w:rsid w:val="0089558D"/>
    <w:rsid w:val="00895B26"/>
    <w:rsid w:val="00896208"/>
    <w:rsid w:val="0089626E"/>
    <w:rsid w:val="008962D4"/>
    <w:rsid w:val="008A116E"/>
    <w:rsid w:val="008A1C70"/>
    <w:rsid w:val="008A2334"/>
    <w:rsid w:val="008A2856"/>
    <w:rsid w:val="008A2F25"/>
    <w:rsid w:val="008A3846"/>
    <w:rsid w:val="008A42AE"/>
    <w:rsid w:val="008A4AF7"/>
    <w:rsid w:val="008A5621"/>
    <w:rsid w:val="008A6A67"/>
    <w:rsid w:val="008A7743"/>
    <w:rsid w:val="008A7855"/>
    <w:rsid w:val="008B0495"/>
    <w:rsid w:val="008B07DA"/>
    <w:rsid w:val="008B0F81"/>
    <w:rsid w:val="008B288E"/>
    <w:rsid w:val="008B3AD0"/>
    <w:rsid w:val="008B4A7F"/>
    <w:rsid w:val="008B6C96"/>
    <w:rsid w:val="008B77F6"/>
    <w:rsid w:val="008C0372"/>
    <w:rsid w:val="008C0475"/>
    <w:rsid w:val="008C0DDF"/>
    <w:rsid w:val="008C4683"/>
    <w:rsid w:val="008C49AE"/>
    <w:rsid w:val="008C4BBA"/>
    <w:rsid w:val="008C52FB"/>
    <w:rsid w:val="008C538F"/>
    <w:rsid w:val="008C55F3"/>
    <w:rsid w:val="008C59A8"/>
    <w:rsid w:val="008C64D6"/>
    <w:rsid w:val="008C6F4A"/>
    <w:rsid w:val="008C76B9"/>
    <w:rsid w:val="008D1BCE"/>
    <w:rsid w:val="008D1DD7"/>
    <w:rsid w:val="008D2667"/>
    <w:rsid w:val="008D2C7B"/>
    <w:rsid w:val="008D2C86"/>
    <w:rsid w:val="008D3124"/>
    <w:rsid w:val="008D4F67"/>
    <w:rsid w:val="008D5354"/>
    <w:rsid w:val="008D5510"/>
    <w:rsid w:val="008D5767"/>
    <w:rsid w:val="008D6311"/>
    <w:rsid w:val="008D72C3"/>
    <w:rsid w:val="008D776B"/>
    <w:rsid w:val="008E096E"/>
    <w:rsid w:val="008E0DF8"/>
    <w:rsid w:val="008E0EFA"/>
    <w:rsid w:val="008E0F8B"/>
    <w:rsid w:val="008E13DE"/>
    <w:rsid w:val="008E1E8F"/>
    <w:rsid w:val="008E2B8A"/>
    <w:rsid w:val="008E3821"/>
    <w:rsid w:val="008E3B13"/>
    <w:rsid w:val="008E4F00"/>
    <w:rsid w:val="008E51E7"/>
    <w:rsid w:val="008E5AF2"/>
    <w:rsid w:val="008E6034"/>
    <w:rsid w:val="008F07D3"/>
    <w:rsid w:val="008F0B03"/>
    <w:rsid w:val="008F1649"/>
    <w:rsid w:val="008F1A08"/>
    <w:rsid w:val="008F2FD2"/>
    <w:rsid w:val="008F36C0"/>
    <w:rsid w:val="008F4364"/>
    <w:rsid w:val="008F4833"/>
    <w:rsid w:val="008F63A1"/>
    <w:rsid w:val="008F6980"/>
    <w:rsid w:val="008F7253"/>
    <w:rsid w:val="008F791B"/>
    <w:rsid w:val="008F7B72"/>
    <w:rsid w:val="009001D1"/>
    <w:rsid w:val="00900F33"/>
    <w:rsid w:val="00901C36"/>
    <w:rsid w:val="00902BBC"/>
    <w:rsid w:val="00903C3A"/>
    <w:rsid w:val="00904929"/>
    <w:rsid w:val="00904FA5"/>
    <w:rsid w:val="009055A9"/>
    <w:rsid w:val="00906DA5"/>
    <w:rsid w:val="00907287"/>
    <w:rsid w:val="0091099A"/>
    <w:rsid w:val="00913CC7"/>
    <w:rsid w:val="00913E62"/>
    <w:rsid w:val="00914614"/>
    <w:rsid w:val="00914661"/>
    <w:rsid w:val="00914B02"/>
    <w:rsid w:val="009163D5"/>
    <w:rsid w:val="009163EA"/>
    <w:rsid w:val="00916D2F"/>
    <w:rsid w:val="00917EF0"/>
    <w:rsid w:val="00920148"/>
    <w:rsid w:val="00921AEE"/>
    <w:rsid w:val="00922DBD"/>
    <w:rsid w:val="00922E2D"/>
    <w:rsid w:val="00922E91"/>
    <w:rsid w:val="009236FA"/>
    <w:rsid w:val="00923751"/>
    <w:rsid w:val="009243F7"/>
    <w:rsid w:val="00924B74"/>
    <w:rsid w:val="009251DF"/>
    <w:rsid w:val="00925B53"/>
    <w:rsid w:val="00925D02"/>
    <w:rsid w:val="009261FE"/>
    <w:rsid w:val="00930850"/>
    <w:rsid w:val="00931C71"/>
    <w:rsid w:val="00932235"/>
    <w:rsid w:val="009330EB"/>
    <w:rsid w:val="0093356A"/>
    <w:rsid w:val="009344F5"/>
    <w:rsid w:val="0093580B"/>
    <w:rsid w:val="00935C10"/>
    <w:rsid w:val="00936A55"/>
    <w:rsid w:val="00936DD7"/>
    <w:rsid w:val="00941361"/>
    <w:rsid w:val="0094181A"/>
    <w:rsid w:val="009419F6"/>
    <w:rsid w:val="00941DDA"/>
    <w:rsid w:val="009424D3"/>
    <w:rsid w:val="00942544"/>
    <w:rsid w:val="00942547"/>
    <w:rsid w:val="00943225"/>
    <w:rsid w:val="00943D3A"/>
    <w:rsid w:val="00946185"/>
    <w:rsid w:val="009463D1"/>
    <w:rsid w:val="00946C22"/>
    <w:rsid w:val="00946EF7"/>
    <w:rsid w:val="00947219"/>
    <w:rsid w:val="009475C8"/>
    <w:rsid w:val="00951A98"/>
    <w:rsid w:val="00951BDC"/>
    <w:rsid w:val="00951D36"/>
    <w:rsid w:val="0095287E"/>
    <w:rsid w:val="00952D29"/>
    <w:rsid w:val="00953289"/>
    <w:rsid w:val="00954132"/>
    <w:rsid w:val="009548FF"/>
    <w:rsid w:val="00955955"/>
    <w:rsid w:val="00955EEF"/>
    <w:rsid w:val="009562D8"/>
    <w:rsid w:val="00956650"/>
    <w:rsid w:val="00957056"/>
    <w:rsid w:val="009603BE"/>
    <w:rsid w:val="009610AC"/>
    <w:rsid w:val="0096172F"/>
    <w:rsid w:val="00961E23"/>
    <w:rsid w:val="00962008"/>
    <w:rsid w:val="009625F7"/>
    <w:rsid w:val="009626DA"/>
    <w:rsid w:val="00963FAF"/>
    <w:rsid w:val="00964D75"/>
    <w:rsid w:val="009667F5"/>
    <w:rsid w:val="00967C53"/>
    <w:rsid w:val="0097016E"/>
    <w:rsid w:val="009705AF"/>
    <w:rsid w:val="00970A95"/>
    <w:rsid w:val="00970EFA"/>
    <w:rsid w:val="009711F6"/>
    <w:rsid w:val="00973A83"/>
    <w:rsid w:val="00975AB6"/>
    <w:rsid w:val="009775BE"/>
    <w:rsid w:val="00980B76"/>
    <w:rsid w:val="0098257D"/>
    <w:rsid w:val="00982884"/>
    <w:rsid w:val="00983123"/>
    <w:rsid w:val="00984749"/>
    <w:rsid w:val="00984E72"/>
    <w:rsid w:val="00985C20"/>
    <w:rsid w:val="00987ACD"/>
    <w:rsid w:val="00990B3E"/>
    <w:rsid w:val="0099219F"/>
    <w:rsid w:val="009923A4"/>
    <w:rsid w:val="00992AB5"/>
    <w:rsid w:val="00992CFB"/>
    <w:rsid w:val="00993C04"/>
    <w:rsid w:val="00995B18"/>
    <w:rsid w:val="0099676A"/>
    <w:rsid w:val="00997074"/>
    <w:rsid w:val="00997726"/>
    <w:rsid w:val="00997F61"/>
    <w:rsid w:val="009A03CD"/>
    <w:rsid w:val="009A05E2"/>
    <w:rsid w:val="009A0DE7"/>
    <w:rsid w:val="009A1DCB"/>
    <w:rsid w:val="009A25AD"/>
    <w:rsid w:val="009A2804"/>
    <w:rsid w:val="009A2D06"/>
    <w:rsid w:val="009A2DCF"/>
    <w:rsid w:val="009A2F98"/>
    <w:rsid w:val="009A3199"/>
    <w:rsid w:val="009A40E4"/>
    <w:rsid w:val="009A4F42"/>
    <w:rsid w:val="009A5A6B"/>
    <w:rsid w:val="009B0296"/>
    <w:rsid w:val="009B03A8"/>
    <w:rsid w:val="009B0CFD"/>
    <w:rsid w:val="009B0F3D"/>
    <w:rsid w:val="009B18B3"/>
    <w:rsid w:val="009B1DB8"/>
    <w:rsid w:val="009B2B65"/>
    <w:rsid w:val="009B3182"/>
    <w:rsid w:val="009B4024"/>
    <w:rsid w:val="009B41BA"/>
    <w:rsid w:val="009B448E"/>
    <w:rsid w:val="009B4C6D"/>
    <w:rsid w:val="009B5F7B"/>
    <w:rsid w:val="009C023B"/>
    <w:rsid w:val="009C025F"/>
    <w:rsid w:val="009C18DB"/>
    <w:rsid w:val="009C1CEE"/>
    <w:rsid w:val="009C2A03"/>
    <w:rsid w:val="009C364A"/>
    <w:rsid w:val="009C44BF"/>
    <w:rsid w:val="009C48E1"/>
    <w:rsid w:val="009C567E"/>
    <w:rsid w:val="009C644C"/>
    <w:rsid w:val="009C683C"/>
    <w:rsid w:val="009D01ED"/>
    <w:rsid w:val="009D106A"/>
    <w:rsid w:val="009D148D"/>
    <w:rsid w:val="009D2084"/>
    <w:rsid w:val="009D246D"/>
    <w:rsid w:val="009D2639"/>
    <w:rsid w:val="009D300D"/>
    <w:rsid w:val="009D389B"/>
    <w:rsid w:val="009D481A"/>
    <w:rsid w:val="009D5E6C"/>
    <w:rsid w:val="009D5FC2"/>
    <w:rsid w:val="009D6139"/>
    <w:rsid w:val="009D65C6"/>
    <w:rsid w:val="009D713F"/>
    <w:rsid w:val="009E220D"/>
    <w:rsid w:val="009E3244"/>
    <w:rsid w:val="009E3496"/>
    <w:rsid w:val="009E480A"/>
    <w:rsid w:val="009E549D"/>
    <w:rsid w:val="009E5F27"/>
    <w:rsid w:val="009E60DB"/>
    <w:rsid w:val="009E60DD"/>
    <w:rsid w:val="009E774B"/>
    <w:rsid w:val="009F00C6"/>
    <w:rsid w:val="009F0BBE"/>
    <w:rsid w:val="009F0E0E"/>
    <w:rsid w:val="009F0F4F"/>
    <w:rsid w:val="009F1C8A"/>
    <w:rsid w:val="009F2109"/>
    <w:rsid w:val="009F2CAF"/>
    <w:rsid w:val="009F365C"/>
    <w:rsid w:val="009F3755"/>
    <w:rsid w:val="009F375B"/>
    <w:rsid w:val="009F3B29"/>
    <w:rsid w:val="009F3C09"/>
    <w:rsid w:val="009F3C6D"/>
    <w:rsid w:val="009F4711"/>
    <w:rsid w:val="009F4C67"/>
    <w:rsid w:val="009F503F"/>
    <w:rsid w:val="009F5199"/>
    <w:rsid w:val="009F5B29"/>
    <w:rsid w:val="009F606A"/>
    <w:rsid w:val="009F6FC6"/>
    <w:rsid w:val="009F7BDA"/>
    <w:rsid w:val="009F7BE7"/>
    <w:rsid w:val="00A007DD"/>
    <w:rsid w:val="00A00FDE"/>
    <w:rsid w:val="00A018C5"/>
    <w:rsid w:val="00A026D8"/>
    <w:rsid w:val="00A0341A"/>
    <w:rsid w:val="00A0361E"/>
    <w:rsid w:val="00A045A7"/>
    <w:rsid w:val="00A05CCC"/>
    <w:rsid w:val="00A06677"/>
    <w:rsid w:val="00A06BD0"/>
    <w:rsid w:val="00A072E7"/>
    <w:rsid w:val="00A077D4"/>
    <w:rsid w:val="00A10025"/>
    <w:rsid w:val="00A100E6"/>
    <w:rsid w:val="00A10435"/>
    <w:rsid w:val="00A104E5"/>
    <w:rsid w:val="00A104F4"/>
    <w:rsid w:val="00A10D98"/>
    <w:rsid w:val="00A1177A"/>
    <w:rsid w:val="00A11B21"/>
    <w:rsid w:val="00A12BE0"/>
    <w:rsid w:val="00A13526"/>
    <w:rsid w:val="00A13BBD"/>
    <w:rsid w:val="00A15387"/>
    <w:rsid w:val="00A15B0A"/>
    <w:rsid w:val="00A1648B"/>
    <w:rsid w:val="00A20CAE"/>
    <w:rsid w:val="00A213EA"/>
    <w:rsid w:val="00A223FF"/>
    <w:rsid w:val="00A234EC"/>
    <w:rsid w:val="00A23862"/>
    <w:rsid w:val="00A242F7"/>
    <w:rsid w:val="00A25BC4"/>
    <w:rsid w:val="00A26EFE"/>
    <w:rsid w:val="00A27718"/>
    <w:rsid w:val="00A2775B"/>
    <w:rsid w:val="00A30218"/>
    <w:rsid w:val="00A30A27"/>
    <w:rsid w:val="00A32100"/>
    <w:rsid w:val="00A326C7"/>
    <w:rsid w:val="00A3284E"/>
    <w:rsid w:val="00A33A2E"/>
    <w:rsid w:val="00A33D8A"/>
    <w:rsid w:val="00A3525E"/>
    <w:rsid w:val="00A35647"/>
    <w:rsid w:val="00A360CA"/>
    <w:rsid w:val="00A3765F"/>
    <w:rsid w:val="00A3786A"/>
    <w:rsid w:val="00A4075A"/>
    <w:rsid w:val="00A4082E"/>
    <w:rsid w:val="00A40A56"/>
    <w:rsid w:val="00A41E23"/>
    <w:rsid w:val="00A4251F"/>
    <w:rsid w:val="00A43959"/>
    <w:rsid w:val="00A449AE"/>
    <w:rsid w:val="00A45B32"/>
    <w:rsid w:val="00A45F4C"/>
    <w:rsid w:val="00A464D3"/>
    <w:rsid w:val="00A5001C"/>
    <w:rsid w:val="00A50E15"/>
    <w:rsid w:val="00A521CD"/>
    <w:rsid w:val="00A53564"/>
    <w:rsid w:val="00A5370B"/>
    <w:rsid w:val="00A53DA0"/>
    <w:rsid w:val="00A54749"/>
    <w:rsid w:val="00A550CD"/>
    <w:rsid w:val="00A553E4"/>
    <w:rsid w:val="00A55716"/>
    <w:rsid w:val="00A55F2A"/>
    <w:rsid w:val="00A56274"/>
    <w:rsid w:val="00A56F36"/>
    <w:rsid w:val="00A60CCC"/>
    <w:rsid w:val="00A60DC8"/>
    <w:rsid w:val="00A62311"/>
    <w:rsid w:val="00A62889"/>
    <w:rsid w:val="00A62A6A"/>
    <w:rsid w:val="00A62AA3"/>
    <w:rsid w:val="00A64A46"/>
    <w:rsid w:val="00A6590A"/>
    <w:rsid w:val="00A65B9A"/>
    <w:rsid w:val="00A661AF"/>
    <w:rsid w:val="00A6639D"/>
    <w:rsid w:val="00A67076"/>
    <w:rsid w:val="00A676B4"/>
    <w:rsid w:val="00A67819"/>
    <w:rsid w:val="00A70843"/>
    <w:rsid w:val="00A71214"/>
    <w:rsid w:val="00A719B0"/>
    <w:rsid w:val="00A72CF1"/>
    <w:rsid w:val="00A72E06"/>
    <w:rsid w:val="00A73004"/>
    <w:rsid w:val="00A73C6D"/>
    <w:rsid w:val="00A7441A"/>
    <w:rsid w:val="00A74FE1"/>
    <w:rsid w:val="00A75B4B"/>
    <w:rsid w:val="00A75D49"/>
    <w:rsid w:val="00A77D27"/>
    <w:rsid w:val="00A805B3"/>
    <w:rsid w:val="00A80734"/>
    <w:rsid w:val="00A81BEC"/>
    <w:rsid w:val="00A81DA3"/>
    <w:rsid w:val="00A82093"/>
    <w:rsid w:val="00A82F29"/>
    <w:rsid w:val="00A831FC"/>
    <w:rsid w:val="00A83551"/>
    <w:rsid w:val="00A83F68"/>
    <w:rsid w:val="00A85149"/>
    <w:rsid w:val="00A859F3"/>
    <w:rsid w:val="00A860E2"/>
    <w:rsid w:val="00A8664E"/>
    <w:rsid w:val="00A86CEC"/>
    <w:rsid w:val="00A86F36"/>
    <w:rsid w:val="00A873C6"/>
    <w:rsid w:val="00A90AC2"/>
    <w:rsid w:val="00A90B02"/>
    <w:rsid w:val="00A90F14"/>
    <w:rsid w:val="00A91686"/>
    <w:rsid w:val="00A9188F"/>
    <w:rsid w:val="00A92637"/>
    <w:rsid w:val="00A93192"/>
    <w:rsid w:val="00A93E48"/>
    <w:rsid w:val="00A93EF6"/>
    <w:rsid w:val="00A95297"/>
    <w:rsid w:val="00A953B7"/>
    <w:rsid w:val="00A954EE"/>
    <w:rsid w:val="00A9629D"/>
    <w:rsid w:val="00A96442"/>
    <w:rsid w:val="00A969E3"/>
    <w:rsid w:val="00AA0D56"/>
    <w:rsid w:val="00AA16D8"/>
    <w:rsid w:val="00AA1774"/>
    <w:rsid w:val="00AA3208"/>
    <w:rsid w:val="00AA35DF"/>
    <w:rsid w:val="00AA49C9"/>
    <w:rsid w:val="00AA5661"/>
    <w:rsid w:val="00AA646F"/>
    <w:rsid w:val="00AA7D4C"/>
    <w:rsid w:val="00AB07EA"/>
    <w:rsid w:val="00AB0ABF"/>
    <w:rsid w:val="00AB0DC7"/>
    <w:rsid w:val="00AB3086"/>
    <w:rsid w:val="00AB5912"/>
    <w:rsid w:val="00AB5C21"/>
    <w:rsid w:val="00AB7223"/>
    <w:rsid w:val="00AC0608"/>
    <w:rsid w:val="00AC0A64"/>
    <w:rsid w:val="00AC15B9"/>
    <w:rsid w:val="00AC1FCF"/>
    <w:rsid w:val="00AC253C"/>
    <w:rsid w:val="00AC2B96"/>
    <w:rsid w:val="00AC3345"/>
    <w:rsid w:val="00AC3BF1"/>
    <w:rsid w:val="00AC3DB7"/>
    <w:rsid w:val="00AC4BBB"/>
    <w:rsid w:val="00AC607D"/>
    <w:rsid w:val="00AC60D9"/>
    <w:rsid w:val="00AC6C7B"/>
    <w:rsid w:val="00AC771A"/>
    <w:rsid w:val="00AC7968"/>
    <w:rsid w:val="00AD2720"/>
    <w:rsid w:val="00AD324A"/>
    <w:rsid w:val="00AD58F3"/>
    <w:rsid w:val="00AD6201"/>
    <w:rsid w:val="00AD76CB"/>
    <w:rsid w:val="00AD78D9"/>
    <w:rsid w:val="00AD7E39"/>
    <w:rsid w:val="00AE133B"/>
    <w:rsid w:val="00AE342D"/>
    <w:rsid w:val="00AE3776"/>
    <w:rsid w:val="00AE46CA"/>
    <w:rsid w:val="00AE4969"/>
    <w:rsid w:val="00AE4E78"/>
    <w:rsid w:val="00AE5DEC"/>
    <w:rsid w:val="00AE682A"/>
    <w:rsid w:val="00AE7E5E"/>
    <w:rsid w:val="00AF0175"/>
    <w:rsid w:val="00AF1808"/>
    <w:rsid w:val="00AF1926"/>
    <w:rsid w:val="00AF1A35"/>
    <w:rsid w:val="00AF1C06"/>
    <w:rsid w:val="00AF2FF8"/>
    <w:rsid w:val="00AF37B4"/>
    <w:rsid w:val="00AF4F3A"/>
    <w:rsid w:val="00AF516F"/>
    <w:rsid w:val="00AF581A"/>
    <w:rsid w:val="00AF7D36"/>
    <w:rsid w:val="00B01E49"/>
    <w:rsid w:val="00B027BA"/>
    <w:rsid w:val="00B040A2"/>
    <w:rsid w:val="00B04B91"/>
    <w:rsid w:val="00B04E6F"/>
    <w:rsid w:val="00B053CF"/>
    <w:rsid w:val="00B065E1"/>
    <w:rsid w:val="00B1053D"/>
    <w:rsid w:val="00B12EFF"/>
    <w:rsid w:val="00B13A9D"/>
    <w:rsid w:val="00B13BFE"/>
    <w:rsid w:val="00B1405E"/>
    <w:rsid w:val="00B1438F"/>
    <w:rsid w:val="00B147F1"/>
    <w:rsid w:val="00B14CBA"/>
    <w:rsid w:val="00B14D37"/>
    <w:rsid w:val="00B160FC"/>
    <w:rsid w:val="00B16928"/>
    <w:rsid w:val="00B16A92"/>
    <w:rsid w:val="00B17938"/>
    <w:rsid w:val="00B2011D"/>
    <w:rsid w:val="00B20608"/>
    <w:rsid w:val="00B20A3A"/>
    <w:rsid w:val="00B21BFF"/>
    <w:rsid w:val="00B23250"/>
    <w:rsid w:val="00B241ED"/>
    <w:rsid w:val="00B24DE6"/>
    <w:rsid w:val="00B257B3"/>
    <w:rsid w:val="00B30027"/>
    <w:rsid w:val="00B30652"/>
    <w:rsid w:val="00B31671"/>
    <w:rsid w:val="00B321AC"/>
    <w:rsid w:val="00B3250A"/>
    <w:rsid w:val="00B3311B"/>
    <w:rsid w:val="00B336FC"/>
    <w:rsid w:val="00B34C15"/>
    <w:rsid w:val="00B35A41"/>
    <w:rsid w:val="00B35A76"/>
    <w:rsid w:val="00B35C17"/>
    <w:rsid w:val="00B367C6"/>
    <w:rsid w:val="00B36C29"/>
    <w:rsid w:val="00B4038C"/>
    <w:rsid w:val="00B40412"/>
    <w:rsid w:val="00B413D2"/>
    <w:rsid w:val="00B42660"/>
    <w:rsid w:val="00B429F7"/>
    <w:rsid w:val="00B42F57"/>
    <w:rsid w:val="00B43283"/>
    <w:rsid w:val="00B438C5"/>
    <w:rsid w:val="00B438D4"/>
    <w:rsid w:val="00B43EA4"/>
    <w:rsid w:val="00B43FAC"/>
    <w:rsid w:val="00B4590A"/>
    <w:rsid w:val="00B466D2"/>
    <w:rsid w:val="00B46F36"/>
    <w:rsid w:val="00B471B7"/>
    <w:rsid w:val="00B4770C"/>
    <w:rsid w:val="00B52FF5"/>
    <w:rsid w:val="00B53C2C"/>
    <w:rsid w:val="00B54232"/>
    <w:rsid w:val="00B542A8"/>
    <w:rsid w:val="00B5592C"/>
    <w:rsid w:val="00B55A36"/>
    <w:rsid w:val="00B5672C"/>
    <w:rsid w:val="00B56A6C"/>
    <w:rsid w:val="00B56CB8"/>
    <w:rsid w:val="00B6064D"/>
    <w:rsid w:val="00B60A64"/>
    <w:rsid w:val="00B60EEA"/>
    <w:rsid w:val="00B60FF7"/>
    <w:rsid w:val="00B619BA"/>
    <w:rsid w:val="00B61BA3"/>
    <w:rsid w:val="00B61D64"/>
    <w:rsid w:val="00B652EE"/>
    <w:rsid w:val="00B65E08"/>
    <w:rsid w:val="00B667E6"/>
    <w:rsid w:val="00B66B18"/>
    <w:rsid w:val="00B7143D"/>
    <w:rsid w:val="00B72602"/>
    <w:rsid w:val="00B731B1"/>
    <w:rsid w:val="00B738BE"/>
    <w:rsid w:val="00B7637F"/>
    <w:rsid w:val="00B7644F"/>
    <w:rsid w:val="00B7693C"/>
    <w:rsid w:val="00B7744A"/>
    <w:rsid w:val="00B77D60"/>
    <w:rsid w:val="00B8096D"/>
    <w:rsid w:val="00B817AC"/>
    <w:rsid w:val="00B818D7"/>
    <w:rsid w:val="00B81E24"/>
    <w:rsid w:val="00B81EB0"/>
    <w:rsid w:val="00B82584"/>
    <w:rsid w:val="00B84654"/>
    <w:rsid w:val="00B85222"/>
    <w:rsid w:val="00B8524A"/>
    <w:rsid w:val="00B85847"/>
    <w:rsid w:val="00B86B41"/>
    <w:rsid w:val="00B901F5"/>
    <w:rsid w:val="00B904E1"/>
    <w:rsid w:val="00B91561"/>
    <w:rsid w:val="00B917FF"/>
    <w:rsid w:val="00B91980"/>
    <w:rsid w:val="00B91CE3"/>
    <w:rsid w:val="00B92006"/>
    <w:rsid w:val="00B93785"/>
    <w:rsid w:val="00B93E03"/>
    <w:rsid w:val="00B9501B"/>
    <w:rsid w:val="00B959C1"/>
    <w:rsid w:val="00B965C3"/>
    <w:rsid w:val="00BA0539"/>
    <w:rsid w:val="00BA06C5"/>
    <w:rsid w:val="00BA276B"/>
    <w:rsid w:val="00BA2E4E"/>
    <w:rsid w:val="00BA3CFA"/>
    <w:rsid w:val="00BA4C37"/>
    <w:rsid w:val="00BA50D1"/>
    <w:rsid w:val="00BA5BDE"/>
    <w:rsid w:val="00BA78BC"/>
    <w:rsid w:val="00BA7C71"/>
    <w:rsid w:val="00BB0235"/>
    <w:rsid w:val="00BB1F58"/>
    <w:rsid w:val="00BB30C6"/>
    <w:rsid w:val="00BB36DC"/>
    <w:rsid w:val="00BB3733"/>
    <w:rsid w:val="00BB3F8B"/>
    <w:rsid w:val="00BB506B"/>
    <w:rsid w:val="00BB5B6C"/>
    <w:rsid w:val="00BB6F69"/>
    <w:rsid w:val="00BB7533"/>
    <w:rsid w:val="00BC07E3"/>
    <w:rsid w:val="00BC1B16"/>
    <w:rsid w:val="00BC2B66"/>
    <w:rsid w:val="00BC58A1"/>
    <w:rsid w:val="00BC70A3"/>
    <w:rsid w:val="00BD1A65"/>
    <w:rsid w:val="00BD2C4F"/>
    <w:rsid w:val="00BD2E16"/>
    <w:rsid w:val="00BD3569"/>
    <w:rsid w:val="00BD447D"/>
    <w:rsid w:val="00BD536B"/>
    <w:rsid w:val="00BD6224"/>
    <w:rsid w:val="00BD635A"/>
    <w:rsid w:val="00BD77AC"/>
    <w:rsid w:val="00BD7D9E"/>
    <w:rsid w:val="00BE05BC"/>
    <w:rsid w:val="00BE13BE"/>
    <w:rsid w:val="00BE1E32"/>
    <w:rsid w:val="00BE3AC3"/>
    <w:rsid w:val="00BE3ACE"/>
    <w:rsid w:val="00BE476F"/>
    <w:rsid w:val="00BE47D4"/>
    <w:rsid w:val="00BE711C"/>
    <w:rsid w:val="00BE71CD"/>
    <w:rsid w:val="00BE7261"/>
    <w:rsid w:val="00BF0D34"/>
    <w:rsid w:val="00BF0EF9"/>
    <w:rsid w:val="00BF1645"/>
    <w:rsid w:val="00BF23D5"/>
    <w:rsid w:val="00BF2B1E"/>
    <w:rsid w:val="00BF3904"/>
    <w:rsid w:val="00BF4F4A"/>
    <w:rsid w:val="00BF5C34"/>
    <w:rsid w:val="00BF5E10"/>
    <w:rsid w:val="00BF5E61"/>
    <w:rsid w:val="00C01F34"/>
    <w:rsid w:val="00C02D60"/>
    <w:rsid w:val="00C040EF"/>
    <w:rsid w:val="00C04A45"/>
    <w:rsid w:val="00C04CB2"/>
    <w:rsid w:val="00C06AC6"/>
    <w:rsid w:val="00C06B60"/>
    <w:rsid w:val="00C06D85"/>
    <w:rsid w:val="00C10CD0"/>
    <w:rsid w:val="00C11064"/>
    <w:rsid w:val="00C11454"/>
    <w:rsid w:val="00C12FA9"/>
    <w:rsid w:val="00C132E6"/>
    <w:rsid w:val="00C139FC"/>
    <w:rsid w:val="00C14B19"/>
    <w:rsid w:val="00C15842"/>
    <w:rsid w:val="00C15AF1"/>
    <w:rsid w:val="00C16CB6"/>
    <w:rsid w:val="00C20F95"/>
    <w:rsid w:val="00C21203"/>
    <w:rsid w:val="00C214CC"/>
    <w:rsid w:val="00C21F03"/>
    <w:rsid w:val="00C22E17"/>
    <w:rsid w:val="00C23F70"/>
    <w:rsid w:val="00C247CF"/>
    <w:rsid w:val="00C24C9C"/>
    <w:rsid w:val="00C260F6"/>
    <w:rsid w:val="00C3062E"/>
    <w:rsid w:val="00C321B5"/>
    <w:rsid w:val="00C325C7"/>
    <w:rsid w:val="00C32CCB"/>
    <w:rsid w:val="00C33B82"/>
    <w:rsid w:val="00C3552F"/>
    <w:rsid w:val="00C3665C"/>
    <w:rsid w:val="00C403D8"/>
    <w:rsid w:val="00C40882"/>
    <w:rsid w:val="00C40884"/>
    <w:rsid w:val="00C42718"/>
    <w:rsid w:val="00C4351C"/>
    <w:rsid w:val="00C437F1"/>
    <w:rsid w:val="00C4529B"/>
    <w:rsid w:val="00C4717E"/>
    <w:rsid w:val="00C47326"/>
    <w:rsid w:val="00C47A45"/>
    <w:rsid w:val="00C51027"/>
    <w:rsid w:val="00C51A1F"/>
    <w:rsid w:val="00C522BA"/>
    <w:rsid w:val="00C5251A"/>
    <w:rsid w:val="00C53DE4"/>
    <w:rsid w:val="00C55041"/>
    <w:rsid w:val="00C556A0"/>
    <w:rsid w:val="00C55A39"/>
    <w:rsid w:val="00C56812"/>
    <w:rsid w:val="00C5741A"/>
    <w:rsid w:val="00C57597"/>
    <w:rsid w:val="00C57C6D"/>
    <w:rsid w:val="00C6078A"/>
    <w:rsid w:val="00C63659"/>
    <w:rsid w:val="00C63835"/>
    <w:rsid w:val="00C64A3B"/>
    <w:rsid w:val="00C67434"/>
    <w:rsid w:val="00C67C49"/>
    <w:rsid w:val="00C703C4"/>
    <w:rsid w:val="00C7077F"/>
    <w:rsid w:val="00C70BBA"/>
    <w:rsid w:val="00C70F0F"/>
    <w:rsid w:val="00C71888"/>
    <w:rsid w:val="00C71C8C"/>
    <w:rsid w:val="00C71D3E"/>
    <w:rsid w:val="00C736EC"/>
    <w:rsid w:val="00C737D5"/>
    <w:rsid w:val="00C73F22"/>
    <w:rsid w:val="00C7584A"/>
    <w:rsid w:val="00C7589C"/>
    <w:rsid w:val="00C75D26"/>
    <w:rsid w:val="00C765A5"/>
    <w:rsid w:val="00C8222A"/>
    <w:rsid w:val="00C82822"/>
    <w:rsid w:val="00C82F01"/>
    <w:rsid w:val="00C830E7"/>
    <w:rsid w:val="00C833A2"/>
    <w:rsid w:val="00C83BCA"/>
    <w:rsid w:val="00C846EE"/>
    <w:rsid w:val="00C848CD"/>
    <w:rsid w:val="00C8535F"/>
    <w:rsid w:val="00C864A7"/>
    <w:rsid w:val="00C87654"/>
    <w:rsid w:val="00C87838"/>
    <w:rsid w:val="00C87F35"/>
    <w:rsid w:val="00C921D0"/>
    <w:rsid w:val="00C938DE"/>
    <w:rsid w:val="00C942BA"/>
    <w:rsid w:val="00C94E03"/>
    <w:rsid w:val="00C95318"/>
    <w:rsid w:val="00C961A1"/>
    <w:rsid w:val="00C97B78"/>
    <w:rsid w:val="00CA0512"/>
    <w:rsid w:val="00CA0DEC"/>
    <w:rsid w:val="00CA10E0"/>
    <w:rsid w:val="00CA16EF"/>
    <w:rsid w:val="00CA1726"/>
    <w:rsid w:val="00CA5199"/>
    <w:rsid w:val="00CA5C11"/>
    <w:rsid w:val="00CA5D1F"/>
    <w:rsid w:val="00CB1E57"/>
    <w:rsid w:val="00CB28AD"/>
    <w:rsid w:val="00CB3324"/>
    <w:rsid w:val="00CB34BF"/>
    <w:rsid w:val="00CB3694"/>
    <w:rsid w:val="00CB5DF4"/>
    <w:rsid w:val="00CB7115"/>
    <w:rsid w:val="00CB7201"/>
    <w:rsid w:val="00CC093A"/>
    <w:rsid w:val="00CC1D77"/>
    <w:rsid w:val="00CC2765"/>
    <w:rsid w:val="00CC3D0D"/>
    <w:rsid w:val="00CC3E18"/>
    <w:rsid w:val="00CC5445"/>
    <w:rsid w:val="00CC556B"/>
    <w:rsid w:val="00CC6A15"/>
    <w:rsid w:val="00CC6DAA"/>
    <w:rsid w:val="00CC7006"/>
    <w:rsid w:val="00CD0465"/>
    <w:rsid w:val="00CD0D79"/>
    <w:rsid w:val="00CD232F"/>
    <w:rsid w:val="00CD487D"/>
    <w:rsid w:val="00CD5908"/>
    <w:rsid w:val="00CD669B"/>
    <w:rsid w:val="00CD6752"/>
    <w:rsid w:val="00CD69E6"/>
    <w:rsid w:val="00CD6FAA"/>
    <w:rsid w:val="00CE0D8A"/>
    <w:rsid w:val="00CE1338"/>
    <w:rsid w:val="00CE135E"/>
    <w:rsid w:val="00CE2213"/>
    <w:rsid w:val="00CE2349"/>
    <w:rsid w:val="00CE30D9"/>
    <w:rsid w:val="00CE3A5A"/>
    <w:rsid w:val="00CE64F3"/>
    <w:rsid w:val="00CE7D47"/>
    <w:rsid w:val="00CF0087"/>
    <w:rsid w:val="00CF0772"/>
    <w:rsid w:val="00CF0E08"/>
    <w:rsid w:val="00CF157C"/>
    <w:rsid w:val="00CF27DC"/>
    <w:rsid w:val="00CF3BEC"/>
    <w:rsid w:val="00CF45E6"/>
    <w:rsid w:val="00CF5217"/>
    <w:rsid w:val="00CF54AB"/>
    <w:rsid w:val="00CF670F"/>
    <w:rsid w:val="00CF703F"/>
    <w:rsid w:val="00CF7C7C"/>
    <w:rsid w:val="00D0043D"/>
    <w:rsid w:val="00D01047"/>
    <w:rsid w:val="00D018EF"/>
    <w:rsid w:val="00D02481"/>
    <w:rsid w:val="00D030FA"/>
    <w:rsid w:val="00D0387B"/>
    <w:rsid w:val="00D03AC5"/>
    <w:rsid w:val="00D03B87"/>
    <w:rsid w:val="00D050CE"/>
    <w:rsid w:val="00D05EB4"/>
    <w:rsid w:val="00D065A5"/>
    <w:rsid w:val="00D06F1D"/>
    <w:rsid w:val="00D0773F"/>
    <w:rsid w:val="00D106BE"/>
    <w:rsid w:val="00D10CA1"/>
    <w:rsid w:val="00D1102F"/>
    <w:rsid w:val="00D12182"/>
    <w:rsid w:val="00D125E9"/>
    <w:rsid w:val="00D12E85"/>
    <w:rsid w:val="00D13BD5"/>
    <w:rsid w:val="00D14F14"/>
    <w:rsid w:val="00D15321"/>
    <w:rsid w:val="00D16A5F"/>
    <w:rsid w:val="00D17B6A"/>
    <w:rsid w:val="00D200FB"/>
    <w:rsid w:val="00D204FF"/>
    <w:rsid w:val="00D207D7"/>
    <w:rsid w:val="00D22666"/>
    <w:rsid w:val="00D228DA"/>
    <w:rsid w:val="00D22AC2"/>
    <w:rsid w:val="00D22AE4"/>
    <w:rsid w:val="00D238D4"/>
    <w:rsid w:val="00D24678"/>
    <w:rsid w:val="00D25652"/>
    <w:rsid w:val="00D265C1"/>
    <w:rsid w:val="00D270E2"/>
    <w:rsid w:val="00D30A36"/>
    <w:rsid w:val="00D30EDB"/>
    <w:rsid w:val="00D30F9A"/>
    <w:rsid w:val="00D3160B"/>
    <w:rsid w:val="00D3283D"/>
    <w:rsid w:val="00D32C63"/>
    <w:rsid w:val="00D33A25"/>
    <w:rsid w:val="00D35500"/>
    <w:rsid w:val="00D359C2"/>
    <w:rsid w:val="00D37136"/>
    <w:rsid w:val="00D371E2"/>
    <w:rsid w:val="00D37D06"/>
    <w:rsid w:val="00D401C0"/>
    <w:rsid w:val="00D414EB"/>
    <w:rsid w:val="00D41939"/>
    <w:rsid w:val="00D4271B"/>
    <w:rsid w:val="00D44337"/>
    <w:rsid w:val="00D45139"/>
    <w:rsid w:val="00D45302"/>
    <w:rsid w:val="00D46343"/>
    <w:rsid w:val="00D47E25"/>
    <w:rsid w:val="00D50315"/>
    <w:rsid w:val="00D50AB3"/>
    <w:rsid w:val="00D50E56"/>
    <w:rsid w:val="00D51C07"/>
    <w:rsid w:val="00D52562"/>
    <w:rsid w:val="00D53425"/>
    <w:rsid w:val="00D5345D"/>
    <w:rsid w:val="00D53E6D"/>
    <w:rsid w:val="00D5424C"/>
    <w:rsid w:val="00D54823"/>
    <w:rsid w:val="00D54AA9"/>
    <w:rsid w:val="00D5543D"/>
    <w:rsid w:val="00D55AFC"/>
    <w:rsid w:val="00D567DB"/>
    <w:rsid w:val="00D5716E"/>
    <w:rsid w:val="00D572A7"/>
    <w:rsid w:val="00D57E00"/>
    <w:rsid w:val="00D64292"/>
    <w:rsid w:val="00D64937"/>
    <w:rsid w:val="00D650B7"/>
    <w:rsid w:val="00D65B2F"/>
    <w:rsid w:val="00D67664"/>
    <w:rsid w:val="00D67ADD"/>
    <w:rsid w:val="00D712BB"/>
    <w:rsid w:val="00D7363F"/>
    <w:rsid w:val="00D736B5"/>
    <w:rsid w:val="00D73E85"/>
    <w:rsid w:val="00D74AA7"/>
    <w:rsid w:val="00D74B73"/>
    <w:rsid w:val="00D75535"/>
    <w:rsid w:val="00D758C5"/>
    <w:rsid w:val="00D760AF"/>
    <w:rsid w:val="00D76619"/>
    <w:rsid w:val="00D77139"/>
    <w:rsid w:val="00D803E0"/>
    <w:rsid w:val="00D81C32"/>
    <w:rsid w:val="00D81E6F"/>
    <w:rsid w:val="00D82560"/>
    <w:rsid w:val="00D826CF"/>
    <w:rsid w:val="00D83634"/>
    <w:rsid w:val="00D83C81"/>
    <w:rsid w:val="00D84795"/>
    <w:rsid w:val="00D84C02"/>
    <w:rsid w:val="00D858A4"/>
    <w:rsid w:val="00D85CA7"/>
    <w:rsid w:val="00D85ED1"/>
    <w:rsid w:val="00D86FE4"/>
    <w:rsid w:val="00D8798D"/>
    <w:rsid w:val="00D90155"/>
    <w:rsid w:val="00D9100E"/>
    <w:rsid w:val="00D918E4"/>
    <w:rsid w:val="00D92565"/>
    <w:rsid w:val="00D92774"/>
    <w:rsid w:val="00D92EBC"/>
    <w:rsid w:val="00D9424D"/>
    <w:rsid w:val="00D944DE"/>
    <w:rsid w:val="00D94F80"/>
    <w:rsid w:val="00D956D1"/>
    <w:rsid w:val="00D96021"/>
    <w:rsid w:val="00DA0087"/>
    <w:rsid w:val="00DA0B24"/>
    <w:rsid w:val="00DA11BA"/>
    <w:rsid w:val="00DA1A8B"/>
    <w:rsid w:val="00DA1CC1"/>
    <w:rsid w:val="00DA4321"/>
    <w:rsid w:val="00DA43E9"/>
    <w:rsid w:val="00DA5345"/>
    <w:rsid w:val="00DA5D59"/>
    <w:rsid w:val="00DA6675"/>
    <w:rsid w:val="00DA6B60"/>
    <w:rsid w:val="00DA6FF7"/>
    <w:rsid w:val="00DA71A7"/>
    <w:rsid w:val="00DA794F"/>
    <w:rsid w:val="00DA7BA1"/>
    <w:rsid w:val="00DB01EC"/>
    <w:rsid w:val="00DB0633"/>
    <w:rsid w:val="00DB2499"/>
    <w:rsid w:val="00DB28F0"/>
    <w:rsid w:val="00DB3E37"/>
    <w:rsid w:val="00DB4FB6"/>
    <w:rsid w:val="00DB56A2"/>
    <w:rsid w:val="00DB6099"/>
    <w:rsid w:val="00DB7F0C"/>
    <w:rsid w:val="00DC0596"/>
    <w:rsid w:val="00DC0702"/>
    <w:rsid w:val="00DC121A"/>
    <w:rsid w:val="00DC1D8F"/>
    <w:rsid w:val="00DC2E40"/>
    <w:rsid w:val="00DC4315"/>
    <w:rsid w:val="00DC4780"/>
    <w:rsid w:val="00DC4B3B"/>
    <w:rsid w:val="00DC4E9D"/>
    <w:rsid w:val="00DC5E36"/>
    <w:rsid w:val="00DC65C5"/>
    <w:rsid w:val="00DC6DB9"/>
    <w:rsid w:val="00DD0596"/>
    <w:rsid w:val="00DD0B4F"/>
    <w:rsid w:val="00DD0DF7"/>
    <w:rsid w:val="00DD2339"/>
    <w:rsid w:val="00DD2CA0"/>
    <w:rsid w:val="00DD2DDA"/>
    <w:rsid w:val="00DD30EA"/>
    <w:rsid w:val="00DD31FA"/>
    <w:rsid w:val="00DD3545"/>
    <w:rsid w:val="00DD38ED"/>
    <w:rsid w:val="00DD5E87"/>
    <w:rsid w:val="00DD6381"/>
    <w:rsid w:val="00DD696A"/>
    <w:rsid w:val="00DD6A95"/>
    <w:rsid w:val="00DD7045"/>
    <w:rsid w:val="00DD72B9"/>
    <w:rsid w:val="00DD7897"/>
    <w:rsid w:val="00DE041A"/>
    <w:rsid w:val="00DE09BD"/>
    <w:rsid w:val="00DE09F5"/>
    <w:rsid w:val="00DE116B"/>
    <w:rsid w:val="00DE1E0C"/>
    <w:rsid w:val="00DE24C6"/>
    <w:rsid w:val="00DE2601"/>
    <w:rsid w:val="00DE2E0A"/>
    <w:rsid w:val="00DE4189"/>
    <w:rsid w:val="00DE4DA6"/>
    <w:rsid w:val="00DE6410"/>
    <w:rsid w:val="00DE7842"/>
    <w:rsid w:val="00DE7E1A"/>
    <w:rsid w:val="00DF0E6C"/>
    <w:rsid w:val="00DF12CF"/>
    <w:rsid w:val="00DF19ED"/>
    <w:rsid w:val="00DF1C6A"/>
    <w:rsid w:val="00DF1EA2"/>
    <w:rsid w:val="00DF4BA7"/>
    <w:rsid w:val="00DF4D59"/>
    <w:rsid w:val="00DF53DD"/>
    <w:rsid w:val="00DF617F"/>
    <w:rsid w:val="00DF7789"/>
    <w:rsid w:val="00E00D9B"/>
    <w:rsid w:val="00E01B7E"/>
    <w:rsid w:val="00E02D53"/>
    <w:rsid w:val="00E033B2"/>
    <w:rsid w:val="00E03677"/>
    <w:rsid w:val="00E03B61"/>
    <w:rsid w:val="00E03C41"/>
    <w:rsid w:val="00E0412F"/>
    <w:rsid w:val="00E04861"/>
    <w:rsid w:val="00E04DC0"/>
    <w:rsid w:val="00E07004"/>
    <w:rsid w:val="00E070B9"/>
    <w:rsid w:val="00E0762B"/>
    <w:rsid w:val="00E07A70"/>
    <w:rsid w:val="00E10573"/>
    <w:rsid w:val="00E10600"/>
    <w:rsid w:val="00E10D6D"/>
    <w:rsid w:val="00E11824"/>
    <w:rsid w:val="00E121C4"/>
    <w:rsid w:val="00E13BC0"/>
    <w:rsid w:val="00E14B84"/>
    <w:rsid w:val="00E155FD"/>
    <w:rsid w:val="00E156C4"/>
    <w:rsid w:val="00E162FE"/>
    <w:rsid w:val="00E174F3"/>
    <w:rsid w:val="00E17608"/>
    <w:rsid w:val="00E209DB"/>
    <w:rsid w:val="00E21646"/>
    <w:rsid w:val="00E2176D"/>
    <w:rsid w:val="00E22327"/>
    <w:rsid w:val="00E238EA"/>
    <w:rsid w:val="00E244A2"/>
    <w:rsid w:val="00E253A6"/>
    <w:rsid w:val="00E2588C"/>
    <w:rsid w:val="00E25E61"/>
    <w:rsid w:val="00E25F48"/>
    <w:rsid w:val="00E267CF"/>
    <w:rsid w:val="00E27888"/>
    <w:rsid w:val="00E30E86"/>
    <w:rsid w:val="00E3176E"/>
    <w:rsid w:val="00E32455"/>
    <w:rsid w:val="00E325B9"/>
    <w:rsid w:val="00E32CBE"/>
    <w:rsid w:val="00E331B7"/>
    <w:rsid w:val="00E334FB"/>
    <w:rsid w:val="00E3382B"/>
    <w:rsid w:val="00E347AE"/>
    <w:rsid w:val="00E349E2"/>
    <w:rsid w:val="00E34ABF"/>
    <w:rsid w:val="00E34BFD"/>
    <w:rsid w:val="00E352C2"/>
    <w:rsid w:val="00E35D9A"/>
    <w:rsid w:val="00E36383"/>
    <w:rsid w:val="00E367CE"/>
    <w:rsid w:val="00E37F73"/>
    <w:rsid w:val="00E404A9"/>
    <w:rsid w:val="00E40653"/>
    <w:rsid w:val="00E40769"/>
    <w:rsid w:val="00E408D0"/>
    <w:rsid w:val="00E424C6"/>
    <w:rsid w:val="00E4315C"/>
    <w:rsid w:val="00E4578E"/>
    <w:rsid w:val="00E46490"/>
    <w:rsid w:val="00E466BC"/>
    <w:rsid w:val="00E46D3B"/>
    <w:rsid w:val="00E50346"/>
    <w:rsid w:val="00E551A9"/>
    <w:rsid w:val="00E55710"/>
    <w:rsid w:val="00E55B8A"/>
    <w:rsid w:val="00E56410"/>
    <w:rsid w:val="00E56813"/>
    <w:rsid w:val="00E56E65"/>
    <w:rsid w:val="00E57633"/>
    <w:rsid w:val="00E57BBD"/>
    <w:rsid w:val="00E6285C"/>
    <w:rsid w:val="00E63CA7"/>
    <w:rsid w:val="00E65806"/>
    <w:rsid w:val="00E65838"/>
    <w:rsid w:val="00E6627C"/>
    <w:rsid w:val="00E6688E"/>
    <w:rsid w:val="00E67C8D"/>
    <w:rsid w:val="00E70053"/>
    <w:rsid w:val="00E70501"/>
    <w:rsid w:val="00E71A2B"/>
    <w:rsid w:val="00E71DA8"/>
    <w:rsid w:val="00E73CE1"/>
    <w:rsid w:val="00E73EEB"/>
    <w:rsid w:val="00E74166"/>
    <w:rsid w:val="00E774FF"/>
    <w:rsid w:val="00E775E2"/>
    <w:rsid w:val="00E80207"/>
    <w:rsid w:val="00E807E2"/>
    <w:rsid w:val="00E813E4"/>
    <w:rsid w:val="00E8174E"/>
    <w:rsid w:val="00E81887"/>
    <w:rsid w:val="00E840EF"/>
    <w:rsid w:val="00E843EC"/>
    <w:rsid w:val="00E849F9"/>
    <w:rsid w:val="00E85AD2"/>
    <w:rsid w:val="00E86FB2"/>
    <w:rsid w:val="00E87027"/>
    <w:rsid w:val="00E87529"/>
    <w:rsid w:val="00E87641"/>
    <w:rsid w:val="00E87D81"/>
    <w:rsid w:val="00E87F26"/>
    <w:rsid w:val="00E903A3"/>
    <w:rsid w:val="00E917B8"/>
    <w:rsid w:val="00E92BF2"/>
    <w:rsid w:val="00E92FBD"/>
    <w:rsid w:val="00E93E6C"/>
    <w:rsid w:val="00E9409C"/>
    <w:rsid w:val="00E95A24"/>
    <w:rsid w:val="00E96040"/>
    <w:rsid w:val="00E96736"/>
    <w:rsid w:val="00E97319"/>
    <w:rsid w:val="00EA0164"/>
    <w:rsid w:val="00EA12F7"/>
    <w:rsid w:val="00EA1C6C"/>
    <w:rsid w:val="00EA1E6B"/>
    <w:rsid w:val="00EA2D72"/>
    <w:rsid w:val="00EA49C0"/>
    <w:rsid w:val="00EA4A0D"/>
    <w:rsid w:val="00EA5181"/>
    <w:rsid w:val="00EA60CC"/>
    <w:rsid w:val="00EA6B6C"/>
    <w:rsid w:val="00EB0010"/>
    <w:rsid w:val="00EB15EF"/>
    <w:rsid w:val="00EB1B5E"/>
    <w:rsid w:val="00EB21E3"/>
    <w:rsid w:val="00EB2479"/>
    <w:rsid w:val="00EB4DEF"/>
    <w:rsid w:val="00EB5E8E"/>
    <w:rsid w:val="00EB714F"/>
    <w:rsid w:val="00EB7499"/>
    <w:rsid w:val="00EB7BD7"/>
    <w:rsid w:val="00EC051E"/>
    <w:rsid w:val="00EC0B3B"/>
    <w:rsid w:val="00EC1445"/>
    <w:rsid w:val="00EC1A24"/>
    <w:rsid w:val="00EC27F6"/>
    <w:rsid w:val="00EC312F"/>
    <w:rsid w:val="00EC34EC"/>
    <w:rsid w:val="00EC4F5B"/>
    <w:rsid w:val="00EC6918"/>
    <w:rsid w:val="00ED2129"/>
    <w:rsid w:val="00ED25AF"/>
    <w:rsid w:val="00ED3341"/>
    <w:rsid w:val="00ED5E14"/>
    <w:rsid w:val="00ED61AF"/>
    <w:rsid w:val="00ED6DB3"/>
    <w:rsid w:val="00ED79C2"/>
    <w:rsid w:val="00EE000C"/>
    <w:rsid w:val="00EE0324"/>
    <w:rsid w:val="00EE07B3"/>
    <w:rsid w:val="00EE1CC6"/>
    <w:rsid w:val="00EE2B8E"/>
    <w:rsid w:val="00EE3507"/>
    <w:rsid w:val="00EE39A0"/>
    <w:rsid w:val="00EE39B9"/>
    <w:rsid w:val="00EE4585"/>
    <w:rsid w:val="00EE4596"/>
    <w:rsid w:val="00EE52A7"/>
    <w:rsid w:val="00EE5EA1"/>
    <w:rsid w:val="00EE7B30"/>
    <w:rsid w:val="00EF02BB"/>
    <w:rsid w:val="00EF1009"/>
    <w:rsid w:val="00EF1A09"/>
    <w:rsid w:val="00EF2983"/>
    <w:rsid w:val="00EF2A07"/>
    <w:rsid w:val="00EF38C0"/>
    <w:rsid w:val="00EF3911"/>
    <w:rsid w:val="00EF44D1"/>
    <w:rsid w:val="00EF4574"/>
    <w:rsid w:val="00EF5EAC"/>
    <w:rsid w:val="00EF5FD3"/>
    <w:rsid w:val="00EF716B"/>
    <w:rsid w:val="00EF7A14"/>
    <w:rsid w:val="00F01740"/>
    <w:rsid w:val="00F042AE"/>
    <w:rsid w:val="00F04BDA"/>
    <w:rsid w:val="00F050C1"/>
    <w:rsid w:val="00F05B6B"/>
    <w:rsid w:val="00F05BD7"/>
    <w:rsid w:val="00F061A4"/>
    <w:rsid w:val="00F06CB6"/>
    <w:rsid w:val="00F06FD2"/>
    <w:rsid w:val="00F102DB"/>
    <w:rsid w:val="00F10631"/>
    <w:rsid w:val="00F107C1"/>
    <w:rsid w:val="00F11555"/>
    <w:rsid w:val="00F1183E"/>
    <w:rsid w:val="00F13400"/>
    <w:rsid w:val="00F13485"/>
    <w:rsid w:val="00F13728"/>
    <w:rsid w:val="00F13B08"/>
    <w:rsid w:val="00F13CD6"/>
    <w:rsid w:val="00F14388"/>
    <w:rsid w:val="00F1452D"/>
    <w:rsid w:val="00F15B3F"/>
    <w:rsid w:val="00F1639B"/>
    <w:rsid w:val="00F16403"/>
    <w:rsid w:val="00F168B3"/>
    <w:rsid w:val="00F21D91"/>
    <w:rsid w:val="00F220C9"/>
    <w:rsid w:val="00F22145"/>
    <w:rsid w:val="00F22BAB"/>
    <w:rsid w:val="00F241DF"/>
    <w:rsid w:val="00F25240"/>
    <w:rsid w:val="00F2528A"/>
    <w:rsid w:val="00F25635"/>
    <w:rsid w:val="00F25FBE"/>
    <w:rsid w:val="00F2629E"/>
    <w:rsid w:val="00F262F4"/>
    <w:rsid w:val="00F26849"/>
    <w:rsid w:val="00F27E40"/>
    <w:rsid w:val="00F3101E"/>
    <w:rsid w:val="00F31A01"/>
    <w:rsid w:val="00F32464"/>
    <w:rsid w:val="00F33192"/>
    <w:rsid w:val="00F33DFB"/>
    <w:rsid w:val="00F33E8C"/>
    <w:rsid w:val="00F37B0C"/>
    <w:rsid w:val="00F403F2"/>
    <w:rsid w:val="00F4085D"/>
    <w:rsid w:val="00F412AD"/>
    <w:rsid w:val="00F417A4"/>
    <w:rsid w:val="00F418FC"/>
    <w:rsid w:val="00F422A9"/>
    <w:rsid w:val="00F431E3"/>
    <w:rsid w:val="00F43A14"/>
    <w:rsid w:val="00F43E59"/>
    <w:rsid w:val="00F44585"/>
    <w:rsid w:val="00F446D4"/>
    <w:rsid w:val="00F44EC5"/>
    <w:rsid w:val="00F45FAF"/>
    <w:rsid w:val="00F46DB2"/>
    <w:rsid w:val="00F476BF"/>
    <w:rsid w:val="00F50E04"/>
    <w:rsid w:val="00F52BCA"/>
    <w:rsid w:val="00F53856"/>
    <w:rsid w:val="00F53B41"/>
    <w:rsid w:val="00F53FCD"/>
    <w:rsid w:val="00F548A8"/>
    <w:rsid w:val="00F56CAF"/>
    <w:rsid w:val="00F570C3"/>
    <w:rsid w:val="00F570F3"/>
    <w:rsid w:val="00F571FC"/>
    <w:rsid w:val="00F574BF"/>
    <w:rsid w:val="00F57C48"/>
    <w:rsid w:val="00F6046C"/>
    <w:rsid w:val="00F61119"/>
    <w:rsid w:val="00F6251D"/>
    <w:rsid w:val="00F62D54"/>
    <w:rsid w:val="00F63C4B"/>
    <w:rsid w:val="00F6492A"/>
    <w:rsid w:val="00F66701"/>
    <w:rsid w:val="00F67A94"/>
    <w:rsid w:val="00F70157"/>
    <w:rsid w:val="00F71111"/>
    <w:rsid w:val="00F7151B"/>
    <w:rsid w:val="00F72391"/>
    <w:rsid w:val="00F74767"/>
    <w:rsid w:val="00F7509B"/>
    <w:rsid w:val="00F75F57"/>
    <w:rsid w:val="00F764D9"/>
    <w:rsid w:val="00F767BA"/>
    <w:rsid w:val="00F77442"/>
    <w:rsid w:val="00F80660"/>
    <w:rsid w:val="00F80EC6"/>
    <w:rsid w:val="00F812EB"/>
    <w:rsid w:val="00F81F5D"/>
    <w:rsid w:val="00F82330"/>
    <w:rsid w:val="00F82DDC"/>
    <w:rsid w:val="00F82F85"/>
    <w:rsid w:val="00F833E8"/>
    <w:rsid w:val="00F8427F"/>
    <w:rsid w:val="00F85855"/>
    <w:rsid w:val="00F86054"/>
    <w:rsid w:val="00F861A9"/>
    <w:rsid w:val="00F8678B"/>
    <w:rsid w:val="00F86A2D"/>
    <w:rsid w:val="00F86DCA"/>
    <w:rsid w:val="00F90383"/>
    <w:rsid w:val="00F9099D"/>
    <w:rsid w:val="00F9155B"/>
    <w:rsid w:val="00F92548"/>
    <w:rsid w:val="00F92E58"/>
    <w:rsid w:val="00F938FE"/>
    <w:rsid w:val="00F94F04"/>
    <w:rsid w:val="00F95043"/>
    <w:rsid w:val="00F95112"/>
    <w:rsid w:val="00F9606D"/>
    <w:rsid w:val="00F96129"/>
    <w:rsid w:val="00F96860"/>
    <w:rsid w:val="00F96E74"/>
    <w:rsid w:val="00F97398"/>
    <w:rsid w:val="00F97FC7"/>
    <w:rsid w:val="00FA021B"/>
    <w:rsid w:val="00FA198B"/>
    <w:rsid w:val="00FA1BCA"/>
    <w:rsid w:val="00FA264D"/>
    <w:rsid w:val="00FA2718"/>
    <w:rsid w:val="00FA380A"/>
    <w:rsid w:val="00FA387E"/>
    <w:rsid w:val="00FA5FBA"/>
    <w:rsid w:val="00FA60B4"/>
    <w:rsid w:val="00FA66D0"/>
    <w:rsid w:val="00FA7764"/>
    <w:rsid w:val="00FA7CF5"/>
    <w:rsid w:val="00FA7D41"/>
    <w:rsid w:val="00FB1110"/>
    <w:rsid w:val="00FB15C9"/>
    <w:rsid w:val="00FB1BD7"/>
    <w:rsid w:val="00FB1C8F"/>
    <w:rsid w:val="00FB1C9A"/>
    <w:rsid w:val="00FB27FE"/>
    <w:rsid w:val="00FB3014"/>
    <w:rsid w:val="00FB6912"/>
    <w:rsid w:val="00FC0205"/>
    <w:rsid w:val="00FC0268"/>
    <w:rsid w:val="00FC1801"/>
    <w:rsid w:val="00FC2C33"/>
    <w:rsid w:val="00FC35D7"/>
    <w:rsid w:val="00FC53A0"/>
    <w:rsid w:val="00FC5A01"/>
    <w:rsid w:val="00FC5A3E"/>
    <w:rsid w:val="00FC5BBA"/>
    <w:rsid w:val="00FC6EB2"/>
    <w:rsid w:val="00FD0D4E"/>
    <w:rsid w:val="00FD13D8"/>
    <w:rsid w:val="00FD27B4"/>
    <w:rsid w:val="00FD3FB5"/>
    <w:rsid w:val="00FD45E8"/>
    <w:rsid w:val="00FD5A4F"/>
    <w:rsid w:val="00FD7BDB"/>
    <w:rsid w:val="00FE0921"/>
    <w:rsid w:val="00FE0C06"/>
    <w:rsid w:val="00FE40E3"/>
    <w:rsid w:val="00FE50B7"/>
    <w:rsid w:val="00FE5ED4"/>
    <w:rsid w:val="00FE63E2"/>
    <w:rsid w:val="00FF1356"/>
    <w:rsid w:val="00FF1712"/>
    <w:rsid w:val="00FF178F"/>
    <w:rsid w:val="00FF1C65"/>
    <w:rsid w:val="00FF28C0"/>
    <w:rsid w:val="00FF3B94"/>
    <w:rsid w:val="00FF52CC"/>
    <w:rsid w:val="00FF5768"/>
    <w:rsid w:val="00FF60E1"/>
    <w:rsid w:val="00FF6ED7"/>
    <w:rsid w:val="00FF77F0"/>
    <w:rsid w:val="00FF7C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41313"/>
    <o:shapelayout v:ext="edit">
      <o:idmap v:ext="edit" data="1"/>
    </o:shapelayout>
  </w:shapeDefaults>
  <w:decimalSymbol w:val=","/>
  <w:listSeparator w:val=";"/>
  <w14:docId w14:val="6CD58F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D98"/>
    <w:rPr>
      <w:rFonts w:ascii="Arial" w:hAnsi="Arial"/>
      <w:sz w:val="24"/>
      <w:lang w:eastAsia="fr-FR"/>
    </w:rPr>
  </w:style>
  <w:style w:type="paragraph" w:styleId="Titre1">
    <w:name w:val="heading 1"/>
    <w:basedOn w:val="Normal"/>
    <w:next w:val="Normal"/>
    <w:link w:val="Titre1Car"/>
    <w:qFormat/>
    <w:pPr>
      <w:keepNext/>
      <w:spacing w:before="240" w:after="60"/>
      <w:outlineLvl w:val="0"/>
    </w:pPr>
    <w:rPr>
      <w:b/>
      <w:kern w:val="28"/>
      <w:sz w:val="28"/>
    </w:rPr>
  </w:style>
  <w:style w:type="paragraph" w:styleId="Titre2">
    <w:name w:val="heading 2"/>
    <w:basedOn w:val="Normal"/>
    <w:next w:val="Normal"/>
    <w:link w:val="Titre2Car"/>
    <w:qFormat/>
    <w:pPr>
      <w:keepNext/>
      <w:spacing w:before="240" w:after="60"/>
      <w:outlineLvl w:val="1"/>
    </w:pPr>
    <w:rPr>
      <w:b/>
      <w:i/>
    </w:rPr>
  </w:style>
  <w:style w:type="paragraph" w:styleId="Titre3">
    <w:name w:val="heading 3"/>
    <w:basedOn w:val="Normal"/>
    <w:next w:val="Normal"/>
    <w:link w:val="Titre3Car"/>
    <w:qFormat/>
    <w:pPr>
      <w:keepNext/>
      <w:spacing w:before="240" w:after="60"/>
      <w:outlineLvl w:val="2"/>
    </w:pPr>
  </w:style>
  <w:style w:type="paragraph" w:styleId="Titre4">
    <w:name w:val="heading 4"/>
    <w:basedOn w:val="Normal"/>
    <w:next w:val="Normal"/>
    <w:qFormat/>
    <w:pPr>
      <w:keepNext/>
      <w:spacing w:before="240" w:after="60"/>
      <w:outlineLvl w:val="3"/>
    </w:pPr>
    <w:rPr>
      <w:b/>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link w:val="ParagrapheCar"/>
    <w:pPr>
      <w:numPr>
        <w:numId w:val="2"/>
      </w:numPr>
      <w:tabs>
        <w:tab w:val="clear" w:pos="360"/>
      </w:tabs>
      <w:spacing w:before="120" w:after="120" w:line="500" w:lineRule="exact"/>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rPr>
      <w:rFonts w:ascii="Arial" w:hAnsi="Arial"/>
      <w:i/>
      <w:noProof w:val="0"/>
      <w:sz w:val="22"/>
      <w:lang w:val="fr-CA"/>
    </w:rPr>
  </w:style>
  <w:style w:type="paragraph" w:styleId="Corpsdetexte">
    <w:name w:val="Body Text"/>
    <w:basedOn w:val="Normal"/>
    <w:semiHidden/>
    <w:pPr>
      <w:spacing w:after="120"/>
    </w:pPr>
  </w:style>
  <w:style w:type="paragraph" w:styleId="Notedebasdepage">
    <w:name w:val="footnote text"/>
    <w:basedOn w:val="Normal"/>
    <w:link w:val="NotedebasdepageCar"/>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pPr>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3"/>
      </w:numPr>
      <w:tabs>
        <w:tab w:val="clear" w:pos="792"/>
      </w:tabs>
      <w:spacing w:after="120"/>
      <w:ind w:left="1468" w:hanging="734"/>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pPr>
      <w:ind w:firstLine="0"/>
    </w:p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uiPriority w:val="99"/>
    <w:unhideWhenUsed/>
    <w:rsid w:val="00C4717E"/>
    <w:pPr>
      <w:tabs>
        <w:tab w:val="center" w:pos="4320"/>
        <w:tab w:val="right" w:pos="8640"/>
      </w:tabs>
    </w:pPr>
  </w:style>
  <w:style w:type="character" w:customStyle="1" w:styleId="En-tteCar">
    <w:name w:val="En-tête Car"/>
    <w:link w:val="En-tte"/>
    <w:uiPriority w:val="99"/>
    <w:rsid w:val="00C4717E"/>
    <w:rPr>
      <w:rFonts w:ascii="Arial" w:hAnsi="Arial"/>
      <w:sz w:val="24"/>
      <w:lang w:val="fr-CA" w:eastAsia="fr-FR"/>
    </w:rPr>
  </w:style>
  <w:style w:type="paragraph" w:styleId="Pieddepage">
    <w:name w:val="footer"/>
    <w:basedOn w:val="Normal"/>
    <w:link w:val="PieddepageCar"/>
    <w:uiPriority w:val="99"/>
    <w:unhideWhenUsed/>
    <w:rsid w:val="00C4717E"/>
    <w:pPr>
      <w:tabs>
        <w:tab w:val="center" w:pos="4320"/>
        <w:tab w:val="right" w:pos="8640"/>
      </w:tabs>
    </w:pPr>
  </w:style>
  <w:style w:type="character" w:customStyle="1" w:styleId="PieddepageCar">
    <w:name w:val="Pied de page Car"/>
    <w:link w:val="Pieddepage"/>
    <w:uiPriority w:val="99"/>
    <w:rsid w:val="00C4717E"/>
    <w:rPr>
      <w:rFonts w:ascii="Arial" w:hAnsi="Arial"/>
      <w:sz w:val="24"/>
      <w:lang w:val="fr-CA" w:eastAsia="fr-FR"/>
    </w:rPr>
  </w:style>
  <w:style w:type="paragraph" w:styleId="Paragraphedeliste">
    <w:name w:val="List Paragraph"/>
    <w:basedOn w:val="Normal"/>
    <w:uiPriority w:val="34"/>
    <w:qFormat/>
    <w:rsid w:val="00C4717E"/>
    <w:pPr>
      <w:spacing w:after="160" w:line="259" w:lineRule="auto"/>
      <w:ind w:left="720"/>
      <w:contextualSpacing/>
    </w:pPr>
    <w:rPr>
      <w:rFonts w:ascii="Calibri" w:eastAsia="Calibri" w:hAnsi="Calibri"/>
      <w:sz w:val="22"/>
      <w:szCs w:val="22"/>
      <w:lang w:eastAsia="en-US"/>
    </w:rPr>
  </w:style>
  <w:style w:type="character" w:styleId="Lienhypertexte">
    <w:name w:val="Hyperlink"/>
    <w:uiPriority w:val="99"/>
    <w:unhideWhenUsed/>
    <w:rsid w:val="00C4717E"/>
    <w:rPr>
      <w:color w:val="0000FF"/>
      <w:u w:val="single"/>
      <w:lang w:val="fr-CA"/>
    </w:rPr>
  </w:style>
  <w:style w:type="paragraph" w:customStyle="1" w:styleId="paragraphe1">
    <w:name w:val="paragraphe1"/>
    <w:basedOn w:val="Normal"/>
    <w:rsid w:val="00C4717E"/>
    <w:pPr>
      <w:spacing w:before="120" w:after="120"/>
      <w:jc w:val="both"/>
    </w:pPr>
    <w:rPr>
      <w:rFonts w:cs="Arial"/>
      <w:szCs w:val="24"/>
      <w:lang w:eastAsia="fr-CA"/>
    </w:rPr>
  </w:style>
  <w:style w:type="character" w:styleId="Appelnotedebasdep">
    <w:name w:val="footnote reference"/>
    <w:unhideWhenUsed/>
    <w:rsid w:val="00044D98"/>
    <w:rPr>
      <w:vertAlign w:val="superscript"/>
    </w:rPr>
  </w:style>
  <w:style w:type="character" w:customStyle="1" w:styleId="NotedebasdepageCar">
    <w:name w:val="Note de bas de page Car"/>
    <w:link w:val="Notedebasdepage"/>
    <w:rsid w:val="00C4717E"/>
    <w:rPr>
      <w:rFonts w:ascii="Arial" w:hAnsi="Arial"/>
      <w:lang w:eastAsia="fr-FR"/>
    </w:rPr>
  </w:style>
  <w:style w:type="paragraph" w:customStyle="1" w:styleId="Style1">
    <w:name w:val="Style1"/>
    <w:basedOn w:val="Notedebasdepage"/>
    <w:link w:val="Style1Car"/>
    <w:qFormat/>
    <w:rsid w:val="00044D98"/>
    <w:rPr>
      <w:spacing w:val="-20"/>
    </w:rPr>
  </w:style>
  <w:style w:type="character" w:customStyle="1" w:styleId="Style1Car">
    <w:name w:val="Style1 Car"/>
    <w:link w:val="Style1"/>
    <w:rsid w:val="00044D98"/>
    <w:rPr>
      <w:rFonts w:ascii="Arial" w:hAnsi="Arial"/>
      <w:spacing w:val="-20"/>
      <w:lang w:eastAsia="fr-FR"/>
    </w:rPr>
  </w:style>
  <w:style w:type="paragraph" w:customStyle="1" w:styleId="Style2">
    <w:name w:val="Style2"/>
    <w:basedOn w:val="Paragraphe"/>
    <w:link w:val="Style2Car"/>
    <w:qFormat/>
    <w:rsid w:val="00044D98"/>
    <w:rPr>
      <w:rFonts w:cs="Arial"/>
      <w:szCs w:val="24"/>
      <w:vertAlign w:val="superscript"/>
    </w:rPr>
  </w:style>
  <w:style w:type="character" w:customStyle="1" w:styleId="ParagrapheCar">
    <w:name w:val="Paragraphe Car"/>
    <w:link w:val="Paragraphe"/>
    <w:rsid w:val="00044D98"/>
    <w:rPr>
      <w:rFonts w:ascii="Arial" w:hAnsi="Arial"/>
      <w:kern w:val="28"/>
      <w:sz w:val="24"/>
      <w:lang w:eastAsia="fr-FR"/>
    </w:rPr>
  </w:style>
  <w:style w:type="character" w:customStyle="1" w:styleId="Style2Car">
    <w:name w:val="Style2 Car"/>
    <w:link w:val="Style2"/>
    <w:rsid w:val="00044D98"/>
    <w:rPr>
      <w:rFonts w:ascii="Arial" w:hAnsi="Arial" w:cs="Arial"/>
      <w:kern w:val="28"/>
      <w:sz w:val="24"/>
      <w:szCs w:val="24"/>
      <w:vertAlign w:val="superscript"/>
      <w:lang w:eastAsia="fr-FR"/>
    </w:rPr>
  </w:style>
  <w:style w:type="paragraph" w:customStyle="1" w:styleId="Style3">
    <w:name w:val="Style3"/>
    <w:basedOn w:val="Paragraphe"/>
    <w:link w:val="Style3Car"/>
    <w:qFormat/>
    <w:rsid w:val="00044D98"/>
    <w:rPr>
      <w:rFonts w:cs="Arial"/>
      <w:szCs w:val="24"/>
      <w:vertAlign w:val="superscript"/>
    </w:rPr>
  </w:style>
  <w:style w:type="character" w:customStyle="1" w:styleId="Style3Car">
    <w:name w:val="Style3 Car"/>
    <w:link w:val="Style3"/>
    <w:rsid w:val="00044D98"/>
    <w:rPr>
      <w:rFonts w:ascii="Arial" w:hAnsi="Arial" w:cs="Arial"/>
      <w:kern w:val="28"/>
      <w:sz w:val="24"/>
      <w:szCs w:val="24"/>
      <w:vertAlign w:val="superscript"/>
      <w:lang w:eastAsia="fr-FR"/>
    </w:rPr>
  </w:style>
  <w:style w:type="paragraph" w:styleId="NormalWeb">
    <w:name w:val="Normal (Web)"/>
    <w:basedOn w:val="Normal"/>
    <w:uiPriority w:val="99"/>
    <w:semiHidden/>
    <w:unhideWhenUsed/>
    <w:rsid w:val="00A74FE1"/>
    <w:pPr>
      <w:spacing w:before="100" w:beforeAutospacing="1" w:after="100" w:afterAutospacing="1"/>
    </w:pPr>
    <w:rPr>
      <w:rFonts w:ascii="Times New Roman" w:hAnsi="Times New Roman"/>
      <w:szCs w:val="24"/>
      <w:lang w:val="en-CA" w:eastAsia="en-CA"/>
    </w:rPr>
  </w:style>
  <w:style w:type="character" w:customStyle="1" w:styleId="ssbf">
    <w:name w:val="ss_bf"/>
    <w:rsid w:val="00A74FE1"/>
  </w:style>
  <w:style w:type="character" w:customStyle="1" w:styleId="ssit">
    <w:name w:val="ss_it"/>
    <w:rsid w:val="00A74FE1"/>
  </w:style>
  <w:style w:type="paragraph" w:styleId="Textedebulles">
    <w:name w:val="Balloon Text"/>
    <w:basedOn w:val="Normal"/>
    <w:link w:val="TextedebullesCar"/>
    <w:uiPriority w:val="99"/>
    <w:semiHidden/>
    <w:unhideWhenUsed/>
    <w:rsid w:val="00E174F3"/>
    <w:rPr>
      <w:rFonts w:ascii="Segoe UI" w:hAnsi="Segoe UI" w:cs="Segoe UI"/>
      <w:sz w:val="18"/>
      <w:szCs w:val="18"/>
    </w:rPr>
  </w:style>
  <w:style w:type="character" w:customStyle="1" w:styleId="TextedebullesCar">
    <w:name w:val="Texte de bulles Car"/>
    <w:link w:val="Textedebulles"/>
    <w:uiPriority w:val="99"/>
    <w:semiHidden/>
    <w:rsid w:val="00E174F3"/>
    <w:rPr>
      <w:rFonts w:ascii="Segoe UI" w:hAnsi="Segoe UI" w:cs="Segoe UI"/>
      <w:sz w:val="18"/>
      <w:szCs w:val="18"/>
      <w:lang w:eastAsia="fr-FR"/>
    </w:rPr>
  </w:style>
  <w:style w:type="character" w:customStyle="1" w:styleId="ssbf1">
    <w:name w:val="ss_bf1"/>
    <w:rsid w:val="007C0506"/>
    <w:rPr>
      <w:b/>
      <w:bCs/>
      <w:color w:val="373739"/>
    </w:rPr>
  </w:style>
  <w:style w:type="character" w:customStyle="1" w:styleId="italic">
    <w:name w:val="italic"/>
    <w:rsid w:val="00CC2765"/>
  </w:style>
  <w:style w:type="paragraph" w:customStyle="1" w:styleId="citationenretrait1">
    <w:name w:val="citationenretrait1"/>
    <w:basedOn w:val="Normal"/>
    <w:rsid w:val="00CC2765"/>
    <w:pPr>
      <w:spacing w:before="120" w:after="120"/>
      <w:ind w:left="720" w:right="720"/>
      <w:jc w:val="both"/>
    </w:pPr>
    <w:rPr>
      <w:rFonts w:cs="Arial"/>
      <w:sz w:val="22"/>
      <w:szCs w:val="22"/>
      <w:lang w:eastAsia="fr-CA"/>
    </w:rPr>
  </w:style>
  <w:style w:type="character" w:customStyle="1" w:styleId="bold">
    <w:name w:val="bold"/>
    <w:rsid w:val="00CC2765"/>
  </w:style>
  <w:style w:type="character" w:customStyle="1" w:styleId="reflex3-block">
    <w:name w:val="reflex3-block"/>
    <w:rsid w:val="00CC2765"/>
  </w:style>
  <w:style w:type="character" w:customStyle="1" w:styleId="reflex3-alt">
    <w:name w:val="reflex3-alt"/>
    <w:rsid w:val="00CC2765"/>
  </w:style>
  <w:style w:type="character" w:customStyle="1" w:styleId="Titre2Car">
    <w:name w:val="Titre 2 Car"/>
    <w:link w:val="Titre2"/>
    <w:rsid w:val="00F25FBE"/>
    <w:rPr>
      <w:rFonts w:ascii="Arial" w:hAnsi="Arial"/>
      <w:b/>
      <w:i/>
      <w:sz w:val="24"/>
      <w:lang w:eastAsia="fr-FR"/>
    </w:rPr>
  </w:style>
  <w:style w:type="character" w:customStyle="1" w:styleId="solexhl">
    <w:name w:val="solexhl"/>
    <w:rsid w:val="00AE46CA"/>
  </w:style>
  <w:style w:type="character" w:customStyle="1" w:styleId="Titre3Car">
    <w:name w:val="Titre 3 Car"/>
    <w:link w:val="Titre3"/>
    <w:rsid w:val="00AE46CA"/>
    <w:rPr>
      <w:rFonts w:ascii="Arial" w:hAnsi="Arial"/>
      <w:sz w:val="24"/>
      <w:lang w:eastAsia="fr-FR"/>
    </w:rPr>
  </w:style>
  <w:style w:type="paragraph" w:customStyle="1" w:styleId="scjquote1">
    <w:name w:val="scjquote1"/>
    <w:basedOn w:val="Normal"/>
    <w:rsid w:val="00DE116B"/>
    <w:pPr>
      <w:spacing w:after="120"/>
      <w:ind w:left="720" w:right="720"/>
    </w:pPr>
    <w:rPr>
      <w:rFonts w:cs="Arial"/>
      <w:sz w:val="22"/>
      <w:szCs w:val="22"/>
      <w:lang w:eastAsia="fr-CA"/>
    </w:rPr>
  </w:style>
  <w:style w:type="paragraph" w:customStyle="1" w:styleId="scjnumber1">
    <w:name w:val="scjnumber1"/>
    <w:basedOn w:val="Normal"/>
    <w:rsid w:val="00DE116B"/>
    <w:pPr>
      <w:spacing w:after="240"/>
    </w:pPr>
    <w:rPr>
      <w:rFonts w:cs="Arial"/>
      <w:szCs w:val="24"/>
      <w:lang w:eastAsia="fr-CA"/>
    </w:rPr>
  </w:style>
  <w:style w:type="character" w:customStyle="1" w:styleId="reflex2-link1">
    <w:name w:val="reflex2-link1"/>
    <w:rsid w:val="003E23FF"/>
    <w:rPr>
      <w:strike w:val="0"/>
      <w:dstrike w:val="0"/>
      <w:color w:val="027ABB"/>
      <w:u w:val="none"/>
      <w:effect w:val="none"/>
    </w:rPr>
  </w:style>
  <w:style w:type="paragraph" w:customStyle="1" w:styleId="paragraphe2">
    <w:name w:val="paragraphe2"/>
    <w:basedOn w:val="Normal"/>
    <w:rsid w:val="000A6901"/>
    <w:pPr>
      <w:spacing w:before="120" w:after="120"/>
      <w:jc w:val="both"/>
    </w:pPr>
    <w:rPr>
      <w:rFonts w:cs="Arial"/>
      <w:szCs w:val="24"/>
      <w:lang w:eastAsia="fr-CA"/>
    </w:rPr>
  </w:style>
  <w:style w:type="paragraph" w:customStyle="1" w:styleId="paranondepar-altn">
    <w:name w:val="paranondepar-altn"/>
    <w:basedOn w:val="Normal"/>
    <w:rsid w:val="00AB5912"/>
    <w:pPr>
      <w:spacing w:before="100" w:beforeAutospacing="1" w:after="100" w:afterAutospacing="1"/>
    </w:pPr>
    <w:rPr>
      <w:rFonts w:ascii="Times New Roman" w:hAnsi="Times New Roman"/>
      <w:szCs w:val="24"/>
      <w:lang w:eastAsia="fr-CA"/>
    </w:rPr>
  </w:style>
  <w:style w:type="character" w:customStyle="1" w:styleId="highlight">
    <w:name w:val="highlight"/>
    <w:rsid w:val="00AB5912"/>
  </w:style>
  <w:style w:type="character" w:customStyle="1" w:styleId="sslistitemcontent2">
    <w:name w:val="ss_listitemcontent2"/>
    <w:rsid w:val="00F45FAF"/>
  </w:style>
  <w:style w:type="character" w:customStyle="1" w:styleId="reflex">
    <w:name w:val="reflex"/>
    <w:rsid w:val="00417373"/>
  </w:style>
  <w:style w:type="paragraph" w:customStyle="1" w:styleId="paragraphe0">
    <w:name w:val="paragraphe"/>
    <w:basedOn w:val="Normal"/>
    <w:rsid w:val="00F71111"/>
    <w:pPr>
      <w:spacing w:before="100" w:beforeAutospacing="1" w:after="100" w:afterAutospacing="1"/>
    </w:pPr>
    <w:rPr>
      <w:rFonts w:ascii="Times New Roman" w:hAnsi="Times New Roman"/>
      <w:szCs w:val="24"/>
      <w:lang w:eastAsia="fr-CA"/>
    </w:rPr>
  </w:style>
  <w:style w:type="character" w:styleId="Accentuation">
    <w:name w:val="Emphasis"/>
    <w:uiPriority w:val="20"/>
    <w:qFormat/>
    <w:rsid w:val="009A5A6B"/>
    <w:rPr>
      <w:i/>
      <w:iCs/>
    </w:rPr>
  </w:style>
  <w:style w:type="character" w:customStyle="1" w:styleId="ssit2">
    <w:name w:val="ss_it2"/>
    <w:rsid w:val="00F43A14"/>
    <w:rPr>
      <w:i/>
      <w:iCs/>
    </w:rPr>
  </w:style>
  <w:style w:type="character" w:customStyle="1" w:styleId="sh4024434031">
    <w:name w:val="sh_4024434031"/>
    <w:rsid w:val="00132AB1"/>
  </w:style>
  <w:style w:type="paragraph" w:customStyle="1" w:styleId="citationenretrait0">
    <w:name w:val="citationenretrait"/>
    <w:basedOn w:val="Normal"/>
    <w:rsid w:val="00DA71A7"/>
    <w:pPr>
      <w:spacing w:before="100" w:beforeAutospacing="1" w:after="100" w:afterAutospacing="1"/>
    </w:pPr>
    <w:rPr>
      <w:rFonts w:ascii="Times New Roman" w:hAnsi="Times New Roman"/>
      <w:szCs w:val="24"/>
      <w:lang w:eastAsia="fr-CA"/>
    </w:rPr>
  </w:style>
  <w:style w:type="paragraph" w:customStyle="1" w:styleId="sccnormaldoublespacing">
    <w:name w:val="sccnormaldoublespacing"/>
    <w:basedOn w:val="Normal"/>
    <w:rsid w:val="003B21DB"/>
    <w:pPr>
      <w:spacing w:before="100" w:beforeAutospacing="1" w:after="100" w:afterAutospacing="1"/>
    </w:pPr>
    <w:rPr>
      <w:rFonts w:ascii="Times New Roman" w:hAnsi="Times New Roman"/>
      <w:szCs w:val="24"/>
      <w:lang w:eastAsia="fr-CA"/>
    </w:rPr>
  </w:style>
  <w:style w:type="character" w:customStyle="1" w:styleId="Titre1Car">
    <w:name w:val="Titre 1 Car"/>
    <w:link w:val="Titre1"/>
    <w:rsid w:val="00DA1A8B"/>
    <w:rPr>
      <w:rFonts w:ascii="Arial" w:hAnsi="Arial"/>
      <w:b/>
      <w:kern w:val="28"/>
      <w:sz w:val="28"/>
      <w:lang w:eastAsia="fr-FR"/>
    </w:rPr>
  </w:style>
  <w:style w:type="paragraph" w:customStyle="1" w:styleId="1">
    <w:name w:val="1"/>
    <w:basedOn w:val="Normal"/>
    <w:rsid w:val="002C05E6"/>
    <w:pPr>
      <w:spacing w:before="100" w:beforeAutospacing="1" w:after="100" w:afterAutospacing="1"/>
    </w:pPr>
    <w:rPr>
      <w:rFonts w:ascii="Times New Roman" w:hAnsi="Times New Roman"/>
      <w:szCs w:val="24"/>
      <w:lang w:eastAsia="fr-CA"/>
    </w:rPr>
  </w:style>
  <w:style w:type="character" w:styleId="Numrodepage">
    <w:name w:val="page number"/>
    <w:basedOn w:val="Policepardfaut"/>
    <w:uiPriority w:val="99"/>
    <w:semiHidden/>
    <w:unhideWhenUsed/>
    <w:rsid w:val="00EF1A09"/>
  </w:style>
  <w:style w:type="paragraph" w:customStyle="1" w:styleId="paragrdouble">
    <w:name w:val="paragrdouble"/>
    <w:basedOn w:val="Normal"/>
    <w:rsid w:val="00EF1A09"/>
    <w:pPr>
      <w:spacing w:before="100" w:beforeAutospacing="1" w:after="100" w:afterAutospacing="1"/>
    </w:pPr>
    <w:rPr>
      <w:rFonts w:ascii="Times New Roman" w:hAnsi="Times New Roman"/>
      <w:szCs w:val="24"/>
      <w:lang w:val="en-US" w:eastAsia="en-US"/>
    </w:rPr>
  </w:style>
  <w:style w:type="paragraph" w:customStyle="1" w:styleId="paragrsimple">
    <w:name w:val="paragrsimple"/>
    <w:basedOn w:val="Normal"/>
    <w:rsid w:val="00B438C5"/>
    <w:pPr>
      <w:spacing w:before="100" w:beforeAutospacing="1" w:after="100" w:afterAutospacing="1"/>
    </w:pPr>
    <w:rPr>
      <w:rFonts w:ascii="Times New Roman" w:hAnsi="Times New Roman"/>
      <w:szCs w:val="24"/>
      <w:lang w:val="en-US" w:eastAsia="en-US"/>
    </w:rPr>
  </w:style>
  <w:style w:type="character" w:customStyle="1" w:styleId="reflex2-link">
    <w:name w:val="reflex2-link"/>
    <w:basedOn w:val="Policepardfaut"/>
    <w:rsid w:val="00922E91"/>
  </w:style>
  <w:style w:type="paragraph" w:customStyle="1" w:styleId="marginalnote">
    <w:name w:val="marginalnote"/>
    <w:basedOn w:val="Normal"/>
    <w:rsid w:val="00EA2D72"/>
    <w:pPr>
      <w:spacing w:before="100" w:beforeAutospacing="1" w:after="100" w:afterAutospacing="1"/>
    </w:pPr>
    <w:rPr>
      <w:rFonts w:ascii="Times New Roman" w:hAnsi="Times New Roman"/>
      <w:szCs w:val="24"/>
      <w:lang w:eastAsia="fr-CA"/>
    </w:rPr>
  </w:style>
  <w:style w:type="paragraph" w:customStyle="1" w:styleId="subsection">
    <w:name w:val="subsection"/>
    <w:basedOn w:val="Normal"/>
    <w:rsid w:val="00EA2D72"/>
    <w:pPr>
      <w:spacing w:before="100" w:beforeAutospacing="1" w:after="100" w:afterAutospacing="1"/>
    </w:pPr>
    <w:rPr>
      <w:rFonts w:ascii="Times New Roman" w:hAnsi="Times New Roman"/>
      <w:szCs w:val="24"/>
      <w:lang w:eastAsia="fr-CA"/>
    </w:rPr>
  </w:style>
  <w:style w:type="character" w:customStyle="1" w:styleId="sectionlabel">
    <w:name w:val="sectionlabel"/>
    <w:basedOn w:val="Policepardfaut"/>
    <w:rsid w:val="00EA2D72"/>
  </w:style>
  <w:style w:type="character" w:customStyle="1" w:styleId="lawlabel">
    <w:name w:val="lawlabel"/>
    <w:basedOn w:val="Policepardfaut"/>
    <w:rsid w:val="00EA2D72"/>
  </w:style>
  <w:style w:type="character" w:customStyle="1" w:styleId="canliisectionwithsubsection">
    <w:name w:val="canlii_section_with_subsection"/>
    <w:basedOn w:val="Policepardfaut"/>
    <w:rsid w:val="00EA2D72"/>
  </w:style>
  <w:style w:type="character" w:customStyle="1" w:styleId="canliisubsection">
    <w:name w:val="canlii_subsection"/>
    <w:basedOn w:val="Policepardfaut"/>
    <w:rsid w:val="00EA2D72"/>
  </w:style>
  <w:style w:type="paragraph" w:customStyle="1" w:styleId="paragraph">
    <w:name w:val="paragraph"/>
    <w:basedOn w:val="Normal"/>
    <w:rsid w:val="00EA2D72"/>
    <w:pPr>
      <w:spacing w:before="100" w:beforeAutospacing="1" w:after="100" w:afterAutospacing="1"/>
    </w:pPr>
    <w:rPr>
      <w:rFonts w:ascii="Times New Roman" w:hAnsi="Times New Roman"/>
      <w:szCs w:val="24"/>
      <w:lang w:eastAsia="fr-CA"/>
    </w:rPr>
  </w:style>
  <w:style w:type="table" w:styleId="Grilledutableau">
    <w:name w:val="Table Grid"/>
    <w:basedOn w:val="TableauNormal"/>
    <w:uiPriority w:val="59"/>
    <w:rsid w:val="00361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8F36C0"/>
    <w:pPr>
      <w:tabs>
        <w:tab w:val="right" w:leader="dot" w:pos="9352"/>
      </w:tabs>
      <w:spacing w:before="360"/>
      <w:ind w:left="142"/>
    </w:pPr>
    <w:rPr>
      <w:rFonts w:asciiTheme="majorHAnsi" w:hAnsiTheme="majorHAnsi" w:cstheme="majorHAnsi"/>
      <w:b/>
      <w:bCs/>
      <w:caps/>
      <w:szCs w:val="24"/>
    </w:rPr>
  </w:style>
  <w:style w:type="paragraph" w:styleId="TM2">
    <w:name w:val="toc 2"/>
    <w:basedOn w:val="Normal"/>
    <w:next w:val="Normal"/>
    <w:autoRedefine/>
    <w:uiPriority w:val="39"/>
    <w:unhideWhenUsed/>
    <w:rsid w:val="008F36C0"/>
    <w:pPr>
      <w:tabs>
        <w:tab w:val="left" w:pos="851"/>
        <w:tab w:val="right" w:leader="dot" w:pos="9352"/>
      </w:tabs>
      <w:spacing w:before="240"/>
      <w:ind w:left="426"/>
    </w:pPr>
    <w:rPr>
      <w:rFonts w:cs="Arial"/>
      <w:bCs/>
      <w:noProof/>
      <w:sz w:val="20"/>
    </w:rPr>
  </w:style>
  <w:style w:type="paragraph" w:styleId="TM3">
    <w:name w:val="toc 3"/>
    <w:basedOn w:val="Normal"/>
    <w:next w:val="Normal"/>
    <w:autoRedefine/>
    <w:uiPriority w:val="39"/>
    <w:unhideWhenUsed/>
    <w:rsid w:val="00212730"/>
    <w:pPr>
      <w:tabs>
        <w:tab w:val="left" w:pos="1418"/>
        <w:tab w:val="right" w:leader="dot" w:pos="9352"/>
      </w:tabs>
      <w:ind w:left="993"/>
    </w:pPr>
    <w:rPr>
      <w:rFonts w:asciiTheme="minorHAnsi" w:hAnsiTheme="minorHAnsi" w:cstheme="minorHAnsi"/>
      <w:sz w:val="20"/>
    </w:rPr>
  </w:style>
  <w:style w:type="paragraph" w:styleId="TM4">
    <w:name w:val="toc 4"/>
    <w:basedOn w:val="Normal"/>
    <w:next w:val="Normal"/>
    <w:autoRedefine/>
    <w:uiPriority w:val="39"/>
    <w:unhideWhenUsed/>
    <w:rsid w:val="008F36C0"/>
    <w:pPr>
      <w:ind w:left="480"/>
    </w:pPr>
    <w:rPr>
      <w:rFonts w:asciiTheme="minorHAnsi" w:hAnsiTheme="minorHAnsi" w:cstheme="minorHAnsi"/>
      <w:sz w:val="20"/>
    </w:rPr>
  </w:style>
  <w:style w:type="paragraph" w:styleId="TM5">
    <w:name w:val="toc 5"/>
    <w:basedOn w:val="Normal"/>
    <w:next w:val="Normal"/>
    <w:autoRedefine/>
    <w:uiPriority w:val="39"/>
    <w:unhideWhenUsed/>
    <w:rsid w:val="008F36C0"/>
    <w:pPr>
      <w:ind w:left="720"/>
    </w:pPr>
    <w:rPr>
      <w:rFonts w:asciiTheme="minorHAnsi" w:hAnsiTheme="minorHAnsi" w:cstheme="minorHAnsi"/>
      <w:sz w:val="20"/>
    </w:rPr>
  </w:style>
  <w:style w:type="paragraph" w:styleId="TM6">
    <w:name w:val="toc 6"/>
    <w:basedOn w:val="Normal"/>
    <w:next w:val="Normal"/>
    <w:autoRedefine/>
    <w:uiPriority w:val="39"/>
    <w:unhideWhenUsed/>
    <w:rsid w:val="008F36C0"/>
    <w:pPr>
      <w:ind w:left="960"/>
    </w:pPr>
    <w:rPr>
      <w:rFonts w:asciiTheme="minorHAnsi" w:hAnsiTheme="minorHAnsi" w:cstheme="minorHAnsi"/>
      <w:sz w:val="20"/>
    </w:rPr>
  </w:style>
  <w:style w:type="paragraph" w:styleId="TM7">
    <w:name w:val="toc 7"/>
    <w:basedOn w:val="Normal"/>
    <w:next w:val="Normal"/>
    <w:autoRedefine/>
    <w:uiPriority w:val="39"/>
    <w:unhideWhenUsed/>
    <w:rsid w:val="008F36C0"/>
    <w:pPr>
      <w:ind w:left="1200"/>
    </w:pPr>
    <w:rPr>
      <w:rFonts w:asciiTheme="minorHAnsi" w:hAnsiTheme="minorHAnsi" w:cstheme="minorHAnsi"/>
      <w:sz w:val="20"/>
    </w:rPr>
  </w:style>
  <w:style w:type="paragraph" w:styleId="TM8">
    <w:name w:val="toc 8"/>
    <w:basedOn w:val="Normal"/>
    <w:next w:val="Normal"/>
    <w:autoRedefine/>
    <w:uiPriority w:val="39"/>
    <w:unhideWhenUsed/>
    <w:rsid w:val="008F36C0"/>
    <w:pPr>
      <w:ind w:left="1440"/>
    </w:pPr>
    <w:rPr>
      <w:rFonts w:asciiTheme="minorHAnsi" w:hAnsiTheme="minorHAnsi" w:cstheme="minorHAnsi"/>
      <w:sz w:val="20"/>
    </w:rPr>
  </w:style>
  <w:style w:type="paragraph" w:styleId="TM9">
    <w:name w:val="toc 9"/>
    <w:basedOn w:val="Normal"/>
    <w:next w:val="Normal"/>
    <w:autoRedefine/>
    <w:uiPriority w:val="39"/>
    <w:unhideWhenUsed/>
    <w:rsid w:val="008F36C0"/>
    <w:pPr>
      <w:ind w:left="1680"/>
    </w:pPr>
    <w:rPr>
      <w:rFonts w:asciiTheme="minorHAnsi" w:hAnsiTheme="minorHAnsi" w:cstheme="minorHAnsi"/>
      <w:sz w:val="20"/>
    </w:rPr>
  </w:style>
  <w:style w:type="character" w:customStyle="1" w:styleId="reflex3-missing">
    <w:name w:val="reflex3-missing"/>
    <w:basedOn w:val="Policepardfaut"/>
    <w:rsid w:val="006835B1"/>
  </w:style>
  <w:style w:type="paragraph" w:customStyle="1" w:styleId="felskynumbering12">
    <w:name w:val="felskynumbering12"/>
    <w:basedOn w:val="Normal"/>
    <w:rsid w:val="00472806"/>
    <w:pPr>
      <w:spacing w:before="100" w:beforeAutospacing="1" w:after="100" w:afterAutospacing="1"/>
    </w:pPr>
    <w:rPr>
      <w:rFonts w:ascii="Times New Roman" w:hAnsi="Times New Roman"/>
      <w:szCs w:val="24"/>
      <w:lang w:eastAsia="fr-CA"/>
    </w:rPr>
  </w:style>
  <w:style w:type="paragraph" w:customStyle="1" w:styleId="quote1st">
    <w:name w:val="quote1st"/>
    <w:basedOn w:val="Normal"/>
    <w:rsid w:val="00472806"/>
    <w:pPr>
      <w:spacing w:before="100" w:beforeAutospacing="1" w:after="100" w:afterAutospacing="1"/>
    </w:pPr>
    <w:rPr>
      <w:rFonts w:ascii="Times New Roman" w:hAnsi="Times New Roman"/>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7754">
      <w:bodyDiv w:val="1"/>
      <w:marLeft w:val="0"/>
      <w:marRight w:val="0"/>
      <w:marTop w:val="0"/>
      <w:marBottom w:val="0"/>
      <w:divBdr>
        <w:top w:val="none" w:sz="0" w:space="0" w:color="auto"/>
        <w:left w:val="none" w:sz="0" w:space="0" w:color="auto"/>
        <w:bottom w:val="none" w:sz="0" w:space="0" w:color="auto"/>
        <w:right w:val="none" w:sz="0" w:space="0" w:color="auto"/>
      </w:divBdr>
      <w:divsChild>
        <w:div w:id="1360397282">
          <w:marLeft w:val="0"/>
          <w:marRight w:val="0"/>
          <w:marTop w:val="0"/>
          <w:marBottom w:val="0"/>
          <w:divBdr>
            <w:top w:val="none" w:sz="0" w:space="0" w:color="auto"/>
            <w:left w:val="none" w:sz="0" w:space="0" w:color="auto"/>
            <w:bottom w:val="none" w:sz="0" w:space="0" w:color="auto"/>
            <w:right w:val="none" w:sz="0" w:space="0" w:color="auto"/>
          </w:divBdr>
        </w:div>
      </w:divsChild>
    </w:div>
    <w:div w:id="175458592">
      <w:bodyDiv w:val="1"/>
      <w:marLeft w:val="0"/>
      <w:marRight w:val="0"/>
      <w:marTop w:val="0"/>
      <w:marBottom w:val="0"/>
      <w:divBdr>
        <w:top w:val="none" w:sz="0" w:space="0" w:color="auto"/>
        <w:left w:val="none" w:sz="0" w:space="0" w:color="auto"/>
        <w:bottom w:val="none" w:sz="0" w:space="0" w:color="auto"/>
        <w:right w:val="none" w:sz="0" w:space="0" w:color="auto"/>
      </w:divBdr>
      <w:divsChild>
        <w:div w:id="1259019277">
          <w:marLeft w:val="0"/>
          <w:marRight w:val="0"/>
          <w:marTop w:val="0"/>
          <w:marBottom w:val="0"/>
          <w:divBdr>
            <w:top w:val="none" w:sz="0" w:space="0" w:color="auto"/>
            <w:left w:val="none" w:sz="0" w:space="0" w:color="auto"/>
            <w:bottom w:val="none" w:sz="0" w:space="0" w:color="auto"/>
            <w:right w:val="none" w:sz="0" w:space="0" w:color="auto"/>
          </w:divBdr>
        </w:div>
        <w:div w:id="849374016">
          <w:marLeft w:val="0"/>
          <w:marRight w:val="0"/>
          <w:marTop w:val="0"/>
          <w:marBottom w:val="0"/>
          <w:divBdr>
            <w:top w:val="none" w:sz="0" w:space="0" w:color="auto"/>
            <w:left w:val="none" w:sz="0" w:space="0" w:color="auto"/>
            <w:bottom w:val="none" w:sz="0" w:space="0" w:color="auto"/>
            <w:right w:val="none" w:sz="0" w:space="0" w:color="auto"/>
          </w:divBdr>
        </w:div>
        <w:div w:id="419834072">
          <w:marLeft w:val="0"/>
          <w:marRight w:val="0"/>
          <w:marTop w:val="0"/>
          <w:marBottom w:val="0"/>
          <w:divBdr>
            <w:top w:val="none" w:sz="0" w:space="0" w:color="auto"/>
            <w:left w:val="none" w:sz="0" w:space="0" w:color="auto"/>
            <w:bottom w:val="none" w:sz="0" w:space="0" w:color="auto"/>
            <w:right w:val="none" w:sz="0" w:space="0" w:color="auto"/>
          </w:divBdr>
        </w:div>
      </w:divsChild>
    </w:div>
    <w:div w:id="184102038">
      <w:bodyDiv w:val="1"/>
      <w:marLeft w:val="0"/>
      <w:marRight w:val="0"/>
      <w:marTop w:val="0"/>
      <w:marBottom w:val="0"/>
      <w:divBdr>
        <w:top w:val="none" w:sz="0" w:space="0" w:color="auto"/>
        <w:left w:val="none" w:sz="0" w:space="0" w:color="auto"/>
        <w:bottom w:val="none" w:sz="0" w:space="0" w:color="auto"/>
        <w:right w:val="none" w:sz="0" w:space="0" w:color="auto"/>
      </w:divBdr>
      <w:divsChild>
        <w:div w:id="1733653055">
          <w:marLeft w:val="0"/>
          <w:marRight w:val="0"/>
          <w:marTop w:val="0"/>
          <w:marBottom w:val="0"/>
          <w:divBdr>
            <w:top w:val="none" w:sz="0" w:space="0" w:color="auto"/>
            <w:left w:val="none" w:sz="0" w:space="0" w:color="auto"/>
            <w:bottom w:val="none" w:sz="0" w:space="0" w:color="auto"/>
            <w:right w:val="none" w:sz="0" w:space="0" w:color="auto"/>
          </w:divBdr>
          <w:divsChild>
            <w:div w:id="1869876601">
              <w:marLeft w:val="0"/>
              <w:marRight w:val="0"/>
              <w:marTop w:val="0"/>
              <w:marBottom w:val="0"/>
              <w:divBdr>
                <w:top w:val="none" w:sz="0" w:space="0" w:color="auto"/>
                <w:left w:val="none" w:sz="0" w:space="0" w:color="auto"/>
                <w:bottom w:val="none" w:sz="0" w:space="0" w:color="auto"/>
                <w:right w:val="none" w:sz="0" w:space="0" w:color="auto"/>
              </w:divBdr>
              <w:divsChild>
                <w:div w:id="1812675394">
                  <w:marLeft w:val="0"/>
                  <w:marRight w:val="0"/>
                  <w:marTop w:val="0"/>
                  <w:marBottom w:val="360"/>
                  <w:divBdr>
                    <w:top w:val="none" w:sz="0" w:space="0" w:color="auto"/>
                    <w:left w:val="none" w:sz="0" w:space="0" w:color="auto"/>
                    <w:bottom w:val="none" w:sz="0" w:space="0" w:color="auto"/>
                    <w:right w:val="none" w:sz="0" w:space="0" w:color="auto"/>
                  </w:divBdr>
                  <w:divsChild>
                    <w:div w:id="1680813402">
                      <w:marLeft w:val="0"/>
                      <w:marRight w:val="0"/>
                      <w:marTop w:val="0"/>
                      <w:marBottom w:val="0"/>
                      <w:divBdr>
                        <w:top w:val="none" w:sz="0" w:space="0" w:color="auto"/>
                        <w:left w:val="none" w:sz="0" w:space="0" w:color="auto"/>
                        <w:bottom w:val="none" w:sz="0" w:space="0" w:color="auto"/>
                        <w:right w:val="none" w:sz="0" w:space="0" w:color="auto"/>
                      </w:divBdr>
                      <w:divsChild>
                        <w:div w:id="1444811236">
                          <w:marLeft w:val="0"/>
                          <w:marRight w:val="0"/>
                          <w:marTop w:val="0"/>
                          <w:marBottom w:val="0"/>
                          <w:divBdr>
                            <w:top w:val="none" w:sz="0" w:space="0" w:color="auto"/>
                            <w:left w:val="none" w:sz="0" w:space="0" w:color="auto"/>
                            <w:bottom w:val="none" w:sz="0" w:space="0" w:color="auto"/>
                            <w:right w:val="none" w:sz="0" w:space="0" w:color="auto"/>
                          </w:divBdr>
                          <w:divsChild>
                            <w:div w:id="1395466745">
                              <w:marLeft w:val="0"/>
                              <w:marRight w:val="0"/>
                              <w:marTop w:val="0"/>
                              <w:marBottom w:val="0"/>
                              <w:divBdr>
                                <w:top w:val="none" w:sz="0" w:space="0" w:color="auto"/>
                                <w:left w:val="none" w:sz="0" w:space="0" w:color="auto"/>
                                <w:bottom w:val="none" w:sz="0" w:space="0" w:color="auto"/>
                                <w:right w:val="none" w:sz="0" w:space="0" w:color="auto"/>
                              </w:divBdr>
                              <w:divsChild>
                                <w:div w:id="224489842">
                                  <w:marLeft w:val="0"/>
                                  <w:marRight w:val="0"/>
                                  <w:marTop w:val="0"/>
                                  <w:marBottom w:val="0"/>
                                  <w:divBdr>
                                    <w:top w:val="none" w:sz="0" w:space="0" w:color="auto"/>
                                    <w:left w:val="none" w:sz="0" w:space="0" w:color="auto"/>
                                    <w:bottom w:val="none" w:sz="0" w:space="0" w:color="auto"/>
                                    <w:right w:val="none" w:sz="0" w:space="0" w:color="auto"/>
                                  </w:divBdr>
                                  <w:divsChild>
                                    <w:div w:id="480392546">
                                      <w:marLeft w:val="0"/>
                                      <w:marRight w:val="0"/>
                                      <w:marTop w:val="0"/>
                                      <w:marBottom w:val="0"/>
                                      <w:divBdr>
                                        <w:top w:val="none" w:sz="0" w:space="0" w:color="auto"/>
                                        <w:left w:val="none" w:sz="0" w:space="0" w:color="auto"/>
                                        <w:bottom w:val="none" w:sz="0" w:space="0" w:color="auto"/>
                                        <w:right w:val="none" w:sz="0" w:space="0" w:color="auto"/>
                                      </w:divBdr>
                                      <w:divsChild>
                                        <w:div w:id="2036617179">
                                          <w:marLeft w:val="0"/>
                                          <w:marRight w:val="0"/>
                                          <w:marTop w:val="0"/>
                                          <w:marBottom w:val="0"/>
                                          <w:divBdr>
                                            <w:top w:val="none" w:sz="0" w:space="0" w:color="auto"/>
                                            <w:left w:val="none" w:sz="0" w:space="0" w:color="auto"/>
                                            <w:bottom w:val="none" w:sz="0" w:space="0" w:color="auto"/>
                                            <w:right w:val="none" w:sz="0" w:space="0" w:color="auto"/>
                                          </w:divBdr>
                                          <w:divsChild>
                                            <w:div w:id="15283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497746">
      <w:bodyDiv w:val="1"/>
      <w:marLeft w:val="0"/>
      <w:marRight w:val="0"/>
      <w:marTop w:val="0"/>
      <w:marBottom w:val="0"/>
      <w:divBdr>
        <w:top w:val="none" w:sz="0" w:space="0" w:color="auto"/>
        <w:left w:val="none" w:sz="0" w:space="0" w:color="auto"/>
        <w:bottom w:val="none" w:sz="0" w:space="0" w:color="auto"/>
        <w:right w:val="none" w:sz="0" w:space="0" w:color="auto"/>
      </w:divBdr>
    </w:div>
    <w:div w:id="314335224">
      <w:bodyDiv w:val="1"/>
      <w:marLeft w:val="0"/>
      <w:marRight w:val="0"/>
      <w:marTop w:val="0"/>
      <w:marBottom w:val="0"/>
      <w:divBdr>
        <w:top w:val="none" w:sz="0" w:space="0" w:color="auto"/>
        <w:left w:val="none" w:sz="0" w:space="0" w:color="auto"/>
        <w:bottom w:val="none" w:sz="0" w:space="0" w:color="auto"/>
        <w:right w:val="none" w:sz="0" w:space="0" w:color="auto"/>
      </w:divBdr>
      <w:divsChild>
        <w:div w:id="130751387">
          <w:marLeft w:val="0"/>
          <w:marRight w:val="0"/>
          <w:marTop w:val="0"/>
          <w:marBottom w:val="0"/>
          <w:divBdr>
            <w:top w:val="none" w:sz="0" w:space="0" w:color="auto"/>
            <w:left w:val="none" w:sz="0" w:space="0" w:color="auto"/>
            <w:bottom w:val="none" w:sz="0" w:space="0" w:color="auto"/>
            <w:right w:val="none" w:sz="0" w:space="0" w:color="auto"/>
          </w:divBdr>
        </w:div>
        <w:div w:id="557473135">
          <w:marLeft w:val="0"/>
          <w:marRight w:val="0"/>
          <w:marTop w:val="0"/>
          <w:marBottom w:val="0"/>
          <w:divBdr>
            <w:top w:val="none" w:sz="0" w:space="0" w:color="auto"/>
            <w:left w:val="none" w:sz="0" w:space="0" w:color="auto"/>
            <w:bottom w:val="none" w:sz="0" w:space="0" w:color="auto"/>
            <w:right w:val="none" w:sz="0" w:space="0" w:color="auto"/>
          </w:divBdr>
        </w:div>
      </w:divsChild>
    </w:div>
    <w:div w:id="322202398">
      <w:bodyDiv w:val="1"/>
      <w:marLeft w:val="0"/>
      <w:marRight w:val="0"/>
      <w:marTop w:val="0"/>
      <w:marBottom w:val="0"/>
      <w:divBdr>
        <w:top w:val="none" w:sz="0" w:space="0" w:color="auto"/>
        <w:left w:val="none" w:sz="0" w:space="0" w:color="auto"/>
        <w:bottom w:val="none" w:sz="0" w:space="0" w:color="auto"/>
        <w:right w:val="none" w:sz="0" w:space="0" w:color="auto"/>
      </w:divBdr>
    </w:div>
    <w:div w:id="359596569">
      <w:bodyDiv w:val="1"/>
      <w:marLeft w:val="0"/>
      <w:marRight w:val="0"/>
      <w:marTop w:val="0"/>
      <w:marBottom w:val="0"/>
      <w:divBdr>
        <w:top w:val="none" w:sz="0" w:space="0" w:color="auto"/>
        <w:left w:val="none" w:sz="0" w:space="0" w:color="auto"/>
        <w:bottom w:val="none" w:sz="0" w:space="0" w:color="auto"/>
        <w:right w:val="none" w:sz="0" w:space="0" w:color="auto"/>
      </w:divBdr>
      <w:divsChild>
        <w:div w:id="1908959006">
          <w:marLeft w:val="0"/>
          <w:marRight w:val="0"/>
          <w:marTop w:val="0"/>
          <w:marBottom w:val="0"/>
          <w:divBdr>
            <w:top w:val="none" w:sz="0" w:space="0" w:color="auto"/>
            <w:left w:val="none" w:sz="0" w:space="0" w:color="auto"/>
            <w:bottom w:val="none" w:sz="0" w:space="0" w:color="auto"/>
            <w:right w:val="none" w:sz="0" w:space="0" w:color="auto"/>
          </w:divBdr>
        </w:div>
      </w:divsChild>
    </w:div>
    <w:div w:id="366108331">
      <w:bodyDiv w:val="1"/>
      <w:marLeft w:val="0"/>
      <w:marRight w:val="0"/>
      <w:marTop w:val="0"/>
      <w:marBottom w:val="0"/>
      <w:divBdr>
        <w:top w:val="none" w:sz="0" w:space="0" w:color="auto"/>
        <w:left w:val="none" w:sz="0" w:space="0" w:color="auto"/>
        <w:bottom w:val="none" w:sz="0" w:space="0" w:color="auto"/>
        <w:right w:val="none" w:sz="0" w:space="0" w:color="auto"/>
      </w:divBdr>
      <w:divsChild>
        <w:div w:id="1274283899">
          <w:marLeft w:val="0"/>
          <w:marRight w:val="0"/>
          <w:marTop w:val="0"/>
          <w:marBottom w:val="0"/>
          <w:divBdr>
            <w:top w:val="none" w:sz="0" w:space="0" w:color="auto"/>
            <w:left w:val="none" w:sz="0" w:space="0" w:color="auto"/>
            <w:bottom w:val="none" w:sz="0" w:space="0" w:color="auto"/>
            <w:right w:val="none" w:sz="0" w:space="0" w:color="auto"/>
          </w:divBdr>
        </w:div>
      </w:divsChild>
    </w:div>
    <w:div w:id="369646146">
      <w:bodyDiv w:val="1"/>
      <w:marLeft w:val="0"/>
      <w:marRight w:val="0"/>
      <w:marTop w:val="0"/>
      <w:marBottom w:val="0"/>
      <w:divBdr>
        <w:top w:val="none" w:sz="0" w:space="0" w:color="auto"/>
        <w:left w:val="none" w:sz="0" w:space="0" w:color="auto"/>
        <w:bottom w:val="none" w:sz="0" w:space="0" w:color="auto"/>
        <w:right w:val="none" w:sz="0" w:space="0" w:color="auto"/>
      </w:divBdr>
    </w:div>
    <w:div w:id="395206664">
      <w:bodyDiv w:val="1"/>
      <w:marLeft w:val="0"/>
      <w:marRight w:val="0"/>
      <w:marTop w:val="0"/>
      <w:marBottom w:val="0"/>
      <w:divBdr>
        <w:top w:val="none" w:sz="0" w:space="0" w:color="auto"/>
        <w:left w:val="none" w:sz="0" w:space="0" w:color="auto"/>
        <w:bottom w:val="none" w:sz="0" w:space="0" w:color="auto"/>
        <w:right w:val="none" w:sz="0" w:space="0" w:color="auto"/>
      </w:divBdr>
      <w:divsChild>
        <w:div w:id="1561987080">
          <w:marLeft w:val="0"/>
          <w:marRight w:val="0"/>
          <w:marTop w:val="0"/>
          <w:marBottom w:val="0"/>
          <w:divBdr>
            <w:top w:val="none" w:sz="0" w:space="0" w:color="auto"/>
            <w:left w:val="none" w:sz="0" w:space="0" w:color="auto"/>
            <w:bottom w:val="none" w:sz="0" w:space="0" w:color="auto"/>
            <w:right w:val="none" w:sz="0" w:space="0" w:color="auto"/>
          </w:divBdr>
          <w:divsChild>
            <w:div w:id="1188713360">
              <w:marLeft w:val="0"/>
              <w:marRight w:val="0"/>
              <w:marTop w:val="0"/>
              <w:marBottom w:val="0"/>
              <w:divBdr>
                <w:top w:val="none" w:sz="0" w:space="0" w:color="auto"/>
                <w:left w:val="none" w:sz="0" w:space="0" w:color="auto"/>
                <w:bottom w:val="none" w:sz="0" w:space="0" w:color="auto"/>
                <w:right w:val="none" w:sz="0" w:space="0" w:color="auto"/>
              </w:divBdr>
              <w:divsChild>
                <w:div w:id="736901639">
                  <w:marLeft w:val="0"/>
                  <w:marRight w:val="0"/>
                  <w:marTop w:val="0"/>
                  <w:marBottom w:val="0"/>
                  <w:divBdr>
                    <w:top w:val="none" w:sz="0" w:space="0" w:color="auto"/>
                    <w:left w:val="none" w:sz="0" w:space="0" w:color="auto"/>
                    <w:bottom w:val="none" w:sz="0" w:space="0" w:color="auto"/>
                    <w:right w:val="none" w:sz="0" w:space="0" w:color="auto"/>
                  </w:divBdr>
                  <w:divsChild>
                    <w:div w:id="154029179">
                      <w:marLeft w:val="0"/>
                      <w:marRight w:val="0"/>
                      <w:marTop w:val="0"/>
                      <w:marBottom w:val="0"/>
                      <w:divBdr>
                        <w:top w:val="none" w:sz="0" w:space="0" w:color="auto"/>
                        <w:left w:val="none" w:sz="0" w:space="0" w:color="auto"/>
                        <w:bottom w:val="none" w:sz="0" w:space="0" w:color="auto"/>
                        <w:right w:val="none" w:sz="0" w:space="0" w:color="auto"/>
                      </w:divBdr>
                      <w:divsChild>
                        <w:div w:id="54746135">
                          <w:marLeft w:val="0"/>
                          <w:marRight w:val="0"/>
                          <w:marTop w:val="0"/>
                          <w:marBottom w:val="0"/>
                          <w:divBdr>
                            <w:top w:val="single" w:sz="6" w:space="26" w:color="BCBEC0"/>
                            <w:left w:val="single" w:sz="6" w:space="26" w:color="BCBEC0"/>
                            <w:bottom w:val="single" w:sz="6" w:space="26" w:color="BCBEC0"/>
                            <w:right w:val="single" w:sz="6" w:space="26" w:color="BCBEC0"/>
                          </w:divBdr>
                          <w:divsChild>
                            <w:div w:id="1154680786">
                              <w:marLeft w:val="0"/>
                              <w:marRight w:val="0"/>
                              <w:marTop w:val="0"/>
                              <w:marBottom w:val="0"/>
                              <w:divBdr>
                                <w:top w:val="none" w:sz="0" w:space="0" w:color="auto"/>
                                <w:left w:val="none" w:sz="0" w:space="0" w:color="auto"/>
                                <w:bottom w:val="none" w:sz="0" w:space="0" w:color="auto"/>
                                <w:right w:val="none" w:sz="0" w:space="0" w:color="auto"/>
                              </w:divBdr>
                              <w:divsChild>
                                <w:div w:id="11710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707570">
      <w:bodyDiv w:val="1"/>
      <w:marLeft w:val="0"/>
      <w:marRight w:val="0"/>
      <w:marTop w:val="0"/>
      <w:marBottom w:val="0"/>
      <w:divBdr>
        <w:top w:val="none" w:sz="0" w:space="0" w:color="auto"/>
        <w:left w:val="none" w:sz="0" w:space="0" w:color="auto"/>
        <w:bottom w:val="none" w:sz="0" w:space="0" w:color="auto"/>
        <w:right w:val="none" w:sz="0" w:space="0" w:color="auto"/>
      </w:divBdr>
      <w:divsChild>
        <w:div w:id="169174934">
          <w:marLeft w:val="0"/>
          <w:marRight w:val="0"/>
          <w:marTop w:val="0"/>
          <w:marBottom w:val="0"/>
          <w:divBdr>
            <w:top w:val="none" w:sz="0" w:space="0" w:color="auto"/>
            <w:left w:val="single" w:sz="6" w:space="0" w:color="BBBBBB"/>
            <w:bottom w:val="single" w:sz="6" w:space="0" w:color="BBBBBB"/>
            <w:right w:val="single" w:sz="6" w:space="0" w:color="BBBBBB"/>
          </w:divBdr>
          <w:divsChild>
            <w:div w:id="1376079834">
              <w:marLeft w:val="0"/>
              <w:marRight w:val="0"/>
              <w:marTop w:val="0"/>
              <w:marBottom w:val="0"/>
              <w:divBdr>
                <w:top w:val="none" w:sz="0" w:space="0" w:color="auto"/>
                <w:left w:val="none" w:sz="0" w:space="0" w:color="auto"/>
                <w:bottom w:val="none" w:sz="0" w:space="0" w:color="auto"/>
                <w:right w:val="none" w:sz="0" w:space="0" w:color="auto"/>
              </w:divBdr>
              <w:divsChild>
                <w:div w:id="1948002115">
                  <w:marLeft w:val="0"/>
                  <w:marRight w:val="0"/>
                  <w:marTop w:val="75"/>
                  <w:marBottom w:val="0"/>
                  <w:divBdr>
                    <w:top w:val="none" w:sz="0" w:space="0" w:color="auto"/>
                    <w:left w:val="none" w:sz="0" w:space="0" w:color="auto"/>
                    <w:bottom w:val="none" w:sz="0" w:space="0" w:color="auto"/>
                    <w:right w:val="none" w:sz="0" w:space="0" w:color="auto"/>
                  </w:divBdr>
                  <w:divsChild>
                    <w:div w:id="1609317747">
                      <w:marLeft w:val="0"/>
                      <w:marRight w:val="0"/>
                      <w:marTop w:val="0"/>
                      <w:marBottom w:val="0"/>
                      <w:divBdr>
                        <w:top w:val="none" w:sz="0" w:space="0" w:color="auto"/>
                        <w:left w:val="none" w:sz="0" w:space="0" w:color="auto"/>
                        <w:bottom w:val="none" w:sz="0" w:space="0" w:color="auto"/>
                        <w:right w:val="none" w:sz="0" w:space="0" w:color="auto"/>
                      </w:divBdr>
                      <w:divsChild>
                        <w:div w:id="52390158">
                          <w:marLeft w:val="0"/>
                          <w:marRight w:val="0"/>
                          <w:marTop w:val="0"/>
                          <w:marBottom w:val="0"/>
                          <w:divBdr>
                            <w:top w:val="none" w:sz="0" w:space="0" w:color="auto"/>
                            <w:left w:val="none" w:sz="0" w:space="0" w:color="auto"/>
                            <w:bottom w:val="none" w:sz="0" w:space="0" w:color="auto"/>
                            <w:right w:val="none" w:sz="0" w:space="0" w:color="auto"/>
                          </w:divBdr>
                          <w:divsChild>
                            <w:div w:id="2030177961">
                              <w:marLeft w:val="0"/>
                              <w:marRight w:val="0"/>
                              <w:marTop w:val="0"/>
                              <w:marBottom w:val="0"/>
                              <w:divBdr>
                                <w:top w:val="none" w:sz="0" w:space="0" w:color="auto"/>
                                <w:left w:val="none" w:sz="0" w:space="0" w:color="auto"/>
                                <w:bottom w:val="none" w:sz="0" w:space="0" w:color="auto"/>
                                <w:right w:val="none" w:sz="0" w:space="0" w:color="auto"/>
                              </w:divBdr>
                              <w:divsChild>
                                <w:div w:id="455493600">
                                  <w:marLeft w:val="0"/>
                                  <w:marRight w:val="0"/>
                                  <w:marTop w:val="0"/>
                                  <w:marBottom w:val="0"/>
                                  <w:divBdr>
                                    <w:top w:val="none" w:sz="0" w:space="0" w:color="auto"/>
                                    <w:left w:val="none" w:sz="0" w:space="0" w:color="auto"/>
                                    <w:bottom w:val="none" w:sz="0" w:space="0" w:color="auto"/>
                                    <w:right w:val="none" w:sz="0" w:space="0" w:color="auto"/>
                                  </w:divBdr>
                                  <w:divsChild>
                                    <w:div w:id="887229244">
                                      <w:marLeft w:val="0"/>
                                      <w:marRight w:val="0"/>
                                      <w:marTop w:val="0"/>
                                      <w:marBottom w:val="0"/>
                                      <w:divBdr>
                                        <w:top w:val="none" w:sz="0" w:space="0" w:color="auto"/>
                                        <w:left w:val="none" w:sz="0" w:space="0" w:color="auto"/>
                                        <w:bottom w:val="none" w:sz="0" w:space="0" w:color="auto"/>
                                        <w:right w:val="none" w:sz="0" w:space="0" w:color="auto"/>
                                      </w:divBdr>
                                      <w:divsChild>
                                        <w:div w:id="1262571393">
                                          <w:marLeft w:val="1200"/>
                                          <w:marRight w:val="1200"/>
                                          <w:marTop w:val="0"/>
                                          <w:marBottom w:val="0"/>
                                          <w:divBdr>
                                            <w:top w:val="none" w:sz="0" w:space="0" w:color="auto"/>
                                            <w:left w:val="none" w:sz="0" w:space="0" w:color="auto"/>
                                            <w:bottom w:val="none" w:sz="0" w:space="0" w:color="auto"/>
                                            <w:right w:val="none" w:sz="0" w:space="0" w:color="auto"/>
                                          </w:divBdr>
                                          <w:divsChild>
                                            <w:div w:id="412169285">
                                              <w:marLeft w:val="0"/>
                                              <w:marRight w:val="0"/>
                                              <w:marTop w:val="0"/>
                                              <w:marBottom w:val="0"/>
                                              <w:divBdr>
                                                <w:top w:val="none" w:sz="0" w:space="0" w:color="auto"/>
                                                <w:left w:val="none" w:sz="0" w:space="0" w:color="auto"/>
                                                <w:bottom w:val="none" w:sz="0" w:space="0" w:color="auto"/>
                                                <w:right w:val="none" w:sz="0" w:space="0" w:color="auto"/>
                                              </w:divBdr>
                                              <w:divsChild>
                                                <w:div w:id="54011013">
                                                  <w:marLeft w:val="0"/>
                                                  <w:marRight w:val="0"/>
                                                  <w:marTop w:val="0"/>
                                                  <w:marBottom w:val="0"/>
                                                  <w:divBdr>
                                                    <w:top w:val="none" w:sz="0" w:space="0" w:color="auto"/>
                                                    <w:left w:val="none" w:sz="0" w:space="0" w:color="auto"/>
                                                    <w:bottom w:val="none" w:sz="0" w:space="0" w:color="auto"/>
                                                    <w:right w:val="none" w:sz="0" w:space="0" w:color="auto"/>
                                                  </w:divBdr>
                                                  <w:divsChild>
                                                    <w:div w:id="1402555778">
                                                      <w:marLeft w:val="0"/>
                                                      <w:marRight w:val="0"/>
                                                      <w:marTop w:val="0"/>
                                                      <w:marBottom w:val="0"/>
                                                      <w:divBdr>
                                                        <w:top w:val="none" w:sz="0" w:space="0" w:color="auto"/>
                                                        <w:left w:val="none" w:sz="0" w:space="0" w:color="auto"/>
                                                        <w:bottom w:val="none" w:sz="0" w:space="0" w:color="auto"/>
                                                        <w:right w:val="none" w:sz="0" w:space="0" w:color="auto"/>
                                                      </w:divBdr>
                                                      <w:divsChild>
                                                        <w:div w:id="495414113">
                                                          <w:marLeft w:val="0"/>
                                                          <w:marRight w:val="0"/>
                                                          <w:marTop w:val="0"/>
                                                          <w:marBottom w:val="0"/>
                                                          <w:divBdr>
                                                            <w:top w:val="none" w:sz="0" w:space="0" w:color="auto"/>
                                                            <w:left w:val="none" w:sz="0" w:space="0" w:color="auto"/>
                                                            <w:bottom w:val="none" w:sz="0" w:space="0" w:color="auto"/>
                                                            <w:right w:val="none" w:sz="0" w:space="0" w:color="auto"/>
                                                          </w:divBdr>
                                                          <w:divsChild>
                                                            <w:div w:id="2120179292">
                                                              <w:marLeft w:val="0"/>
                                                              <w:marRight w:val="0"/>
                                                              <w:marTop w:val="0"/>
                                                              <w:marBottom w:val="0"/>
                                                              <w:divBdr>
                                                                <w:top w:val="none" w:sz="0" w:space="0" w:color="auto"/>
                                                                <w:left w:val="none" w:sz="0" w:space="0" w:color="auto"/>
                                                                <w:bottom w:val="none" w:sz="0" w:space="0" w:color="auto"/>
                                                                <w:right w:val="none" w:sz="0" w:space="0" w:color="auto"/>
                                                              </w:divBdr>
                                                            </w:div>
                                                          </w:divsChild>
                                                        </w:div>
                                                        <w:div w:id="2086218123">
                                                          <w:marLeft w:val="0"/>
                                                          <w:marRight w:val="0"/>
                                                          <w:marTop w:val="0"/>
                                                          <w:marBottom w:val="0"/>
                                                          <w:divBdr>
                                                            <w:top w:val="none" w:sz="0" w:space="0" w:color="auto"/>
                                                            <w:left w:val="none" w:sz="0" w:space="0" w:color="auto"/>
                                                            <w:bottom w:val="none" w:sz="0" w:space="0" w:color="auto"/>
                                                            <w:right w:val="none" w:sz="0" w:space="0" w:color="auto"/>
                                                          </w:divBdr>
                                                          <w:divsChild>
                                                            <w:div w:id="1549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2602341">
      <w:bodyDiv w:val="1"/>
      <w:marLeft w:val="0"/>
      <w:marRight w:val="0"/>
      <w:marTop w:val="0"/>
      <w:marBottom w:val="0"/>
      <w:divBdr>
        <w:top w:val="none" w:sz="0" w:space="0" w:color="auto"/>
        <w:left w:val="none" w:sz="0" w:space="0" w:color="auto"/>
        <w:bottom w:val="none" w:sz="0" w:space="0" w:color="auto"/>
        <w:right w:val="none" w:sz="0" w:space="0" w:color="auto"/>
      </w:divBdr>
    </w:div>
    <w:div w:id="566232656">
      <w:bodyDiv w:val="1"/>
      <w:marLeft w:val="0"/>
      <w:marRight w:val="0"/>
      <w:marTop w:val="0"/>
      <w:marBottom w:val="0"/>
      <w:divBdr>
        <w:top w:val="none" w:sz="0" w:space="0" w:color="auto"/>
        <w:left w:val="none" w:sz="0" w:space="0" w:color="auto"/>
        <w:bottom w:val="none" w:sz="0" w:space="0" w:color="auto"/>
        <w:right w:val="none" w:sz="0" w:space="0" w:color="auto"/>
      </w:divBdr>
      <w:divsChild>
        <w:div w:id="617106211">
          <w:marLeft w:val="0"/>
          <w:marRight w:val="0"/>
          <w:marTop w:val="0"/>
          <w:marBottom w:val="0"/>
          <w:divBdr>
            <w:top w:val="none" w:sz="0" w:space="0" w:color="auto"/>
            <w:left w:val="none" w:sz="0" w:space="0" w:color="auto"/>
            <w:bottom w:val="none" w:sz="0" w:space="0" w:color="auto"/>
            <w:right w:val="none" w:sz="0" w:space="0" w:color="auto"/>
          </w:divBdr>
        </w:div>
      </w:divsChild>
    </w:div>
    <w:div w:id="588853413">
      <w:bodyDiv w:val="1"/>
      <w:marLeft w:val="0"/>
      <w:marRight w:val="0"/>
      <w:marTop w:val="0"/>
      <w:marBottom w:val="0"/>
      <w:divBdr>
        <w:top w:val="none" w:sz="0" w:space="0" w:color="auto"/>
        <w:left w:val="none" w:sz="0" w:space="0" w:color="auto"/>
        <w:bottom w:val="none" w:sz="0" w:space="0" w:color="auto"/>
        <w:right w:val="none" w:sz="0" w:space="0" w:color="auto"/>
      </w:divBdr>
      <w:divsChild>
        <w:div w:id="1206023103">
          <w:marLeft w:val="0"/>
          <w:marRight w:val="0"/>
          <w:marTop w:val="0"/>
          <w:marBottom w:val="0"/>
          <w:divBdr>
            <w:top w:val="none" w:sz="0" w:space="0" w:color="auto"/>
            <w:left w:val="none" w:sz="0" w:space="0" w:color="auto"/>
            <w:bottom w:val="none" w:sz="0" w:space="0" w:color="auto"/>
            <w:right w:val="none" w:sz="0" w:space="0" w:color="auto"/>
          </w:divBdr>
          <w:divsChild>
            <w:div w:id="1755932905">
              <w:marLeft w:val="0"/>
              <w:marRight w:val="0"/>
              <w:marTop w:val="0"/>
              <w:marBottom w:val="0"/>
              <w:divBdr>
                <w:top w:val="none" w:sz="0" w:space="0" w:color="auto"/>
                <w:left w:val="none" w:sz="0" w:space="0" w:color="auto"/>
                <w:bottom w:val="none" w:sz="0" w:space="0" w:color="auto"/>
                <w:right w:val="none" w:sz="0" w:space="0" w:color="auto"/>
              </w:divBdr>
              <w:divsChild>
                <w:div w:id="544635371">
                  <w:marLeft w:val="0"/>
                  <w:marRight w:val="0"/>
                  <w:marTop w:val="0"/>
                  <w:marBottom w:val="0"/>
                  <w:divBdr>
                    <w:top w:val="none" w:sz="0" w:space="0" w:color="auto"/>
                    <w:left w:val="none" w:sz="0" w:space="0" w:color="auto"/>
                    <w:bottom w:val="none" w:sz="0" w:space="0" w:color="auto"/>
                    <w:right w:val="none" w:sz="0" w:space="0" w:color="auto"/>
                  </w:divBdr>
                  <w:divsChild>
                    <w:div w:id="1169757987">
                      <w:marLeft w:val="0"/>
                      <w:marRight w:val="300"/>
                      <w:marTop w:val="0"/>
                      <w:marBottom w:val="0"/>
                      <w:divBdr>
                        <w:top w:val="none" w:sz="0" w:space="0" w:color="auto"/>
                        <w:left w:val="none" w:sz="0" w:space="0" w:color="auto"/>
                        <w:bottom w:val="none" w:sz="0" w:space="0" w:color="auto"/>
                        <w:right w:val="none" w:sz="0" w:space="0" w:color="auto"/>
                      </w:divBdr>
                      <w:divsChild>
                        <w:div w:id="128397394">
                          <w:marLeft w:val="0"/>
                          <w:marRight w:val="0"/>
                          <w:marTop w:val="0"/>
                          <w:marBottom w:val="0"/>
                          <w:divBdr>
                            <w:top w:val="single" w:sz="6" w:space="26" w:color="BCBEC0"/>
                            <w:left w:val="single" w:sz="6" w:space="26" w:color="BCBEC0"/>
                            <w:bottom w:val="single" w:sz="6" w:space="26" w:color="BCBEC0"/>
                            <w:right w:val="single" w:sz="6" w:space="26" w:color="BCBEC0"/>
                          </w:divBdr>
                          <w:divsChild>
                            <w:div w:id="1129275469">
                              <w:marLeft w:val="0"/>
                              <w:marRight w:val="0"/>
                              <w:marTop w:val="0"/>
                              <w:marBottom w:val="0"/>
                              <w:divBdr>
                                <w:top w:val="none" w:sz="0" w:space="0" w:color="auto"/>
                                <w:left w:val="none" w:sz="0" w:space="0" w:color="auto"/>
                                <w:bottom w:val="none" w:sz="0" w:space="0" w:color="auto"/>
                                <w:right w:val="none" w:sz="0" w:space="0" w:color="auto"/>
                              </w:divBdr>
                              <w:divsChild>
                                <w:div w:id="14732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245141">
      <w:bodyDiv w:val="1"/>
      <w:marLeft w:val="0"/>
      <w:marRight w:val="0"/>
      <w:marTop w:val="0"/>
      <w:marBottom w:val="0"/>
      <w:divBdr>
        <w:top w:val="none" w:sz="0" w:space="0" w:color="auto"/>
        <w:left w:val="none" w:sz="0" w:space="0" w:color="auto"/>
        <w:bottom w:val="none" w:sz="0" w:space="0" w:color="auto"/>
        <w:right w:val="none" w:sz="0" w:space="0" w:color="auto"/>
      </w:divBdr>
      <w:divsChild>
        <w:div w:id="608439821">
          <w:marLeft w:val="0"/>
          <w:marRight w:val="0"/>
          <w:marTop w:val="0"/>
          <w:marBottom w:val="0"/>
          <w:divBdr>
            <w:top w:val="none" w:sz="0" w:space="0" w:color="auto"/>
            <w:left w:val="none" w:sz="0" w:space="0" w:color="auto"/>
            <w:bottom w:val="none" w:sz="0" w:space="0" w:color="auto"/>
            <w:right w:val="none" w:sz="0" w:space="0" w:color="auto"/>
          </w:divBdr>
        </w:div>
      </w:divsChild>
    </w:div>
    <w:div w:id="621308414">
      <w:bodyDiv w:val="1"/>
      <w:marLeft w:val="0"/>
      <w:marRight w:val="0"/>
      <w:marTop w:val="0"/>
      <w:marBottom w:val="0"/>
      <w:divBdr>
        <w:top w:val="none" w:sz="0" w:space="0" w:color="auto"/>
        <w:left w:val="none" w:sz="0" w:space="0" w:color="auto"/>
        <w:bottom w:val="none" w:sz="0" w:space="0" w:color="auto"/>
        <w:right w:val="none" w:sz="0" w:space="0" w:color="auto"/>
      </w:divBdr>
    </w:div>
    <w:div w:id="627317976">
      <w:bodyDiv w:val="1"/>
      <w:marLeft w:val="0"/>
      <w:marRight w:val="0"/>
      <w:marTop w:val="0"/>
      <w:marBottom w:val="0"/>
      <w:divBdr>
        <w:top w:val="none" w:sz="0" w:space="0" w:color="auto"/>
        <w:left w:val="none" w:sz="0" w:space="0" w:color="auto"/>
        <w:bottom w:val="none" w:sz="0" w:space="0" w:color="auto"/>
        <w:right w:val="none" w:sz="0" w:space="0" w:color="auto"/>
      </w:divBdr>
    </w:div>
    <w:div w:id="644042207">
      <w:bodyDiv w:val="1"/>
      <w:marLeft w:val="0"/>
      <w:marRight w:val="0"/>
      <w:marTop w:val="0"/>
      <w:marBottom w:val="0"/>
      <w:divBdr>
        <w:top w:val="none" w:sz="0" w:space="0" w:color="auto"/>
        <w:left w:val="none" w:sz="0" w:space="0" w:color="auto"/>
        <w:bottom w:val="none" w:sz="0" w:space="0" w:color="auto"/>
        <w:right w:val="none" w:sz="0" w:space="0" w:color="auto"/>
      </w:divBdr>
    </w:div>
    <w:div w:id="685834547">
      <w:bodyDiv w:val="1"/>
      <w:marLeft w:val="0"/>
      <w:marRight w:val="0"/>
      <w:marTop w:val="0"/>
      <w:marBottom w:val="0"/>
      <w:divBdr>
        <w:top w:val="none" w:sz="0" w:space="0" w:color="auto"/>
        <w:left w:val="none" w:sz="0" w:space="0" w:color="auto"/>
        <w:bottom w:val="none" w:sz="0" w:space="0" w:color="auto"/>
        <w:right w:val="none" w:sz="0" w:space="0" w:color="auto"/>
      </w:divBdr>
      <w:divsChild>
        <w:div w:id="1877692316">
          <w:marLeft w:val="0"/>
          <w:marRight w:val="0"/>
          <w:marTop w:val="0"/>
          <w:marBottom w:val="0"/>
          <w:divBdr>
            <w:top w:val="none" w:sz="0" w:space="0" w:color="auto"/>
            <w:left w:val="none" w:sz="0" w:space="0" w:color="auto"/>
            <w:bottom w:val="none" w:sz="0" w:space="0" w:color="auto"/>
            <w:right w:val="none" w:sz="0" w:space="0" w:color="auto"/>
          </w:divBdr>
        </w:div>
      </w:divsChild>
    </w:div>
    <w:div w:id="723024184">
      <w:bodyDiv w:val="1"/>
      <w:marLeft w:val="0"/>
      <w:marRight w:val="0"/>
      <w:marTop w:val="0"/>
      <w:marBottom w:val="0"/>
      <w:divBdr>
        <w:top w:val="none" w:sz="0" w:space="0" w:color="auto"/>
        <w:left w:val="none" w:sz="0" w:space="0" w:color="auto"/>
        <w:bottom w:val="none" w:sz="0" w:space="0" w:color="auto"/>
        <w:right w:val="none" w:sz="0" w:space="0" w:color="auto"/>
      </w:divBdr>
      <w:divsChild>
        <w:div w:id="810056493">
          <w:marLeft w:val="0"/>
          <w:marRight w:val="0"/>
          <w:marTop w:val="0"/>
          <w:marBottom w:val="0"/>
          <w:divBdr>
            <w:top w:val="none" w:sz="0" w:space="0" w:color="auto"/>
            <w:left w:val="none" w:sz="0" w:space="0" w:color="auto"/>
            <w:bottom w:val="none" w:sz="0" w:space="0" w:color="auto"/>
            <w:right w:val="none" w:sz="0" w:space="0" w:color="auto"/>
          </w:divBdr>
        </w:div>
      </w:divsChild>
    </w:div>
    <w:div w:id="753356590">
      <w:bodyDiv w:val="1"/>
      <w:marLeft w:val="0"/>
      <w:marRight w:val="0"/>
      <w:marTop w:val="0"/>
      <w:marBottom w:val="0"/>
      <w:divBdr>
        <w:top w:val="none" w:sz="0" w:space="0" w:color="auto"/>
        <w:left w:val="none" w:sz="0" w:space="0" w:color="auto"/>
        <w:bottom w:val="none" w:sz="0" w:space="0" w:color="auto"/>
        <w:right w:val="none" w:sz="0" w:space="0" w:color="auto"/>
      </w:divBdr>
      <w:divsChild>
        <w:div w:id="327945355">
          <w:marLeft w:val="0"/>
          <w:marRight w:val="0"/>
          <w:marTop w:val="0"/>
          <w:marBottom w:val="0"/>
          <w:divBdr>
            <w:top w:val="none" w:sz="0" w:space="0" w:color="auto"/>
            <w:left w:val="none" w:sz="0" w:space="0" w:color="auto"/>
            <w:bottom w:val="none" w:sz="0" w:space="0" w:color="auto"/>
            <w:right w:val="none" w:sz="0" w:space="0" w:color="auto"/>
          </w:divBdr>
        </w:div>
      </w:divsChild>
    </w:div>
    <w:div w:id="833956953">
      <w:bodyDiv w:val="1"/>
      <w:marLeft w:val="0"/>
      <w:marRight w:val="0"/>
      <w:marTop w:val="0"/>
      <w:marBottom w:val="0"/>
      <w:divBdr>
        <w:top w:val="none" w:sz="0" w:space="0" w:color="auto"/>
        <w:left w:val="none" w:sz="0" w:space="0" w:color="auto"/>
        <w:bottom w:val="none" w:sz="0" w:space="0" w:color="auto"/>
        <w:right w:val="none" w:sz="0" w:space="0" w:color="auto"/>
      </w:divBdr>
      <w:divsChild>
        <w:div w:id="74858708">
          <w:marLeft w:val="0"/>
          <w:marRight w:val="0"/>
          <w:marTop w:val="0"/>
          <w:marBottom w:val="0"/>
          <w:divBdr>
            <w:top w:val="none" w:sz="0" w:space="0" w:color="auto"/>
            <w:left w:val="none" w:sz="0" w:space="0" w:color="auto"/>
            <w:bottom w:val="none" w:sz="0" w:space="0" w:color="auto"/>
            <w:right w:val="none" w:sz="0" w:space="0" w:color="auto"/>
          </w:divBdr>
        </w:div>
      </w:divsChild>
    </w:div>
    <w:div w:id="923613985">
      <w:bodyDiv w:val="1"/>
      <w:marLeft w:val="0"/>
      <w:marRight w:val="0"/>
      <w:marTop w:val="0"/>
      <w:marBottom w:val="0"/>
      <w:divBdr>
        <w:top w:val="none" w:sz="0" w:space="0" w:color="auto"/>
        <w:left w:val="none" w:sz="0" w:space="0" w:color="auto"/>
        <w:bottom w:val="none" w:sz="0" w:space="0" w:color="auto"/>
        <w:right w:val="none" w:sz="0" w:space="0" w:color="auto"/>
      </w:divBdr>
    </w:div>
    <w:div w:id="945575144">
      <w:bodyDiv w:val="1"/>
      <w:marLeft w:val="0"/>
      <w:marRight w:val="0"/>
      <w:marTop w:val="0"/>
      <w:marBottom w:val="0"/>
      <w:divBdr>
        <w:top w:val="none" w:sz="0" w:space="0" w:color="auto"/>
        <w:left w:val="none" w:sz="0" w:space="0" w:color="auto"/>
        <w:bottom w:val="none" w:sz="0" w:space="0" w:color="auto"/>
        <w:right w:val="none" w:sz="0" w:space="0" w:color="auto"/>
      </w:divBdr>
    </w:div>
    <w:div w:id="975718864">
      <w:bodyDiv w:val="1"/>
      <w:marLeft w:val="0"/>
      <w:marRight w:val="0"/>
      <w:marTop w:val="0"/>
      <w:marBottom w:val="0"/>
      <w:divBdr>
        <w:top w:val="none" w:sz="0" w:space="0" w:color="auto"/>
        <w:left w:val="none" w:sz="0" w:space="0" w:color="auto"/>
        <w:bottom w:val="none" w:sz="0" w:space="0" w:color="auto"/>
        <w:right w:val="none" w:sz="0" w:space="0" w:color="auto"/>
      </w:divBdr>
      <w:divsChild>
        <w:div w:id="640114129">
          <w:marLeft w:val="0"/>
          <w:marRight w:val="0"/>
          <w:marTop w:val="0"/>
          <w:marBottom w:val="0"/>
          <w:divBdr>
            <w:top w:val="none" w:sz="0" w:space="0" w:color="auto"/>
            <w:left w:val="none" w:sz="0" w:space="0" w:color="auto"/>
            <w:bottom w:val="none" w:sz="0" w:space="0" w:color="auto"/>
            <w:right w:val="none" w:sz="0" w:space="0" w:color="auto"/>
          </w:divBdr>
        </w:div>
      </w:divsChild>
    </w:div>
    <w:div w:id="1135023613">
      <w:bodyDiv w:val="1"/>
      <w:marLeft w:val="0"/>
      <w:marRight w:val="0"/>
      <w:marTop w:val="0"/>
      <w:marBottom w:val="0"/>
      <w:divBdr>
        <w:top w:val="none" w:sz="0" w:space="0" w:color="auto"/>
        <w:left w:val="none" w:sz="0" w:space="0" w:color="auto"/>
        <w:bottom w:val="none" w:sz="0" w:space="0" w:color="auto"/>
        <w:right w:val="none" w:sz="0" w:space="0" w:color="auto"/>
      </w:divBdr>
      <w:divsChild>
        <w:div w:id="1194922404">
          <w:marLeft w:val="0"/>
          <w:marRight w:val="0"/>
          <w:marTop w:val="0"/>
          <w:marBottom w:val="0"/>
          <w:divBdr>
            <w:top w:val="none" w:sz="0" w:space="0" w:color="auto"/>
            <w:left w:val="none" w:sz="0" w:space="0" w:color="auto"/>
            <w:bottom w:val="none" w:sz="0" w:space="0" w:color="auto"/>
            <w:right w:val="none" w:sz="0" w:space="0" w:color="auto"/>
          </w:divBdr>
        </w:div>
      </w:divsChild>
    </w:div>
    <w:div w:id="1155410926">
      <w:bodyDiv w:val="1"/>
      <w:marLeft w:val="0"/>
      <w:marRight w:val="0"/>
      <w:marTop w:val="0"/>
      <w:marBottom w:val="0"/>
      <w:divBdr>
        <w:top w:val="none" w:sz="0" w:space="0" w:color="auto"/>
        <w:left w:val="none" w:sz="0" w:space="0" w:color="auto"/>
        <w:bottom w:val="none" w:sz="0" w:space="0" w:color="auto"/>
        <w:right w:val="none" w:sz="0" w:space="0" w:color="auto"/>
      </w:divBdr>
      <w:divsChild>
        <w:div w:id="1366711421">
          <w:marLeft w:val="0"/>
          <w:marRight w:val="0"/>
          <w:marTop w:val="0"/>
          <w:marBottom w:val="0"/>
          <w:divBdr>
            <w:top w:val="none" w:sz="0" w:space="0" w:color="auto"/>
            <w:left w:val="none" w:sz="0" w:space="0" w:color="auto"/>
            <w:bottom w:val="none" w:sz="0" w:space="0" w:color="auto"/>
            <w:right w:val="none" w:sz="0" w:space="0" w:color="auto"/>
          </w:divBdr>
        </w:div>
      </w:divsChild>
    </w:div>
    <w:div w:id="1204365136">
      <w:bodyDiv w:val="1"/>
      <w:marLeft w:val="0"/>
      <w:marRight w:val="0"/>
      <w:marTop w:val="0"/>
      <w:marBottom w:val="0"/>
      <w:divBdr>
        <w:top w:val="none" w:sz="0" w:space="0" w:color="auto"/>
        <w:left w:val="none" w:sz="0" w:space="0" w:color="auto"/>
        <w:bottom w:val="none" w:sz="0" w:space="0" w:color="auto"/>
        <w:right w:val="none" w:sz="0" w:space="0" w:color="auto"/>
      </w:divBdr>
      <w:divsChild>
        <w:div w:id="1109813767">
          <w:marLeft w:val="0"/>
          <w:marRight w:val="0"/>
          <w:marTop w:val="0"/>
          <w:marBottom w:val="0"/>
          <w:divBdr>
            <w:top w:val="none" w:sz="0" w:space="0" w:color="auto"/>
            <w:left w:val="none" w:sz="0" w:space="0" w:color="auto"/>
            <w:bottom w:val="none" w:sz="0" w:space="0" w:color="auto"/>
            <w:right w:val="none" w:sz="0" w:space="0" w:color="auto"/>
          </w:divBdr>
        </w:div>
      </w:divsChild>
    </w:div>
    <w:div w:id="1233389024">
      <w:bodyDiv w:val="1"/>
      <w:marLeft w:val="0"/>
      <w:marRight w:val="0"/>
      <w:marTop w:val="0"/>
      <w:marBottom w:val="0"/>
      <w:divBdr>
        <w:top w:val="none" w:sz="0" w:space="0" w:color="auto"/>
        <w:left w:val="none" w:sz="0" w:space="0" w:color="auto"/>
        <w:bottom w:val="none" w:sz="0" w:space="0" w:color="auto"/>
        <w:right w:val="none" w:sz="0" w:space="0" w:color="auto"/>
      </w:divBdr>
    </w:div>
    <w:div w:id="1239904127">
      <w:bodyDiv w:val="1"/>
      <w:marLeft w:val="0"/>
      <w:marRight w:val="0"/>
      <w:marTop w:val="0"/>
      <w:marBottom w:val="0"/>
      <w:divBdr>
        <w:top w:val="none" w:sz="0" w:space="0" w:color="auto"/>
        <w:left w:val="none" w:sz="0" w:space="0" w:color="auto"/>
        <w:bottom w:val="none" w:sz="0" w:space="0" w:color="auto"/>
        <w:right w:val="none" w:sz="0" w:space="0" w:color="auto"/>
      </w:divBdr>
      <w:divsChild>
        <w:div w:id="319121374">
          <w:marLeft w:val="0"/>
          <w:marRight w:val="0"/>
          <w:marTop w:val="0"/>
          <w:marBottom w:val="0"/>
          <w:divBdr>
            <w:top w:val="none" w:sz="0" w:space="0" w:color="auto"/>
            <w:left w:val="none" w:sz="0" w:space="0" w:color="auto"/>
            <w:bottom w:val="none" w:sz="0" w:space="0" w:color="auto"/>
            <w:right w:val="none" w:sz="0" w:space="0" w:color="auto"/>
          </w:divBdr>
        </w:div>
      </w:divsChild>
    </w:div>
    <w:div w:id="1274904200">
      <w:bodyDiv w:val="1"/>
      <w:marLeft w:val="0"/>
      <w:marRight w:val="0"/>
      <w:marTop w:val="0"/>
      <w:marBottom w:val="0"/>
      <w:divBdr>
        <w:top w:val="none" w:sz="0" w:space="0" w:color="auto"/>
        <w:left w:val="none" w:sz="0" w:space="0" w:color="auto"/>
        <w:bottom w:val="none" w:sz="0" w:space="0" w:color="auto"/>
        <w:right w:val="none" w:sz="0" w:space="0" w:color="auto"/>
      </w:divBdr>
      <w:divsChild>
        <w:div w:id="130710378">
          <w:marLeft w:val="0"/>
          <w:marRight w:val="0"/>
          <w:marTop w:val="0"/>
          <w:marBottom w:val="0"/>
          <w:divBdr>
            <w:top w:val="none" w:sz="0" w:space="0" w:color="auto"/>
            <w:left w:val="none" w:sz="0" w:space="0" w:color="auto"/>
            <w:bottom w:val="none" w:sz="0" w:space="0" w:color="auto"/>
            <w:right w:val="none" w:sz="0" w:space="0" w:color="auto"/>
          </w:divBdr>
        </w:div>
      </w:divsChild>
    </w:div>
    <w:div w:id="1275821121">
      <w:bodyDiv w:val="1"/>
      <w:marLeft w:val="0"/>
      <w:marRight w:val="0"/>
      <w:marTop w:val="0"/>
      <w:marBottom w:val="0"/>
      <w:divBdr>
        <w:top w:val="none" w:sz="0" w:space="0" w:color="auto"/>
        <w:left w:val="none" w:sz="0" w:space="0" w:color="auto"/>
        <w:bottom w:val="none" w:sz="0" w:space="0" w:color="auto"/>
        <w:right w:val="none" w:sz="0" w:space="0" w:color="auto"/>
      </w:divBdr>
    </w:div>
    <w:div w:id="1329409686">
      <w:bodyDiv w:val="1"/>
      <w:marLeft w:val="0"/>
      <w:marRight w:val="0"/>
      <w:marTop w:val="0"/>
      <w:marBottom w:val="0"/>
      <w:divBdr>
        <w:top w:val="none" w:sz="0" w:space="0" w:color="auto"/>
        <w:left w:val="none" w:sz="0" w:space="0" w:color="auto"/>
        <w:bottom w:val="none" w:sz="0" w:space="0" w:color="auto"/>
        <w:right w:val="none" w:sz="0" w:space="0" w:color="auto"/>
      </w:divBdr>
      <w:divsChild>
        <w:div w:id="2052922776">
          <w:marLeft w:val="0"/>
          <w:marRight w:val="0"/>
          <w:marTop w:val="0"/>
          <w:marBottom w:val="0"/>
          <w:divBdr>
            <w:top w:val="none" w:sz="0" w:space="0" w:color="auto"/>
            <w:left w:val="none" w:sz="0" w:space="0" w:color="auto"/>
            <w:bottom w:val="none" w:sz="0" w:space="0" w:color="auto"/>
            <w:right w:val="none" w:sz="0" w:space="0" w:color="auto"/>
          </w:divBdr>
        </w:div>
      </w:divsChild>
    </w:div>
    <w:div w:id="1366640036">
      <w:bodyDiv w:val="1"/>
      <w:marLeft w:val="0"/>
      <w:marRight w:val="0"/>
      <w:marTop w:val="0"/>
      <w:marBottom w:val="0"/>
      <w:divBdr>
        <w:top w:val="none" w:sz="0" w:space="0" w:color="auto"/>
        <w:left w:val="none" w:sz="0" w:space="0" w:color="auto"/>
        <w:bottom w:val="none" w:sz="0" w:space="0" w:color="auto"/>
        <w:right w:val="none" w:sz="0" w:space="0" w:color="auto"/>
      </w:divBdr>
      <w:divsChild>
        <w:div w:id="1263949936">
          <w:marLeft w:val="0"/>
          <w:marRight w:val="0"/>
          <w:marTop w:val="0"/>
          <w:marBottom w:val="0"/>
          <w:divBdr>
            <w:top w:val="none" w:sz="0" w:space="0" w:color="auto"/>
            <w:left w:val="none" w:sz="0" w:space="0" w:color="auto"/>
            <w:bottom w:val="none" w:sz="0" w:space="0" w:color="auto"/>
            <w:right w:val="none" w:sz="0" w:space="0" w:color="auto"/>
          </w:divBdr>
          <w:divsChild>
            <w:div w:id="1876195488">
              <w:marLeft w:val="0"/>
              <w:marRight w:val="0"/>
              <w:marTop w:val="0"/>
              <w:marBottom w:val="0"/>
              <w:divBdr>
                <w:top w:val="none" w:sz="0" w:space="0" w:color="auto"/>
                <w:left w:val="none" w:sz="0" w:space="0" w:color="auto"/>
                <w:bottom w:val="none" w:sz="0" w:space="0" w:color="auto"/>
                <w:right w:val="none" w:sz="0" w:space="0" w:color="auto"/>
              </w:divBdr>
              <w:divsChild>
                <w:div w:id="1037193131">
                  <w:marLeft w:val="0"/>
                  <w:marRight w:val="0"/>
                  <w:marTop w:val="0"/>
                  <w:marBottom w:val="360"/>
                  <w:divBdr>
                    <w:top w:val="none" w:sz="0" w:space="0" w:color="auto"/>
                    <w:left w:val="none" w:sz="0" w:space="0" w:color="auto"/>
                    <w:bottom w:val="none" w:sz="0" w:space="0" w:color="auto"/>
                    <w:right w:val="none" w:sz="0" w:space="0" w:color="auto"/>
                  </w:divBdr>
                  <w:divsChild>
                    <w:div w:id="663125382">
                      <w:marLeft w:val="0"/>
                      <w:marRight w:val="0"/>
                      <w:marTop w:val="0"/>
                      <w:marBottom w:val="0"/>
                      <w:divBdr>
                        <w:top w:val="none" w:sz="0" w:space="0" w:color="auto"/>
                        <w:left w:val="none" w:sz="0" w:space="0" w:color="auto"/>
                        <w:bottom w:val="none" w:sz="0" w:space="0" w:color="auto"/>
                        <w:right w:val="none" w:sz="0" w:space="0" w:color="auto"/>
                      </w:divBdr>
                      <w:divsChild>
                        <w:div w:id="407656038">
                          <w:marLeft w:val="0"/>
                          <w:marRight w:val="0"/>
                          <w:marTop w:val="0"/>
                          <w:marBottom w:val="0"/>
                          <w:divBdr>
                            <w:top w:val="none" w:sz="0" w:space="0" w:color="auto"/>
                            <w:left w:val="none" w:sz="0" w:space="0" w:color="auto"/>
                            <w:bottom w:val="none" w:sz="0" w:space="0" w:color="auto"/>
                            <w:right w:val="none" w:sz="0" w:space="0" w:color="auto"/>
                          </w:divBdr>
                          <w:divsChild>
                            <w:div w:id="569002210">
                              <w:marLeft w:val="0"/>
                              <w:marRight w:val="0"/>
                              <w:marTop w:val="0"/>
                              <w:marBottom w:val="0"/>
                              <w:divBdr>
                                <w:top w:val="none" w:sz="0" w:space="0" w:color="auto"/>
                                <w:left w:val="none" w:sz="0" w:space="0" w:color="auto"/>
                                <w:bottom w:val="none" w:sz="0" w:space="0" w:color="auto"/>
                                <w:right w:val="none" w:sz="0" w:space="0" w:color="auto"/>
                              </w:divBdr>
                              <w:divsChild>
                                <w:div w:id="625696599">
                                  <w:marLeft w:val="0"/>
                                  <w:marRight w:val="0"/>
                                  <w:marTop w:val="0"/>
                                  <w:marBottom w:val="0"/>
                                  <w:divBdr>
                                    <w:top w:val="none" w:sz="0" w:space="0" w:color="auto"/>
                                    <w:left w:val="none" w:sz="0" w:space="0" w:color="auto"/>
                                    <w:bottom w:val="none" w:sz="0" w:space="0" w:color="auto"/>
                                    <w:right w:val="none" w:sz="0" w:space="0" w:color="auto"/>
                                  </w:divBdr>
                                  <w:divsChild>
                                    <w:div w:id="17402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404291">
      <w:bodyDiv w:val="1"/>
      <w:marLeft w:val="0"/>
      <w:marRight w:val="0"/>
      <w:marTop w:val="0"/>
      <w:marBottom w:val="0"/>
      <w:divBdr>
        <w:top w:val="none" w:sz="0" w:space="0" w:color="auto"/>
        <w:left w:val="none" w:sz="0" w:space="0" w:color="auto"/>
        <w:bottom w:val="none" w:sz="0" w:space="0" w:color="auto"/>
        <w:right w:val="none" w:sz="0" w:space="0" w:color="auto"/>
      </w:divBdr>
      <w:divsChild>
        <w:div w:id="1830780272">
          <w:marLeft w:val="0"/>
          <w:marRight w:val="0"/>
          <w:marTop w:val="0"/>
          <w:marBottom w:val="0"/>
          <w:divBdr>
            <w:top w:val="none" w:sz="0" w:space="0" w:color="auto"/>
            <w:left w:val="none" w:sz="0" w:space="0" w:color="auto"/>
            <w:bottom w:val="none" w:sz="0" w:space="0" w:color="auto"/>
            <w:right w:val="none" w:sz="0" w:space="0" w:color="auto"/>
          </w:divBdr>
        </w:div>
      </w:divsChild>
    </w:div>
    <w:div w:id="1391805762">
      <w:bodyDiv w:val="1"/>
      <w:marLeft w:val="0"/>
      <w:marRight w:val="0"/>
      <w:marTop w:val="0"/>
      <w:marBottom w:val="0"/>
      <w:divBdr>
        <w:top w:val="none" w:sz="0" w:space="0" w:color="auto"/>
        <w:left w:val="none" w:sz="0" w:space="0" w:color="auto"/>
        <w:bottom w:val="none" w:sz="0" w:space="0" w:color="auto"/>
        <w:right w:val="none" w:sz="0" w:space="0" w:color="auto"/>
      </w:divBdr>
      <w:divsChild>
        <w:div w:id="395935261">
          <w:marLeft w:val="0"/>
          <w:marRight w:val="0"/>
          <w:marTop w:val="0"/>
          <w:marBottom w:val="0"/>
          <w:divBdr>
            <w:top w:val="none" w:sz="0" w:space="0" w:color="auto"/>
            <w:left w:val="none" w:sz="0" w:space="0" w:color="auto"/>
            <w:bottom w:val="none" w:sz="0" w:space="0" w:color="auto"/>
            <w:right w:val="none" w:sz="0" w:space="0" w:color="auto"/>
          </w:divBdr>
        </w:div>
      </w:divsChild>
    </w:div>
    <w:div w:id="1418751566">
      <w:bodyDiv w:val="1"/>
      <w:marLeft w:val="0"/>
      <w:marRight w:val="0"/>
      <w:marTop w:val="0"/>
      <w:marBottom w:val="0"/>
      <w:divBdr>
        <w:top w:val="none" w:sz="0" w:space="0" w:color="auto"/>
        <w:left w:val="none" w:sz="0" w:space="0" w:color="auto"/>
        <w:bottom w:val="none" w:sz="0" w:space="0" w:color="auto"/>
        <w:right w:val="none" w:sz="0" w:space="0" w:color="auto"/>
      </w:divBdr>
      <w:divsChild>
        <w:div w:id="973095409">
          <w:marLeft w:val="0"/>
          <w:marRight w:val="0"/>
          <w:marTop w:val="0"/>
          <w:marBottom w:val="0"/>
          <w:divBdr>
            <w:top w:val="none" w:sz="0" w:space="0" w:color="auto"/>
            <w:left w:val="none" w:sz="0" w:space="0" w:color="auto"/>
            <w:bottom w:val="none" w:sz="0" w:space="0" w:color="auto"/>
            <w:right w:val="none" w:sz="0" w:space="0" w:color="auto"/>
          </w:divBdr>
          <w:divsChild>
            <w:div w:id="335038143">
              <w:marLeft w:val="0"/>
              <w:marRight w:val="0"/>
              <w:marTop w:val="0"/>
              <w:marBottom w:val="0"/>
              <w:divBdr>
                <w:top w:val="none" w:sz="0" w:space="0" w:color="auto"/>
                <w:left w:val="none" w:sz="0" w:space="0" w:color="auto"/>
                <w:bottom w:val="none" w:sz="0" w:space="0" w:color="auto"/>
                <w:right w:val="none" w:sz="0" w:space="0" w:color="auto"/>
              </w:divBdr>
              <w:divsChild>
                <w:div w:id="326131129">
                  <w:marLeft w:val="0"/>
                  <w:marRight w:val="0"/>
                  <w:marTop w:val="0"/>
                  <w:marBottom w:val="0"/>
                  <w:divBdr>
                    <w:top w:val="none" w:sz="0" w:space="0" w:color="auto"/>
                    <w:left w:val="none" w:sz="0" w:space="0" w:color="auto"/>
                    <w:bottom w:val="none" w:sz="0" w:space="0" w:color="auto"/>
                    <w:right w:val="none" w:sz="0" w:space="0" w:color="auto"/>
                  </w:divBdr>
                  <w:divsChild>
                    <w:div w:id="1687635009">
                      <w:marLeft w:val="0"/>
                      <w:marRight w:val="0"/>
                      <w:marTop w:val="0"/>
                      <w:marBottom w:val="0"/>
                      <w:divBdr>
                        <w:top w:val="none" w:sz="0" w:space="0" w:color="auto"/>
                        <w:left w:val="none" w:sz="0" w:space="0" w:color="auto"/>
                        <w:bottom w:val="none" w:sz="0" w:space="0" w:color="auto"/>
                        <w:right w:val="none" w:sz="0" w:space="0" w:color="auto"/>
                      </w:divBdr>
                      <w:divsChild>
                        <w:div w:id="734470966">
                          <w:marLeft w:val="0"/>
                          <w:marRight w:val="0"/>
                          <w:marTop w:val="0"/>
                          <w:marBottom w:val="0"/>
                          <w:divBdr>
                            <w:top w:val="single" w:sz="6" w:space="26" w:color="BCBEC0"/>
                            <w:left w:val="single" w:sz="6" w:space="26" w:color="BCBEC0"/>
                            <w:bottom w:val="single" w:sz="6" w:space="26" w:color="BCBEC0"/>
                            <w:right w:val="single" w:sz="6" w:space="26" w:color="BCBEC0"/>
                          </w:divBdr>
                          <w:divsChild>
                            <w:div w:id="638993414">
                              <w:marLeft w:val="0"/>
                              <w:marRight w:val="0"/>
                              <w:marTop w:val="0"/>
                              <w:marBottom w:val="0"/>
                              <w:divBdr>
                                <w:top w:val="none" w:sz="0" w:space="0" w:color="auto"/>
                                <w:left w:val="none" w:sz="0" w:space="0" w:color="auto"/>
                                <w:bottom w:val="none" w:sz="0" w:space="0" w:color="auto"/>
                                <w:right w:val="none" w:sz="0" w:space="0" w:color="auto"/>
                              </w:divBdr>
                              <w:divsChild>
                                <w:div w:id="2809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727766">
      <w:bodyDiv w:val="1"/>
      <w:marLeft w:val="0"/>
      <w:marRight w:val="0"/>
      <w:marTop w:val="0"/>
      <w:marBottom w:val="0"/>
      <w:divBdr>
        <w:top w:val="none" w:sz="0" w:space="0" w:color="auto"/>
        <w:left w:val="none" w:sz="0" w:space="0" w:color="auto"/>
        <w:bottom w:val="none" w:sz="0" w:space="0" w:color="auto"/>
        <w:right w:val="none" w:sz="0" w:space="0" w:color="auto"/>
      </w:divBdr>
    </w:div>
    <w:div w:id="1439327670">
      <w:bodyDiv w:val="1"/>
      <w:marLeft w:val="0"/>
      <w:marRight w:val="0"/>
      <w:marTop w:val="0"/>
      <w:marBottom w:val="0"/>
      <w:divBdr>
        <w:top w:val="none" w:sz="0" w:space="0" w:color="auto"/>
        <w:left w:val="none" w:sz="0" w:space="0" w:color="auto"/>
        <w:bottom w:val="none" w:sz="0" w:space="0" w:color="auto"/>
        <w:right w:val="none" w:sz="0" w:space="0" w:color="auto"/>
      </w:divBdr>
      <w:divsChild>
        <w:div w:id="683671587">
          <w:marLeft w:val="0"/>
          <w:marRight w:val="0"/>
          <w:marTop w:val="0"/>
          <w:marBottom w:val="0"/>
          <w:divBdr>
            <w:top w:val="none" w:sz="0" w:space="0" w:color="auto"/>
            <w:left w:val="none" w:sz="0" w:space="0" w:color="auto"/>
            <w:bottom w:val="none" w:sz="0" w:space="0" w:color="auto"/>
            <w:right w:val="none" w:sz="0" w:space="0" w:color="auto"/>
          </w:divBdr>
          <w:divsChild>
            <w:div w:id="645284720">
              <w:marLeft w:val="0"/>
              <w:marRight w:val="0"/>
              <w:marTop w:val="0"/>
              <w:marBottom w:val="0"/>
              <w:divBdr>
                <w:top w:val="none" w:sz="0" w:space="0" w:color="auto"/>
                <w:left w:val="none" w:sz="0" w:space="0" w:color="auto"/>
                <w:bottom w:val="none" w:sz="0" w:space="0" w:color="auto"/>
                <w:right w:val="none" w:sz="0" w:space="0" w:color="auto"/>
              </w:divBdr>
              <w:divsChild>
                <w:div w:id="2056419834">
                  <w:marLeft w:val="0"/>
                  <w:marRight w:val="0"/>
                  <w:marTop w:val="0"/>
                  <w:marBottom w:val="360"/>
                  <w:divBdr>
                    <w:top w:val="none" w:sz="0" w:space="0" w:color="auto"/>
                    <w:left w:val="none" w:sz="0" w:space="0" w:color="auto"/>
                    <w:bottom w:val="none" w:sz="0" w:space="0" w:color="auto"/>
                    <w:right w:val="none" w:sz="0" w:space="0" w:color="auto"/>
                  </w:divBdr>
                  <w:divsChild>
                    <w:div w:id="410549223">
                      <w:marLeft w:val="0"/>
                      <w:marRight w:val="0"/>
                      <w:marTop w:val="0"/>
                      <w:marBottom w:val="0"/>
                      <w:divBdr>
                        <w:top w:val="none" w:sz="0" w:space="0" w:color="auto"/>
                        <w:left w:val="none" w:sz="0" w:space="0" w:color="auto"/>
                        <w:bottom w:val="none" w:sz="0" w:space="0" w:color="auto"/>
                        <w:right w:val="none" w:sz="0" w:space="0" w:color="auto"/>
                      </w:divBdr>
                      <w:divsChild>
                        <w:div w:id="1080296435">
                          <w:marLeft w:val="0"/>
                          <w:marRight w:val="0"/>
                          <w:marTop w:val="0"/>
                          <w:marBottom w:val="0"/>
                          <w:divBdr>
                            <w:top w:val="none" w:sz="0" w:space="0" w:color="auto"/>
                            <w:left w:val="none" w:sz="0" w:space="0" w:color="auto"/>
                            <w:bottom w:val="none" w:sz="0" w:space="0" w:color="auto"/>
                            <w:right w:val="none" w:sz="0" w:space="0" w:color="auto"/>
                          </w:divBdr>
                          <w:divsChild>
                            <w:div w:id="1152871166">
                              <w:marLeft w:val="0"/>
                              <w:marRight w:val="0"/>
                              <w:marTop w:val="0"/>
                              <w:marBottom w:val="0"/>
                              <w:divBdr>
                                <w:top w:val="none" w:sz="0" w:space="0" w:color="auto"/>
                                <w:left w:val="none" w:sz="0" w:space="0" w:color="auto"/>
                                <w:bottom w:val="none" w:sz="0" w:space="0" w:color="auto"/>
                                <w:right w:val="none" w:sz="0" w:space="0" w:color="auto"/>
                              </w:divBdr>
                              <w:divsChild>
                                <w:div w:id="373427539">
                                  <w:marLeft w:val="0"/>
                                  <w:marRight w:val="0"/>
                                  <w:marTop w:val="0"/>
                                  <w:marBottom w:val="0"/>
                                  <w:divBdr>
                                    <w:top w:val="none" w:sz="0" w:space="0" w:color="auto"/>
                                    <w:left w:val="none" w:sz="0" w:space="0" w:color="auto"/>
                                    <w:bottom w:val="none" w:sz="0" w:space="0" w:color="auto"/>
                                    <w:right w:val="none" w:sz="0" w:space="0" w:color="auto"/>
                                  </w:divBdr>
                                  <w:divsChild>
                                    <w:div w:id="238641126">
                                      <w:marLeft w:val="0"/>
                                      <w:marRight w:val="0"/>
                                      <w:marTop w:val="0"/>
                                      <w:marBottom w:val="0"/>
                                      <w:divBdr>
                                        <w:top w:val="none" w:sz="0" w:space="0" w:color="auto"/>
                                        <w:left w:val="none" w:sz="0" w:space="0" w:color="auto"/>
                                        <w:bottom w:val="none" w:sz="0" w:space="0" w:color="auto"/>
                                        <w:right w:val="none" w:sz="0" w:space="0" w:color="auto"/>
                                      </w:divBdr>
                                      <w:divsChild>
                                        <w:div w:id="891771644">
                                          <w:marLeft w:val="0"/>
                                          <w:marRight w:val="0"/>
                                          <w:marTop w:val="0"/>
                                          <w:marBottom w:val="0"/>
                                          <w:divBdr>
                                            <w:top w:val="none" w:sz="0" w:space="0" w:color="auto"/>
                                            <w:left w:val="none" w:sz="0" w:space="0" w:color="auto"/>
                                            <w:bottom w:val="none" w:sz="0" w:space="0" w:color="auto"/>
                                            <w:right w:val="none" w:sz="0" w:space="0" w:color="auto"/>
                                          </w:divBdr>
                                          <w:divsChild>
                                            <w:div w:id="14727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069341">
      <w:bodyDiv w:val="1"/>
      <w:marLeft w:val="0"/>
      <w:marRight w:val="0"/>
      <w:marTop w:val="0"/>
      <w:marBottom w:val="0"/>
      <w:divBdr>
        <w:top w:val="none" w:sz="0" w:space="0" w:color="auto"/>
        <w:left w:val="none" w:sz="0" w:space="0" w:color="auto"/>
        <w:bottom w:val="none" w:sz="0" w:space="0" w:color="auto"/>
        <w:right w:val="none" w:sz="0" w:space="0" w:color="auto"/>
      </w:divBdr>
      <w:divsChild>
        <w:div w:id="733624136">
          <w:marLeft w:val="0"/>
          <w:marRight w:val="0"/>
          <w:marTop w:val="0"/>
          <w:marBottom w:val="0"/>
          <w:divBdr>
            <w:top w:val="none" w:sz="0" w:space="0" w:color="auto"/>
            <w:left w:val="none" w:sz="0" w:space="0" w:color="auto"/>
            <w:bottom w:val="none" w:sz="0" w:space="0" w:color="auto"/>
            <w:right w:val="none" w:sz="0" w:space="0" w:color="auto"/>
          </w:divBdr>
          <w:divsChild>
            <w:div w:id="1050615354">
              <w:marLeft w:val="0"/>
              <w:marRight w:val="0"/>
              <w:marTop w:val="0"/>
              <w:marBottom w:val="0"/>
              <w:divBdr>
                <w:top w:val="none" w:sz="0" w:space="0" w:color="auto"/>
                <w:left w:val="none" w:sz="0" w:space="0" w:color="auto"/>
                <w:bottom w:val="none" w:sz="0" w:space="0" w:color="auto"/>
                <w:right w:val="none" w:sz="0" w:space="0" w:color="auto"/>
              </w:divBdr>
              <w:divsChild>
                <w:div w:id="1325815812">
                  <w:marLeft w:val="0"/>
                  <w:marRight w:val="0"/>
                  <w:marTop w:val="0"/>
                  <w:marBottom w:val="360"/>
                  <w:divBdr>
                    <w:top w:val="none" w:sz="0" w:space="0" w:color="auto"/>
                    <w:left w:val="none" w:sz="0" w:space="0" w:color="auto"/>
                    <w:bottom w:val="none" w:sz="0" w:space="0" w:color="auto"/>
                    <w:right w:val="none" w:sz="0" w:space="0" w:color="auto"/>
                  </w:divBdr>
                  <w:divsChild>
                    <w:div w:id="1558854846">
                      <w:marLeft w:val="0"/>
                      <w:marRight w:val="0"/>
                      <w:marTop w:val="0"/>
                      <w:marBottom w:val="0"/>
                      <w:divBdr>
                        <w:top w:val="none" w:sz="0" w:space="0" w:color="auto"/>
                        <w:left w:val="none" w:sz="0" w:space="0" w:color="auto"/>
                        <w:bottom w:val="none" w:sz="0" w:space="0" w:color="auto"/>
                        <w:right w:val="none" w:sz="0" w:space="0" w:color="auto"/>
                      </w:divBdr>
                      <w:divsChild>
                        <w:div w:id="1585257326">
                          <w:marLeft w:val="0"/>
                          <w:marRight w:val="0"/>
                          <w:marTop w:val="0"/>
                          <w:marBottom w:val="0"/>
                          <w:divBdr>
                            <w:top w:val="none" w:sz="0" w:space="0" w:color="auto"/>
                            <w:left w:val="none" w:sz="0" w:space="0" w:color="auto"/>
                            <w:bottom w:val="none" w:sz="0" w:space="0" w:color="auto"/>
                            <w:right w:val="none" w:sz="0" w:space="0" w:color="auto"/>
                          </w:divBdr>
                          <w:divsChild>
                            <w:div w:id="1802772258">
                              <w:marLeft w:val="0"/>
                              <w:marRight w:val="0"/>
                              <w:marTop w:val="0"/>
                              <w:marBottom w:val="0"/>
                              <w:divBdr>
                                <w:top w:val="none" w:sz="0" w:space="0" w:color="auto"/>
                                <w:left w:val="none" w:sz="0" w:space="0" w:color="auto"/>
                                <w:bottom w:val="none" w:sz="0" w:space="0" w:color="auto"/>
                                <w:right w:val="none" w:sz="0" w:space="0" w:color="auto"/>
                              </w:divBdr>
                              <w:divsChild>
                                <w:div w:id="46296121">
                                  <w:marLeft w:val="0"/>
                                  <w:marRight w:val="0"/>
                                  <w:marTop w:val="0"/>
                                  <w:marBottom w:val="0"/>
                                  <w:divBdr>
                                    <w:top w:val="none" w:sz="0" w:space="0" w:color="auto"/>
                                    <w:left w:val="none" w:sz="0" w:space="0" w:color="auto"/>
                                    <w:bottom w:val="none" w:sz="0" w:space="0" w:color="auto"/>
                                    <w:right w:val="none" w:sz="0" w:space="0" w:color="auto"/>
                                  </w:divBdr>
                                  <w:divsChild>
                                    <w:div w:id="14288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10226">
      <w:bodyDiv w:val="1"/>
      <w:marLeft w:val="0"/>
      <w:marRight w:val="0"/>
      <w:marTop w:val="0"/>
      <w:marBottom w:val="0"/>
      <w:divBdr>
        <w:top w:val="none" w:sz="0" w:space="0" w:color="auto"/>
        <w:left w:val="none" w:sz="0" w:space="0" w:color="auto"/>
        <w:bottom w:val="none" w:sz="0" w:space="0" w:color="auto"/>
        <w:right w:val="none" w:sz="0" w:space="0" w:color="auto"/>
      </w:divBdr>
    </w:div>
    <w:div w:id="1576865500">
      <w:bodyDiv w:val="1"/>
      <w:marLeft w:val="0"/>
      <w:marRight w:val="0"/>
      <w:marTop w:val="0"/>
      <w:marBottom w:val="0"/>
      <w:divBdr>
        <w:top w:val="none" w:sz="0" w:space="0" w:color="auto"/>
        <w:left w:val="none" w:sz="0" w:space="0" w:color="auto"/>
        <w:bottom w:val="none" w:sz="0" w:space="0" w:color="auto"/>
        <w:right w:val="none" w:sz="0" w:space="0" w:color="auto"/>
      </w:divBdr>
      <w:divsChild>
        <w:div w:id="275140229">
          <w:marLeft w:val="0"/>
          <w:marRight w:val="0"/>
          <w:marTop w:val="0"/>
          <w:marBottom w:val="0"/>
          <w:divBdr>
            <w:top w:val="none" w:sz="0" w:space="0" w:color="auto"/>
            <w:left w:val="none" w:sz="0" w:space="0" w:color="auto"/>
            <w:bottom w:val="none" w:sz="0" w:space="0" w:color="auto"/>
            <w:right w:val="none" w:sz="0" w:space="0" w:color="auto"/>
          </w:divBdr>
        </w:div>
        <w:div w:id="1624073012">
          <w:marLeft w:val="0"/>
          <w:marRight w:val="0"/>
          <w:marTop w:val="0"/>
          <w:marBottom w:val="0"/>
          <w:divBdr>
            <w:top w:val="none" w:sz="0" w:space="0" w:color="auto"/>
            <w:left w:val="none" w:sz="0" w:space="0" w:color="auto"/>
            <w:bottom w:val="none" w:sz="0" w:space="0" w:color="auto"/>
            <w:right w:val="none" w:sz="0" w:space="0" w:color="auto"/>
          </w:divBdr>
        </w:div>
      </w:divsChild>
    </w:div>
    <w:div w:id="1597054864">
      <w:bodyDiv w:val="1"/>
      <w:marLeft w:val="0"/>
      <w:marRight w:val="0"/>
      <w:marTop w:val="0"/>
      <w:marBottom w:val="0"/>
      <w:divBdr>
        <w:top w:val="none" w:sz="0" w:space="0" w:color="auto"/>
        <w:left w:val="none" w:sz="0" w:space="0" w:color="auto"/>
        <w:bottom w:val="none" w:sz="0" w:space="0" w:color="auto"/>
        <w:right w:val="none" w:sz="0" w:space="0" w:color="auto"/>
      </w:divBdr>
      <w:divsChild>
        <w:div w:id="1378965669">
          <w:marLeft w:val="0"/>
          <w:marRight w:val="0"/>
          <w:marTop w:val="0"/>
          <w:marBottom w:val="0"/>
          <w:divBdr>
            <w:top w:val="none" w:sz="0" w:space="0" w:color="auto"/>
            <w:left w:val="none" w:sz="0" w:space="0" w:color="auto"/>
            <w:bottom w:val="none" w:sz="0" w:space="0" w:color="auto"/>
            <w:right w:val="none" w:sz="0" w:space="0" w:color="auto"/>
          </w:divBdr>
          <w:divsChild>
            <w:div w:id="1361929345">
              <w:marLeft w:val="0"/>
              <w:marRight w:val="0"/>
              <w:marTop w:val="0"/>
              <w:marBottom w:val="0"/>
              <w:divBdr>
                <w:top w:val="none" w:sz="0" w:space="0" w:color="auto"/>
                <w:left w:val="none" w:sz="0" w:space="0" w:color="auto"/>
                <w:bottom w:val="none" w:sz="0" w:space="0" w:color="auto"/>
                <w:right w:val="none" w:sz="0" w:space="0" w:color="auto"/>
              </w:divBdr>
              <w:divsChild>
                <w:div w:id="675577023">
                  <w:marLeft w:val="0"/>
                  <w:marRight w:val="0"/>
                  <w:marTop w:val="0"/>
                  <w:marBottom w:val="0"/>
                  <w:divBdr>
                    <w:top w:val="none" w:sz="0" w:space="0" w:color="auto"/>
                    <w:left w:val="none" w:sz="0" w:space="0" w:color="auto"/>
                    <w:bottom w:val="none" w:sz="0" w:space="0" w:color="auto"/>
                    <w:right w:val="none" w:sz="0" w:space="0" w:color="auto"/>
                  </w:divBdr>
                  <w:divsChild>
                    <w:div w:id="5107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966363">
      <w:bodyDiv w:val="1"/>
      <w:marLeft w:val="0"/>
      <w:marRight w:val="0"/>
      <w:marTop w:val="0"/>
      <w:marBottom w:val="0"/>
      <w:divBdr>
        <w:top w:val="none" w:sz="0" w:space="0" w:color="auto"/>
        <w:left w:val="none" w:sz="0" w:space="0" w:color="auto"/>
        <w:bottom w:val="none" w:sz="0" w:space="0" w:color="auto"/>
        <w:right w:val="none" w:sz="0" w:space="0" w:color="auto"/>
      </w:divBdr>
      <w:divsChild>
        <w:div w:id="1714967050">
          <w:marLeft w:val="0"/>
          <w:marRight w:val="0"/>
          <w:marTop w:val="0"/>
          <w:marBottom w:val="0"/>
          <w:divBdr>
            <w:top w:val="none" w:sz="0" w:space="0" w:color="auto"/>
            <w:left w:val="none" w:sz="0" w:space="0" w:color="auto"/>
            <w:bottom w:val="none" w:sz="0" w:space="0" w:color="auto"/>
            <w:right w:val="none" w:sz="0" w:space="0" w:color="auto"/>
          </w:divBdr>
        </w:div>
      </w:divsChild>
    </w:div>
    <w:div w:id="1632251221">
      <w:bodyDiv w:val="1"/>
      <w:marLeft w:val="0"/>
      <w:marRight w:val="0"/>
      <w:marTop w:val="0"/>
      <w:marBottom w:val="0"/>
      <w:divBdr>
        <w:top w:val="none" w:sz="0" w:space="0" w:color="auto"/>
        <w:left w:val="none" w:sz="0" w:space="0" w:color="auto"/>
        <w:bottom w:val="none" w:sz="0" w:space="0" w:color="auto"/>
        <w:right w:val="none" w:sz="0" w:space="0" w:color="auto"/>
      </w:divBdr>
      <w:divsChild>
        <w:div w:id="853761647">
          <w:marLeft w:val="0"/>
          <w:marRight w:val="0"/>
          <w:marTop w:val="0"/>
          <w:marBottom w:val="0"/>
          <w:divBdr>
            <w:top w:val="none" w:sz="0" w:space="0" w:color="auto"/>
            <w:left w:val="none" w:sz="0" w:space="0" w:color="auto"/>
            <w:bottom w:val="none" w:sz="0" w:space="0" w:color="auto"/>
            <w:right w:val="none" w:sz="0" w:space="0" w:color="auto"/>
          </w:divBdr>
        </w:div>
      </w:divsChild>
    </w:div>
    <w:div w:id="1684437195">
      <w:bodyDiv w:val="1"/>
      <w:marLeft w:val="0"/>
      <w:marRight w:val="0"/>
      <w:marTop w:val="0"/>
      <w:marBottom w:val="0"/>
      <w:divBdr>
        <w:top w:val="none" w:sz="0" w:space="0" w:color="auto"/>
        <w:left w:val="none" w:sz="0" w:space="0" w:color="auto"/>
        <w:bottom w:val="none" w:sz="0" w:space="0" w:color="auto"/>
        <w:right w:val="none" w:sz="0" w:space="0" w:color="auto"/>
      </w:divBdr>
      <w:divsChild>
        <w:div w:id="13652170">
          <w:marLeft w:val="0"/>
          <w:marRight w:val="0"/>
          <w:marTop w:val="0"/>
          <w:marBottom w:val="0"/>
          <w:divBdr>
            <w:top w:val="none" w:sz="0" w:space="0" w:color="auto"/>
            <w:left w:val="none" w:sz="0" w:space="0" w:color="auto"/>
            <w:bottom w:val="none" w:sz="0" w:space="0" w:color="auto"/>
            <w:right w:val="none" w:sz="0" w:space="0" w:color="auto"/>
          </w:divBdr>
        </w:div>
      </w:divsChild>
    </w:div>
    <w:div w:id="1748115327">
      <w:bodyDiv w:val="1"/>
      <w:marLeft w:val="0"/>
      <w:marRight w:val="0"/>
      <w:marTop w:val="0"/>
      <w:marBottom w:val="0"/>
      <w:divBdr>
        <w:top w:val="none" w:sz="0" w:space="0" w:color="auto"/>
        <w:left w:val="none" w:sz="0" w:space="0" w:color="auto"/>
        <w:bottom w:val="none" w:sz="0" w:space="0" w:color="auto"/>
        <w:right w:val="none" w:sz="0" w:space="0" w:color="auto"/>
      </w:divBdr>
      <w:divsChild>
        <w:div w:id="122817473">
          <w:marLeft w:val="0"/>
          <w:marRight w:val="0"/>
          <w:marTop w:val="0"/>
          <w:marBottom w:val="0"/>
          <w:divBdr>
            <w:top w:val="none" w:sz="0" w:space="0" w:color="auto"/>
            <w:left w:val="none" w:sz="0" w:space="0" w:color="auto"/>
            <w:bottom w:val="none" w:sz="0" w:space="0" w:color="auto"/>
            <w:right w:val="none" w:sz="0" w:space="0" w:color="auto"/>
          </w:divBdr>
        </w:div>
      </w:divsChild>
    </w:div>
    <w:div w:id="1748572393">
      <w:bodyDiv w:val="1"/>
      <w:marLeft w:val="0"/>
      <w:marRight w:val="0"/>
      <w:marTop w:val="0"/>
      <w:marBottom w:val="0"/>
      <w:divBdr>
        <w:top w:val="none" w:sz="0" w:space="0" w:color="auto"/>
        <w:left w:val="none" w:sz="0" w:space="0" w:color="auto"/>
        <w:bottom w:val="none" w:sz="0" w:space="0" w:color="auto"/>
        <w:right w:val="none" w:sz="0" w:space="0" w:color="auto"/>
      </w:divBdr>
      <w:divsChild>
        <w:div w:id="1935477036">
          <w:marLeft w:val="0"/>
          <w:marRight w:val="0"/>
          <w:marTop w:val="0"/>
          <w:marBottom w:val="0"/>
          <w:divBdr>
            <w:top w:val="none" w:sz="0" w:space="0" w:color="auto"/>
            <w:left w:val="none" w:sz="0" w:space="0" w:color="auto"/>
            <w:bottom w:val="none" w:sz="0" w:space="0" w:color="auto"/>
            <w:right w:val="none" w:sz="0" w:space="0" w:color="auto"/>
          </w:divBdr>
          <w:divsChild>
            <w:div w:id="964777049">
              <w:marLeft w:val="0"/>
              <w:marRight w:val="0"/>
              <w:marTop w:val="0"/>
              <w:marBottom w:val="0"/>
              <w:divBdr>
                <w:top w:val="none" w:sz="0" w:space="0" w:color="auto"/>
                <w:left w:val="none" w:sz="0" w:space="0" w:color="auto"/>
                <w:bottom w:val="none" w:sz="0" w:space="0" w:color="auto"/>
                <w:right w:val="none" w:sz="0" w:space="0" w:color="auto"/>
              </w:divBdr>
              <w:divsChild>
                <w:div w:id="587738303">
                  <w:marLeft w:val="0"/>
                  <w:marRight w:val="0"/>
                  <w:marTop w:val="0"/>
                  <w:marBottom w:val="360"/>
                  <w:divBdr>
                    <w:top w:val="none" w:sz="0" w:space="0" w:color="auto"/>
                    <w:left w:val="none" w:sz="0" w:space="0" w:color="auto"/>
                    <w:bottom w:val="none" w:sz="0" w:space="0" w:color="auto"/>
                    <w:right w:val="none" w:sz="0" w:space="0" w:color="auto"/>
                  </w:divBdr>
                  <w:divsChild>
                    <w:div w:id="1316452144">
                      <w:marLeft w:val="0"/>
                      <w:marRight w:val="0"/>
                      <w:marTop w:val="0"/>
                      <w:marBottom w:val="0"/>
                      <w:divBdr>
                        <w:top w:val="none" w:sz="0" w:space="0" w:color="auto"/>
                        <w:left w:val="none" w:sz="0" w:space="0" w:color="auto"/>
                        <w:bottom w:val="none" w:sz="0" w:space="0" w:color="auto"/>
                        <w:right w:val="none" w:sz="0" w:space="0" w:color="auto"/>
                      </w:divBdr>
                      <w:divsChild>
                        <w:div w:id="1001931889">
                          <w:marLeft w:val="0"/>
                          <w:marRight w:val="0"/>
                          <w:marTop w:val="0"/>
                          <w:marBottom w:val="0"/>
                          <w:divBdr>
                            <w:top w:val="none" w:sz="0" w:space="0" w:color="auto"/>
                            <w:left w:val="none" w:sz="0" w:space="0" w:color="auto"/>
                            <w:bottom w:val="none" w:sz="0" w:space="0" w:color="auto"/>
                            <w:right w:val="none" w:sz="0" w:space="0" w:color="auto"/>
                          </w:divBdr>
                          <w:divsChild>
                            <w:div w:id="1593589062">
                              <w:marLeft w:val="0"/>
                              <w:marRight w:val="0"/>
                              <w:marTop w:val="0"/>
                              <w:marBottom w:val="0"/>
                              <w:divBdr>
                                <w:top w:val="none" w:sz="0" w:space="0" w:color="auto"/>
                                <w:left w:val="none" w:sz="0" w:space="0" w:color="auto"/>
                                <w:bottom w:val="none" w:sz="0" w:space="0" w:color="auto"/>
                                <w:right w:val="none" w:sz="0" w:space="0" w:color="auto"/>
                              </w:divBdr>
                              <w:divsChild>
                                <w:div w:id="715743895">
                                  <w:marLeft w:val="0"/>
                                  <w:marRight w:val="0"/>
                                  <w:marTop w:val="0"/>
                                  <w:marBottom w:val="0"/>
                                  <w:divBdr>
                                    <w:top w:val="none" w:sz="0" w:space="0" w:color="auto"/>
                                    <w:left w:val="none" w:sz="0" w:space="0" w:color="auto"/>
                                    <w:bottom w:val="none" w:sz="0" w:space="0" w:color="auto"/>
                                    <w:right w:val="none" w:sz="0" w:space="0" w:color="auto"/>
                                  </w:divBdr>
                                  <w:divsChild>
                                    <w:div w:id="1863736274">
                                      <w:marLeft w:val="0"/>
                                      <w:marRight w:val="0"/>
                                      <w:marTop w:val="0"/>
                                      <w:marBottom w:val="0"/>
                                      <w:divBdr>
                                        <w:top w:val="none" w:sz="0" w:space="0" w:color="auto"/>
                                        <w:left w:val="none" w:sz="0" w:space="0" w:color="auto"/>
                                        <w:bottom w:val="none" w:sz="0" w:space="0" w:color="auto"/>
                                        <w:right w:val="none" w:sz="0" w:space="0" w:color="auto"/>
                                      </w:divBdr>
                                      <w:divsChild>
                                        <w:div w:id="287589977">
                                          <w:marLeft w:val="0"/>
                                          <w:marRight w:val="0"/>
                                          <w:marTop w:val="0"/>
                                          <w:marBottom w:val="0"/>
                                          <w:divBdr>
                                            <w:top w:val="none" w:sz="0" w:space="0" w:color="auto"/>
                                            <w:left w:val="none" w:sz="0" w:space="0" w:color="auto"/>
                                            <w:bottom w:val="none" w:sz="0" w:space="0" w:color="auto"/>
                                            <w:right w:val="none" w:sz="0" w:space="0" w:color="auto"/>
                                          </w:divBdr>
                                          <w:divsChild>
                                            <w:div w:id="533881465">
                                              <w:marLeft w:val="0"/>
                                              <w:marRight w:val="0"/>
                                              <w:marTop w:val="0"/>
                                              <w:marBottom w:val="0"/>
                                              <w:divBdr>
                                                <w:top w:val="none" w:sz="0" w:space="0" w:color="auto"/>
                                                <w:left w:val="none" w:sz="0" w:space="0" w:color="auto"/>
                                                <w:bottom w:val="none" w:sz="0" w:space="0" w:color="auto"/>
                                                <w:right w:val="none" w:sz="0" w:space="0" w:color="auto"/>
                                              </w:divBdr>
                                            </w:div>
                                            <w:div w:id="15256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290599">
      <w:bodyDiv w:val="1"/>
      <w:marLeft w:val="0"/>
      <w:marRight w:val="0"/>
      <w:marTop w:val="0"/>
      <w:marBottom w:val="0"/>
      <w:divBdr>
        <w:top w:val="none" w:sz="0" w:space="0" w:color="auto"/>
        <w:left w:val="none" w:sz="0" w:space="0" w:color="auto"/>
        <w:bottom w:val="none" w:sz="0" w:space="0" w:color="auto"/>
        <w:right w:val="none" w:sz="0" w:space="0" w:color="auto"/>
      </w:divBdr>
      <w:divsChild>
        <w:div w:id="1161001592">
          <w:marLeft w:val="0"/>
          <w:marRight w:val="0"/>
          <w:marTop w:val="0"/>
          <w:marBottom w:val="0"/>
          <w:divBdr>
            <w:top w:val="none" w:sz="0" w:space="0" w:color="auto"/>
            <w:left w:val="none" w:sz="0" w:space="0" w:color="auto"/>
            <w:bottom w:val="none" w:sz="0" w:space="0" w:color="auto"/>
            <w:right w:val="none" w:sz="0" w:space="0" w:color="auto"/>
          </w:divBdr>
        </w:div>
      </w:divsChild>
    </w:div>
    <w:div w:id="1764103845">
      <w:bodyDiv w:val="1"/>
      <w:marLeft w:val="0"/>
      <w:marRight w:val="0"/>
      <w:marTop w:val="0"/>
      <w:marBottom w:val="0"/>
      <w:divBdr>
        <w:top w:val="none" w:sz="0" w:space="0" w:color="auto"/>
        <w:left w:val="none" w:sz="0" w:space="0" w:color="auto"/>
        <w:bottom w:val="none" w:sz="0" w:space="0" w:color="auto"/>
        <w:right w:val="none" w:sz="0" w:space="0" w:color="auto"/>
      </w:divBdr>
      <w:divsChild>
        <w:div w:id="1665622589">
          <w:marLeft w:val="0"/>
          <w:marRight w:val="0"/>
          <w:marTop w:val="0"/>
          <w:marBottom w:val="0"/>
          <w:divBdr>
            <w:top w:val="none" w:sz="0" w:space="0" w:color="auto"/>
            <w:left w:val="none" w:sz="0" w:space="0" w:color="auto"/>
            <w:bottom w:val="none" w:sz="0" w:space="0" w:color="auto"/>
            <w:right w:val="none" w:sz="0" w:space="0" w:color="auto"/>
          </w:divBdr>
        </w:div>
      </w:divsChild>
    </w:div>
    <w:div w:id="1830901789">
      <w:bodyDiv w:val="1"/>
      <w:marLeft w:val="0"/>
      <w:marRight w:val="0"/>
      <w:marTop w:val="0"/>
      <w:marBottom w:val="0"/>
      <w:divBdr>
        <w:top w:val="none" w:sz="0" w:space="0" w:color="auto"/>
        <w:left w:val="none" w:sz="0" w:space="0" w:color="auto"/>
        <w:bottom w:val="none" w:sz="0" w:space="0" w:color="auto"/>
        <w:right w:val="none" w:sz="0" w:space="0" w:color="auto"/>
      </w:divBdr>
      <w:divsChild>
        <w:div w:id="1457793904">
          <w:marLeft w:val="0"/>
          <w:marRight w:val="0"/>
          <w:marTop w:val="0"/>
          <w:marBottom w:val="0"/>
          <w:divBdr>
            <w:top w:val="none" w:sz="0" w:space="0" w:color="auto"/>
            <w:left w:val="none" w:sz="0" w:space="0" w:color="auto"/>
            <w:bottom w:val="none" w:sz="0" w:space="0" w:color="auto"/>
            <w:right w:val="none" w:sz="0" w:space="0" w:color="auto"/>
          </w:divBdr>
          <w:divsChild>
            <w:div w:id="362290070">
              <w:marLeft w:val="0"/>
              <w:marRight w:val="0"/>
              <w:marTop w:val="0"/>
              <w:marBottom w:val="0"/>
              <w:divBdr>
                <w:top w:val="none" w:sz="0" w:space="0" w:color="auto"/>
                <w:left w:val="none" w:sz="0" w:space="0" w:color="auto"/>
                <w:bottom w:val="none" w:sz="0" w:space="0" w:color="auto"/>
                <w:right w:val="none" w:sz="0" w:space="0" w:color="auto"/>
              </w:divBdr>
              <w:divsChild>
                <w:div w:id="1800949085">
                  <w:marLeft w:val="0"/>
                  <w:marRight w:val="0"/>
                  <w:marTop w:val="0"/>
                  <w:marBottom w:val="0"/>
                  <w:divBdr>
                    <w:top w:val="none" w:sz="0" w:space="0" w:color="auto"/>
                    <w:left w:val="none" w:sz="0" w:space="0" w:color="auto"/>
                    <w:bottom w:val="none" w:sz="0" w:space="0" w:color="auto"/>
                    <w:right w:val="none" w:sz="0" w:space="0" w:color="auto"/>
                  </w:divBdr>
                  <w:divsChild>
                    <w:div w:id="856314915">
                      <w:marLeft w:val="0"/>
                      <w:marRight w:val="0"/>
                      <w:marTop w:val="0"/>
                      <w:marBottom w:val="0"/>
                      <w:divBdr>
                        <w:top w:val="none" w:sz="0" w:space="0" w:color="auto"/>
                        <w:left w:val="none" w:sz="0" w:space="0" w:color="auto"/>
                        <w:bottom w:val="none" w:sz="0" w:space="0" w:color="auto"/>
                        <w:right w:val="none" w:sz="0" w:space="0" w:color="auto"/>
                      </w:divBdr>
                      <w:divsChild>
                        <w:div w:id="1380668306">
                          <w:marLeft w:val="0"/>
                          <w:marRight w:val="0"/>
                          <w:marTop w:val="0"/>
                          <w:marBottom w:val="0"/>
                          <w:divBdr>
                            <w:top w:val="single" w:sz="6" w:space="26" w:color="BCBEC0"/>
                            <w:left w:val="single" w:sz="6" w:space="26" w:color="BCBEC0"/>
                            <w:bottom w:val="single" w:sz="6" w:space="26" w:color="BCBEC0"/>
                            <w:right w:val="single" w:sz="6" w:space="26" w:color="BCBEC0"/>
                          </w:divBdr>
                          <w:divsChild>
                            <w:div w:id="1164857789">
                              <w:marLeft w:val="0"/>
                              <w:marRight w:val="0"/>
                              <w:marTop w:val="0"/>
                              <w:marBottom w:val="0"/>
                              <w:divBdr>
                                <w:top w:val="none" w:sz="0" w:space="0" w:color="auto"/>
                                <w:left w:val="none" w:sz="0" w:space="0" w:color="auto"/>
                                <w:bottom w:val="none" w:sz="0" w:space="0" w:color="auto"/>
                                <w:right w:val="none" w:sz="0" w:space="0" w:color="auto"/>
                              </w:divBdr>
                              <w:divsChild>
                                <w:div w:id="17434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803170">
      <w:bodyDiv w:val="1"/>
      <w:marLeft w:val="0"/>
      <w:marRight w:val="0"/>
      <w:marTop w:val="0"/>
      <w:marBottom w:val="0"/>
      <w:divBdr>
        <w:top w:val="none" w:sz="0" w:space="0" w:color="auto"/>
        <w:left w:val="none" w:sz="0" w:space="0" w:color="auto"/>
        <w:bottom w:val="none" w:sz="0" w:space="0" w:color="auto"/>
        <w:right w:val="none" w:sz="0" w:space="0" w:color="auto"/>
      </w:divBdr>
      <w:divsChild>
        <w:div w:id="1460758691">
          <w:marLeft w:val="0"/>
          <w:marRight w:val="0"/>
          <w:marTop w:val="0"/>
          <w:marBottom w:val="0"/>
          <w:divBdr>
            <w:top w:val="none" w:sz="0" w:space="0" w:color="auto"/>
            <w:left w:val="none" w:sz="0" w:space="0" w:color="auto"/>
            <w:bottom w:val="none" w:sz="0" w:space="0" w:color="auto"/>
            <w:right w:val="none" w:sz="0" w:space="0" w:color="auto"/>
          </w:divBdr>
        </w:div>
      </w:divsChild>
    </w:div>
    <w:div w:id="1836995687">
      <w:bodyDiv w:val="1"/>
      <w:marLeft w:val="0"/>
      <w:marRight w:val="0"/>
      <w:marTop w:val="0"/>
      <w:marBottom w:val="0"/>
      <w:divBdr>
        <w:top w:val="none" w:sz="0" w:space="0" w:color="auto"/>
        <w:left w:val="none" w:sz="0" w:space="0" w:color="auto"/>
        <w:bottom w:val="none" w:sz="0" w:space="0" w:color="auto"/>
        <w:right w:val="none" w:sz="0" w:space="0" w:color="auto"/>
      </w:divBdr>
      <w:divsChild>
        <w:div w:id="213202083">
          <w:marLeft w:val="0"/>
          <w:marRight w:val="0"/>
          <w:marTop w:val="0"/>
          <w:marBottom w:val="0"/>
          <w:divBdr>
            <w:top w:val="none" w:sz="0" w:space="0" w:color="auto"/>
            <w:left w:val="none" w:sz="0" w:space="0" w:color="auto"/>
            <w:bottom w:val="none" w:sz="0" w:space="0" w:color="auto"/>
            <w:right w:val="none" w:sz="0" w:space="0" w:color="auto"/>
          </w:divBdr>
          <w:divsChild>
            <w:div w:id="171605675">
              <w:marLeft w:val="0"/>
              <w:marRight w:val="0"/>
              <w:marTop w:val="0"/>
              <w:marBottom w:val="0"/>
              <w:divBdr>
                <w:top w:val="none" w:sz="0" w:space="0" w:color="auto"/>
                <w:left w:val="none" w:sz="0" w:space="0" w:color="auto"/>
                <w:bottom w:val="none" w:sz="0" w:space="0" w:color="auto"/>
                <w:right w:val="none" w:sz="0" w:space="0" w:color="auto"/>
              </w:divBdr>
              <w:divsChild>
                <w:div w:id="1157724439">
                  <w:marLeft w:val="0"/>
                  <w:marRight w:val="0"/>
                  <w:marTop w:val="0"/>
                  <w:marBottom w:val="0"/>
                  <w:divBdr>
                    <w:top w:val="none" w:sz="0" w:space="0" w:color="auto"/>
                    <w:left w:val="none" w:sz="0" w:space="0" w:color="auto"/>
                    <w:bottom w:val="none" w:sz="0" w:space="0" w:color="auto"/>
                    <w:right w:val="none" w:sz="0" w:space="0" w:color="auto"/>
                  </w:divBdr>
                  <w:divsChild>
                    <w:div w:id="1613511442">
                      <w:marLeft w:val="0"/>
                      <w:marRight w:val="300"/>
                      <w:marTop w:val="0"/>
                      <w:marBottom w:val="0"/>
                      <w:divBdr>
                        <w:top w:val="none" w:sz="0" w:space="0" w:color="auto"/>
                        <w:left w:val="none" w:sz="0" w:space="0" w:color="auto"/>
                        <w:bottom w:val="none" w:sz="0" w:space="0" w:color="auto"/>
                        <w:right w:val="none" w:sz="0" w:space="0" w:color="auto"/>
                      </w:divBdr>
                      <w:divsChild>
                        <w:div w:id="507674138">
                          <w:marLeft w:val="0"/>
                          <w:marRight w:val="0"/>
                          <w:marTop w:val="0"/>
                          <w:marBottom w:val="0"/>
                          <w:divBdr>
                            <w:top w:val="single" w:sz="6" w:space="26" w:color="BCBEC0"/>
                            <w:left w:val="single" w:sz="6" w:space="26" w:color="BCBEC0"/>
                            <w:bottom w:val="single" w:sz="6" w:space="26" w:color="BCBEC0"/>
                            <w:right w:val="single" w:sz="6" w:space="26" w:color="BCBEC0"/>
                          </w:divBdr>
                          <w:divsChild>
                            <w:div w:id="1285234814">
                              <w:marLeft w:val="0"/>
                              <w:marRight w:val="0"/>
                              <w:marTop w:val="0"/>
                              <w:marBottom w:val="0"/>
                              <w:divBdr>
                                <w:top w:val="none" w:sz="0" w:space="0" w:color="auto"/>
                                <w:left w:val="none" w:sz="0" w:space="0" w:color="auto"/>
                                <w:bottom w:val="none" w:sz="0" w:space="0" w:color="auto"/>
                                <w:right w:val="none" w:sz="0" w:space="0" w:color="auto"/>
                              </w:divBdr>
                              <w:divsChild>
                                <w:div w:id="8161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187523">
      <w:bodyDiv w:val="1"/>
      <w:marLeft w:val="0"/>
      <w:marRight w:val="0"/>
      <w:marTop w:val="0"/>
      <w:marBottom w:val="0"/>
      <w:divBdr>
        <w:top w:val="none" w:sz="0" w:space="0" w:color="auto"/>
        <w:left w:val="none" w:sz="0" w:space="0" w:color="auto"/>
        <w:bottom w:val="none" w:sz="0" w:space="0" w:color="auto"/>
        <w:right w:val="none" w:sz="0" w:space="0" w:color="auto"/>
      </w:divBdr>
      <w:divsChild>
        <w:div w:id="1552225281">
          <w:marLeft w:val="0"/>
          <w:marRight w:val="0"/>
          <w:marTop w:val="0"/>
          <w:marBottom w:val="0"/>
          <w:divBdr>
            <w:top w:val="none" w:sz="0" w:space="0" w:color="auto"/>
            <w:left w:val="none" w:sz="0" w:space="0" w:color="auto"/>
            <w:bottom w:val="none" w:sz="0" w:space="0" w:color="auto"/>
            <w:right w:val="none" w:sz="0" w:space="0" w:color="auto"/>
          </w:divBdr>
          <w:divsChild>
            <w:div w:id="514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4933">
      <w:bodyDiv w:val="1"/>
      <w:marLeft w:val="0"/>
      <w:marRight w:val="0"/>
      <w:marTop w:val="0"/>
      <w:marBottom w:val="0"/>
      <w:divBdr>
        <w:top w:val="none" w:sz="0" w:space="0" w:color="auto"/>
        <w:left w:val="none" w:sz="0" w:space="0" w:color="auto"/>
        <w:bottom w:val="none" w:sz="0" w:space="0" w:color="auto"/>
        <w:right w:val="none" w:sz="0" w:space="0" w:color="auto"/>
      </w:divBdr>
      <w:divsChild>
        <w:div w:id="1138376478">
          <w:marLeft w:val="0"/>
          <w:marRight w:val="0"/>
          <w:marTop w:val="0"/>
          <w:marBottom w:val="0"/>
          <w:divBdr>
            <w:top w:val="none" w:sz="0" w:space="0" w:color="auto"/>
            <w:left w:val="none" w:sz="0" w:space="0" w:color="auto"/>
            <w:bottom w:val="none" w:sz="0" w:space="0" w:color="auto"/>
            <w:right w:val="none" w:sz="0" w:space="0" w:color="auto"/>
          </w:divBdr>
        </w:div>
      </w:divsChild>
    </w:div>
    <w:div w:id="1880512129">
      <w:bodyDiv w:val="1"/>
      <w:marLeft w:val="0"/>
      <w:marRight w:val="0"/>
      <w:marTop w:val="0"/>
      <w:marBottom w:val="0"/>
      <w:divBdr>
        <w:top w:val="none" w:sz="0" w:space="0" w:color="auto"/>
        <w:left w:val="none" w:sz="0" w:space="0" w:color="auto"/>
        <w:bottom w:val="none" w:sz="0" w:space="0" w:color="auto"/>
        <w:right w:val="none" w:sz="0" w:space="0" w:color="auto"/>
      </w:divBdr>
      <w:divsChild>
        <w:div w:id="1245920009">
          <w:marLeft w:val="0"/>
          <w:marRight w:val="0"/>
          <w:marTop w:val="0"/>
          <w:marBottom w:val="0"/>
          <w:divBdr>
            <w:top w:val="none" w:sz="0" w:space="0" w:color="auto"/>
            <w:left w:val="none" w:sz="0" w:space="0" w:color="auto"/>
            <w:bottom w:val="none" w:sz="0" w:space="0" w:color="auto"/>
            <w:right w:val="none" w:sz="0" w:space="0" w:color="auto"/>
          </w:divBdr>
          <w:divsChild>
            <w:div w:id="1593191">
              <w:marLeft w:val="0"/>
              <w:marRight w:val="0"/>
              <w:marTop w:val="0"/>
              <w:marBottom w:val="0"/>
              <w:divBdr>
                <w:top w:val="none" w:sz="0" w:space="0" w:color="auto"/>
                <w:left w:val="none" w:sz="0" w:space="0" w:color="auto"/>
                <w:bottom w:val="none" w:sz="0" w:space="0" w:color="auto"/>
                <w:right w:val="none" w:sz="0" w:space="0" w:color="auto"/>
              </w:divBdr>
              <w:divsChild>
                <w:div w:id="1107120881">
                  <w:marLeft w:val="0"/>
                  <w:marRight w:val="0"/>
                  <w:marTop w:val="0"/>
                  <w:marBottom w:val="0"/>
                  <w:divBdr>
                    <w:top w:val="none" w:sz="0" w:space="0" w:color="auto"/>
                    <w:left w:val="none" w:sz="0" w:space="0" w:color="auto"/>
                    <w:bottom w:val="none" w:sz="0" w:space="0" w:color="auto"/>
                    <w:right w:val="none" w:sz="0" w:space="0" w:color="auto"/>
                  </w:divBdr>
                  <w:divsChild>
                    <w:div w:id="956330060">
                      <w:marLeft w:val="0"/>
                      <w:marRight w:val="0"/>
                      <w:marTop w:val="0"/>
                      <w:marBottom w:val="0"/>
                      <w:divBdr>
                        <w:top w:val="none" w:sz="0" w:space="0" w:color="auto"/>
                        <w:left w:val="none" w:sz="0" w:space="0" w:color="auto"/>
                        <w:bottom w:val="none" w:sz="0" w:space="0" w:color="auto"/>
                        <w:right w:val="none" w:sz="0" w:space="0" w:color="auto"/>
                      </w:divBdr>
                      <w:divsChild>
                        <w:div w:id="1889149619">
                          <w:marLeft w:val="0"/>
                          <w:marRight w:val="0"/>
                          <w:marTop w:val="0"/>
                          <w:marBottom w:val="0"/>
                          <w:divBdr>
                            <w:top w:val="single" w:sz="6" w:space="26" w:color="BCBEC0"/>
                            <w:left w:val="single" w:sz="6" w:space="26" w:color="BCBEC0"/>
                            <w:bottom w:val="single" w:sz="6" w:space="26" w:color="BCBEC0"/>
                            <w:right w:val="single" w:sz="6" w:space="26" w:color="BCBEC0"/>
                          </w:divBdr>
                          <w:divsChild>
                            <w:div w:id="360785819">
                              <w:marLeft w:val="0"/>
                              <w:marRight w:val="0"/>
                              <w:marTop w:val="0"/>
                              <w:marBottom w:val="0"/>
                              <w:divBdr>
                                <w:top w:val="none" w:sz="0" w:space="0" w:color="auto"/>
                                <w:left w:val="none" w:sz="0" w:space="0" w:color="auto"/>
                                <w:bottom w:val="none" w:sz="0" w:space="0" w:color="auto"/>
                                <w:right w:val="none" w:sz="0" w:space="0" w:color="auto"/>
                              </w:divBdr>
                              <w:divsChild>
                                <w:div w:id="6788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516696">
      <w:bodyDiv w:val="1"/>
      <w:marLeft w:val="0"/>
      <w:marRight w:val="0"/>
      <w:marTop w:val="0"/>
      <w:marBottom w:val="0"/>
      <w:divBdr>
        <w:top w:val="none" w:sz="0" w:space="0" w:color="auto"/>
        <w:left w:val="none" w:sz="0" w:space="0" w:color="auto"/>
        <w:bottom w:val="none" w:sz="0" w:space="0" w:color="auto"/>
        <w:right w:val="none" w:sz="0" w:space="0" w:color="auto"/>
      </w:divBdr>
      <w:divsChild>
        <w:div w:id="1806924745">
          <w:marLeft w:val="0"/>
          <w:marRight w:val="0"/>
          <w:marTop w:val="0"/>
          <w:marBottom w:val="0"/>
          <w:divBdr>
            <w:top w:val="none" w:sz="0" w:space="0" w:color="auto"/>
            <w:left w:val="none" w:sz="0" w:space="0" w:color="auto"/>
            <w:bottom w:val="none" w:sz="0" w:space="0" w:color="auto"/>
            <w:right w:val="none" w:sz="0" w:space="0" w:color="auto"/>
          </w:divBdr>
          <w:divsChild>
            <w:div w:id="1850631121">
              <w:marLeft w:val="0"/>
              <w:marRight w:val="0"/>
              <w:marTop w:val="0"/>
              <w:marBottom w:val="0"/>
              <w:divBdr>
                <w:top w:val="none" w:sz="0" w:space="0" w:color="auto"/>
                <w:left w:val="none" w:sz="0" w:space="0" w:color="auto"/>
                <w:bottom w:val="none" w:sz="0" w:space="0" w:color="auto"/>
                <w:right w:val="none" w:sz="0" w:space="0" w:color="auto"/>
              </w:divBdr>
              <w:divsChild>
                <w:div w:id="2102600079">
                  <w:marLeft w:val="0"/>
                  <w:marRight w:val="0"/>
                  <w:marTop w:val="0"/>
                  <w:marBottom w:val="0"/>
                  <w:divBdr>
                    <w:top w:val="none" w:sz="0" w:space="0" w:color="auto"/>
                    <w:left w:val="none" w:sz="0" w:space="0" w:color="auto"/>
                    <w:bottom w:val="none" w:sz="0" w:space="0" w:color="auto"/>
                    <w:right w:val="none" w:sz="0" w:space="0" w:color="auto"/>
                  </w:divBdr>
                  <w:divsChild>
                    <w:div w:id="1458841893">
                      <w:marLeft w:val="0"/>
                      <w:marRight w:val="0"/>
                      <w:marTop w:val="0"/>
                      <w:marBottom w:val="0"/>
                      <w:divBdr>
                        <w:top w:val="none" w:sz="0" w:space="0" w:color="auto"/>
                        <w:left w:val="none" w:sz="0" w:space="0" w:color="auto"/>
                        <w:bottom w:val="none" w:sz="0" w:space="0" w:color="auto"/>
                        <w:right w:val="none" w:sz="0" w:space="0" w:color="auto"/>
                      </w:divBdr>
                      <w:divsChild>
                        <w:div w:id="107311137">
                          <w:marLeft w:val="0"/>
                          <w:marRight w:val="0"/>
                          <w:marTop w:val="0"/>
                          <w:marBottom w:val="0"/>
                          <w:divBdr>
                            <w:top w:val="single" w:sz="6" w:space="26" w:color="BCBEC0"/>
                            <w:left w:val="single" w:sz="6" w:space="26" w:color="BCBEC0"/>
                            <w:bottom w:val="single" w:sz="6" w:space="26" w:color="BCBEC0"/>
                            <w:right w:val="single" w:sz="6" w:space="26" w:color="BCBEC0"/>
                          </w:divBdr>
                          <w:divsChild>
                            <w:div w:id="947809201">
                              <w:marLeft w:val="0"/>
                              <w:marRight w:val="0"/>
                              <w:marTop w:val="0"/>
                              <w:marBottom w:val="0"/>
                              <w:divBdr>
                                <w:top w:val="none" w:sz="0" w:space="0" w:color="auto"/>
                                <w:left w:val="none" w:sz="0" w:space="0" w:color="auto"/>
                                <w:bottom w:val="none" w:sz="0" w:space="0" w:color="auto"/>
                                <w:right w:val="none" w:sz="0" w:space="0" w:color="auto"/>
                              </w:divBdr>
                              <w:divsChild>
                                <w:div w:id="7645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875977">
      <w:bodyDiv w:val="1"/>
      <w:marLeft w:val="0"/>
      <w:marRight w:val="0"/>
      <w:marTop w:val="0"/>
      <w:marBottom w:val="0"/>
      <w:divBdr>
        <w:top w:val="none" w:sz="0" w:space="0" w:color="auto"/>
        <w:left w:val="none" w:sz="0" w:space="0" w:color="auto"/>
        <w:bottom w:val="none" w:sz="0" w:space="0" w:color="auto"/>
        <w:right w:val="none" w:sz="0" w:space="0" w:color="auto"/>
      </w:divBdr>
      <w:divsChild>
        <w:div w:id="1873182168">
          <w:marLeft w:val="0"/>
          <w:marRight w:val="0"/>
          <w:marTop w:val="0"/>
          <w:marBottom w:val="0"/>
          <w:divBdr>
            <w:top w:val="none" w:sz="0" w:space="0" w:color="auto"/>
            <w:left w:val="none" w:sz="0" w:space="0" w:color="auto"/>
            <w:bottom w:val="none" w:sz="0" w:space="0" w:color="auto"/>
            <w:right w:val="none" w:sz="0" w:space="0" w:color="auto"/>
          </w:divBdr>
        </w:div>
      </w:divsChild>
    </w:div>
    <w:div w:id="1915385348">
      <w:bodyDiv w:val="1"/>
      <w:marLeft w:val="0"/>
      <w:marRight w:val="0"/>
      <w:marTop w:val="0"/>
      <w:marBottom w:val="0"/>
      <w:divBdr>
        <w:top w:val="none" w:sz="0" w:space="0" w:color="auto"/>
        <w:left w:val="none" w:sz="0" w:space="0" w:color="auto"/>
        <w:bottom w:val="none" w:sz="0" w:space="0" w:color="auto"/>
        <w:right w:val="none" w:sz="0" w:space="0" w:color="auto"/>
      </w:divBdr>
      <w:divsChild>
        <w:div w:id="182329716">
          <w:marLeft w:val="0"/>
          <w:marRight w:val="0"/>
          <w:marTop w:val="0"/>
          <w:marBottom w:val="0"/>
          <w:divBdr>
            <w:top w:val="none" w:sz="0" w:space="0" w:color="auto"/>
            <w:left w:val="none" w:sz="0" w:space="0" w:color="auto"/>
            <w:bottom w:val="none" w:sz="0" w:space="0" w:color="auto"/>
            <w:right w:val="none" w:sz="0" w:space="0" w:color="auto"/>
          </w:divBdr>
          <w:divsChild>
            <w:div w:id="1238708848">
              <w:marLeft w:val="0"/>
              <w:marRight w:val="0"/>
              <w:marTop w:val="0"/>
              <w:marBottom w:val="0"/>
              <w:divBdr>
                <w:top w:val="none" w:sz="0" w:space="0" w:color="auto"/>
                <w:left w:val="none" w:sz="0" w:space="0" w:color="auto"/>
                <w:bottom w:val="none" w:sz="0" w:space="0" w:color="auto"/>
                <w:right w:val="none" w:sz="0" w:space="0" w:color="auto"/>
              </w:divBdr>
              <w:divsChild>
                <w:div w:id="342365641">
                  <w:marLeft w:val="0"/>
                  <w:marRight w:val="0"/>
                  <w:marTop w:val="0"/>
                  <w:marBottom w:val="0"/>
                  <w:divBdr>
                    <w:top w:val="none" w:sz="0" w:space="0" w:color="auto"/>
                    <w:left w:val="none" w:sz="0" w:space="0" w:color="auto"/>
                    <w:bottom w:val="none" w:sz="0" w:space="0" w:color="auto"/>
                    <w:right w:val="none" w:sz="0" w:space="0" w:color="auto"/>
                  </w:divBdr>
                  <w:divsChild>
                    <w:div w:id="19240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06608">
      <w:bodyDiv w:val="1"/>
      <w:marLeft w:val="0"/>
      <w:marRight w:val="0"/>
      <w:marTop w:val="0"/>
      <w:marBottom w:val="0"/>
      <w:divBdr>
        <w:top w:val="none" w:sz="0" w:space="0" w:color="auto"/>
        <w:left w:val="none" w:sz="0" w:space="0" w:color="auto"/>
        <w:bottom w:val="none" w:sz="0" w:space="0" w:color="auto"/>
        <w:right w:val="none" w:sz="0" w:space="0" w:color="auto"/>
      </w:divBdr>
    </w:div>
    <w:div w:id="2072119151">
      <w:bodyDiv w:val="1"/>
      <w:marLeft w:val="0"/>
      <w:marRight w:val="0"/>
      <w:marTop w:val="0"/>
      <w:marBottom w:val="0"/>
      <w:divBdr>
        <w:top w:val="none" w:sz="0" w:space="0" w:color="auto"/>
        <w:left w:val="none" w:sz="0" w:space="0" w:color="auto"/>
        <w:bottom w:val="none" w:sz="0" w:space="0" w:color="auto"/>
        <w:right w:val="none" w:sz="0" w:space="0" w:color="auto"/>
      </w:divBdr>
      <w:divsChild>
        <w:div w:id="2135246626">
          <w:marLeft w:val="0"/>
          <w:marRight w:val="0"/>
          <w:marTop w:val="0"/>
          <w:marBottom w:val="0"/>
          <w:divBdr>
            <w:top w:val="none" w:sz="0" w:space="0" w:color="auto"/>
            <w:left w:val="none" w:sz="0" w:space="0" w:color="auto"/>
            <w:bottom w:val="none" w:sz="0" w:space="0" w:color="auto"/>
            <w:right w:val="none" w:sz="0" w:space="0" w:color="auto"/>
          </w:divBdr>
        </w:div>
      </w:divsChild>
    </w:div>
    <w:div w:id="2076199074">
      <w:bodyDiv w:val="1"/>
      <w:marLeft w:val="0"/>
      <w:marRight w:val="0"/>
      <w:marTop w:val="0"/>
      <w:marBottom w:val="0"/>
      <w:divBdr>
        <w:top w:val="none" w:sz="0" w:space="0" w:color="auto"/>
        <w:left w:val="none" w:sz="0" w:space="0" w:color="auto"/>
        <w:bottom w:val="none" w:sz="0" w:space="0" w:color="auto"/>
        <w:right w:val="none" w:sz="0" w:space="0" w:color="auto"/>
      </w:divBdr>
    </w:div>
    <w:div w:id="2085377043">
      <w:bodyDiv w:val="1"/>
      <w:marLeft w:val="0"/>
      <w:marRight w:val="0"/>
      <w:marTop w:val="0"/>
      <w:marBottom w:val="0"/>
      <w:divBdr>
        <w:top w:val="none" w:sz="0" w:space="0" w:color="auto"/>
        <w:left w:val="none" w:sz="0" w:space="0" w:color="auto"/>
        <w:bottom w:val="none" w:sz="0" w:space="0" w:color="auto"/>
        <w:right w:val="none" w:sz="0" w:space="0" w:color="auto"/>
      </w:divBdr>
      <w:divsChild>
        <w:div w:id="72318367">
          <w:marLeft w:val="0"/>
          <w:marRight w:val="0"/>
          <w:marTop w:val="0"/>
          <w:marBottom w:val="0"/>
          <w:divBdr>
            <w:top w:val="none" w:sz="0" w:space="0" w:color="auto"/>
            <w:left w:val="none" w:sz="0" w:space="0" w:color="auto"/>
            <w:bottom w:val="none" w:sz="0" w:space="0" w:color="auto"/>
            <w:right w:val="none" w:sz="0" w:space="0" w:color="auto"/>
          </w:divBdr>
        </w:div>
      </w:divsChild>
    </w:div>
    <w:div w:id="2124962339">
      <w:bodyDiv w:val="1"/>
      <w:marLeft w:val="0"/>
      <w:marRight w:val="0"/>
      <w:marTop w:val="0"/>
      <w:marBottom w:val="0"/>
      <w:divBdr>
        <w:top w:val="none" w:sz="0" w:space="0" w:color="auto"/>
        <w:left w:val="none" w:sz="0" w:space="0" w:color="auto"/>
        <w:bottom w:val="none" w:sz="0" w:space="0" w:color="auto"/>
        <w:right w:val="none" w:sz="0" w:space="0" w:color="auto"/>
      </w:divBdr>
      <w:divsChild>
        <w:div w:id="936716160">
          <w:marLeft w:val="0"/>
          <w:marRight w:val="0"/>
          <w:marTop w:val="0"/>
          <w:marBottom w:val="0"/>
          <w:divBdr>
            <w:top w:val="none" w:sz="0" w:space="0" w:color="auto"/>
            <w:left w:val="none" w:sz="0" w:space="0" w:color="auto"/>
            <w:bottom w:val="none" w:sz="0" w:space="0" w:color="auto"/>
            <w:right w:val="none" w:sz="0" w:space="0" w:color="auto"/>
          </w:divBdr>
        </w:div>
      </w:divsChild>
    </w:div>
    <w:div w:id="2134009234">
      <w:bodyDiv w:val="1"/>
      <w:marLeft w:val="0"/>
      <w:marRight w:val="0"/>
      <w:marTop w:val="0"/>
      <w:marBottom w:val="0"/>
      <w:divBdr>
        <w:top w:val="none" w:sz="0" w:space="0" w:color="auto"/>
        <w:left w:val="none" w:sz="0" w:space="0" w:color="auto"/>
        <w:bottom w:val="none" w:sz="0" w:space="0" w:color="auto"/>
        <w:right w:val="none" w:sz="0" w:space="0" w:color="auto"/>
      </w:divBdr>
      <w:divsChild>
        <w:div w:id="1850173659">
          <w:marLeft w:val="0"/>
          <w:marRight w:val="0"/>
          <w:marTop w:val="0"/>
          <w:marBottom w:val="0"/>
          <w:divBdr>
            <w:top w:val="none" w:sz="0" w:space="0" w:color="auto"/>
            <w:left w:val="none" w:sz="0" w:space="0" w:color="auto"/>
            <w:bottom w:val="none" w:sz="0" w:space="0" w:color="auto"/>
            <w:right w:val="none" w:sz="0" w:space="0" w:color="auto"/>
          </w:divBdr>
        </w:div>
        <w:div w:id="1097140032">
          <w:marLeft w:val="0"/>
          <w:marRight w:val="0"/>
          <w:marTop w:val="0"/>
          <w:marBottom w:val="0"/>
          <w:divBdr>
            <w:top w:val="none" w:sz="0" w:space="0" w:color="auto"/>
            <w:left w:val="none" w:sz="0" w:space="0" w:color="auto"/>
            <w:bottom w:val="none" w:sz="0" w:space="0" w:color="auto"/>
            <w:right w:val="none" w:sz="0" w:space="0" w:color="auto"/>
          </w:divBdr>
        </w:div>
        <w:div w:id="821045926">
          <w:marLeft w:val="0"/>
          <w:marRight w:val="0"/>
          <w:marTop w:val="0"/>
          <w:marBottom w:val="0"/>
          <w:divBdr>
            <w:top w:val="none" w:sz="0" w:space="0" w:color="auto"/>
            <w:left w:val="none" w:sz="0" w:space="0" w:color="auto"/>
            <w:bottom w:val="none" w:sz="0" w:space="0" w:color="auto"/>
            <w:right w:val="none" w:sz="0" w:space="0" w:color="auto"/>
          </w:divBdr>
        </w:div>
        <w:div w:id="752624741">
          <w:marLeft w:val="0"/>
          <w:marRight w:val="0"/>
          <w:marTop w:val="0"/>
          <w:marBottom w:val="0"/>
          <w:divBdr>
            <w:top w:val="none" w:sz="0" w:space="0" w:color="auto"/>
            <w:left w:val="none" w:sz="0" w:space="0" w:color="auto"/>
            <w:bottom w:val="none" w:sz="0" w:space="0" w:color="auto"/>
            <w:right w:val="none" w:sz="0" w:space="0" w:color="auto"/>
          </w:divBdr>
        </w:div>
        <w:div w:id="1549800981">
          <w:marLeft w:val="0"/>
          <w:marRight w:val="0"/>
          <w:marTop w:val="0"/>
          <w:marBottom w:val="0"/>
          <w:divBdr>
            <w:top w:val="none" w:sz="0" w:space="0" w:color="auto"/>
            <w:left w:val="none" w:sz="0" w:space="0" w:color="auto"/>
            <w:bottom w:val="none" w:sz="0" w:space="0" w:color="auto"/>
            <w:right w:val="none" w:sz="0" w:space="0" w:color="auto"/>
          </w:divBdr>
        </w:div>
        <w:div w:id="1030302739">
          <w:marLeft w:val="0"/>
          <w:marRight w:val="0"/>
          <w:marTop w:val="0"/>
          <w:marBottom w:val="0"/>
          <w:divBdr>
            <w:top w:val="none" w:sz="0" w:space="0" w:color="auto"/>
            <w:left w:val="none" w:sz="0" w:space="0" w:color="auto"/>
            <w:bottom w:val="none" w:sz="0" w:space="0" w:color="auto"/>
            <w:right w:val="none" w:sz="0" w:space="0" w:color="auto"/>
          </w:divBdr>
        </w:div>
        <w:div w:id="1773435201">
          <w:marLeft w:val="0"/>
          <w:marRight w:val="0"/>
          <w:marTop w:val="0"/>
          <w:marBottom w:val="0"/>
          <w:divBdr>
            <w:top w:val="none" w:sz="0" w:space="0" w:color="auto"/>
            <w:left w:val="none" w:sz="0" w:space="0" w:color="auto"/>
            <w:bottom w:val="none" w:sz="0" w:space="0" w:color="auto"/>
            <w:right w:val="none" w:sz="0" w:space="0" w:color="auto"/>
          </w:divBdr>
        </w:div>
        <w:div w:id="1518151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BF6A6-B28D-44A8-A6D8-FA943830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9227</Words>
  <Characters>50752</Characters>
  <Application>Microsoft Office Word</Application>
  <DocSecurity>0</DocSecurity>
  <Lines>422</Lines>
  <Paragraphs>119</Paragraphs>
  <ScaleCrop>false</ScaleCrop>
  <Manager/>
  <Company/>
  <LinksUpToDate>false</LinksUpToDate>
  <CharactersWithSpaces>59860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2023-02-16T18:46:00Z</dcterms:created>
  <dcterms:modified xsi:type="dcterms:W3CDTF">2023-02-16T18:46:00Z</dcterms:modified>
</cp:coreProperties>
</file>