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dxa"/>
        <w:tblLayout w:type="fixed"/>
        <w:tblCellMar>
          <w:left w:w="70" w:type="dxa"/>
          <w:right w:w="70" w:type="dxa"/>
        </w:tblCellMar>
        <w:tblLook w:val="04A0" w:firstRow="1" w:lastRow="0" w:firstColumn="1" w:lastColumn="0" w:noHBand="0" w:noVBand="1"/>
      </w:tblPr>
      <w:tblGrid>
        <w:gridCol w:w="1036"/>
        <w:gridCol w:w="69"/>
        <w:gridCol w:w="520"/>
        <w:gridCol w:w="42"/>
        <w:gridCol w:w="1533"/>
        <w:gridCol w:w="1826"/>
        <w:gridCol w:w="1848"/>
        <w:gridCol w:w="2631"/>
      </w:tblGrid>
      <w:tr w:rsidR="0082241E" w:rsidTr="00E03816">
        <w:trPr>
          <w:trHeight w:val="360"/>
        </w:trPr>
        <w:tc>
          <w:tcPr>
            <w:tcW w:w="6874" w:type="dxa"/>
            <w:gridSpan w:val="7"/>
            <w:hideMark/>
          </w:tcPr>
          <w:p w:rsidR="00E03816" w:rsidRPr="00174E94" w:rsidRDefault="00174E94" w:rsidP="00174E94">
            <w:pPr>
              <w:pStyle w:val="zSoquijdatRepertorie"/>
              <w:rPr>
                <w:rFonts w:cs="Arial"/>
              </w:rPr>
            </w:pPr>
            <w:bookmarkStart w:id="0" w:name="_GoBack"/>
            <w:bookmarkEnd w:id="0"/>
            <w:r>
              <w:rPr>
                <w:rFonts w:cs="Arial"/>
              </w:rPr>
              <w:t>R. c. Trudel</w:t>
            </w:r>
          </w:p>
        </w:tc>
        <w:tc>
          <w:tcPr>
            <w:tcW w:w="2631" w:type="dxa"/>
          </w:tcPr>
          <w:p w:rsidR="00E03816" w:rsidRPr="00A026DC" w:rsidRDefault="00A026DC" w:rsidP="00A026DC">
            <w:pPr>
              <w:pStyle w:val="zSoquijdatRefNeutre"/>
              <w:jc w:val="right"/>
              <w:rPr>
                <w:rFonts w:cs="Arial"/>
              </w:rPr>
            </w:pPr>
            <w:r w:rsidRPr="00A026DC">
              <w:rPr>
                <w:rFonts w:cs="Arial"/>
              </w:rPr>
              <w:t>2021 QCCQ 11573</w:t>
            </w:r>
          </w:p>
        </w:tc>
      </w:tr>
      <w:tr w:rsidR="0082241E" w:rsidTr="00E03816">
        <w:trPr>
          <w:trHeight w:val="900"/>
        </w:trPr>
        <w:tc>
          <w:tcPr>
            <w:tcW w:w="9505" w:type="dxa"/>
            <w:gridSpan w:val="8"/>
            <w:vAlign w:val="bottom"/>
            <w:hideMark/>
          </w:tcPr>
          <w:p w:rsidR="00E03816" w:rsidRDefault="00A178C1">
            <w:pPr>
              <w:pStyle w:val="zSoquijlblCour"/>
            </w:pPr>
            <w:r>
              <w:t>COUR DU QUÉBEC</w:t>
            </w:r>
          </w:p>
        </w:tc>
      </w:tr>
      <w:tr w:rsidR="0082241E" w:rsidTr="00E03816">
        <w:trPr>
          <w:trHeight w:val="540"/>
        </w:trPr>
        <w:tc>
          <w:tcPr>
            <w:tcW w:w="9505" w:type="dxa"/>
            <w:gridSpan w:val="8"/>
          </w:tcPr>
          <w:p w:rsidR="00E03816" w:rsidRDefault="00E03816">
            <w:pPr>
              <w:pStyle w:val="zSoquijdatDivision"/>
            </w:pPr>
          </w:p>
        </w:tc>
      </w:tr>
      <w:tr w:rsidR="0082241E" w:rsidTr="00E03816">
        <w:tc>
          <w:tcPr>
            <w:tcW w:w="9505" w:type="dxa"/>
            <w:gridSpan w:val="8"/>
            <w:hideMark/>
          </w:tcPr>
          <w:p w:rsidR="00E03816" w:rsidRDefault="00A178C1">
            <w:pPr>
              <w:pStyle w:val="zSoquijlblPays"/>
            </w:pPr>
            <w:r>
              <w:t>CANADA</w:t>
            </w:r>
          </w:p>
        </w:tc>
      </w:tr>
      <w:tr w:rsidR="0082241E" w:rsidTr="00E03816">
        <w:tc>
          <w:tcPr>
            <w:tcW w:w="9505" w:type="dxa"/>
            <w:gridSpan w:val="8"/>
            <w:hideMark/>
          </w:tcPr>
          <w:p w:rsidR="00E03816" w:rsidRDefault="00A178C1">
            <w:pPr>
              <w:pStyle w:val="zSoquijlblProvince"/>
            </w:pPr>
            <w:r>
              <w:t>PROVINCE DE QUÉBEC</w:t>
            </w:r>
          </w:p>
        </w:tc>
      </w:tr>
      <w:tr w:rsidR="0082241E" w:rsidTr="00E03816">
        <w:trPr>
          <w:cantSplit/>
        </w:trPr>
        <w:tc>
          <w:tcPr>
            <w:tcW w:w="1625" w:type="dxa"/>
            <w:gridSpan w:val="3"/>
            <w:tcMar>
              <w:top w:w="0" w:type="dxa"/>
              <w:left w:w="0" w:type="dxa"/>
              <w:bottom w:w="0" w:type="dxa"/>
              <w:right w:w="0" w:type="dxa"/>
            </w:tcMar>
            <w:hideMark/>
          </w:tcPr>
          <w:p w:rsidR="00E03816" w:rsidRDefault="00A178C1">
            <w:pPr>
              <w:pStyle w:val="zSoquijlblGreffe"/>
            </w:pPr>
            <w:r>
              <w:t>DISTRICT DE</w:t>
            </w:r>
          </w:p>
        </w:tc>
        <w:tc>
          <w:tcPr>
            <w:tcW w:w="7880" w:type="dxa"/>
            <w:gridSpan w:val="5"/>
            <w:tcMar>
              <w:top w:w="0" w:type="dxa"/>
              <w:left w:w="0" w:type="dxa"/>
              <w:bottom w:w="0" w:type="dxa"/>
              <w:right w:w="0" w:type="dxa"/>
            </w:tcMar>
            <w:hideMark/>
          </w:tcPr>
          <w:p w:rsidR="00E03816" w:rsidRDefault="00A178C1">
            <w:pPr>
              <w:pStyle w:val="zSoquijdatGreffe"/>
            </w:pPr>
            <w:r>
              <w:t>BEAUHARNOIS</w:t>
            </w:r>
          </w:p>
        </w:tc>
      </w:tr>
      <w:tr w:rsidR="0082241E" w:rsidTr="00E03816">
        <w:trPr>
          <w:cantSplit/>
        </w:trPr>
        <w:tc>
          <w:tcPr>
            <w:tcW w:w="1667" w:type="dxa"/>
            <w:gridSpan w:val="4"/>
            <w:tcMar>
              <w:top w:w="0" w:type="dxa"/>
              <w:left w:w="0" w:type="dxa"/>
              <w:bottom w:w="0" w:type="dxa"/>
              <w:right w:w="0" w:type="dxa"/>
            </w:tcMar>
            <w:hideMark/>
          </w:tcPr>
          <w:p w:rsidR="00E03816" w:rsidRDefault="00A178C1">
            <w:pPr>
              <w:pStyle w:val="zSoquijlblLocalite"/>
            </w:pPr>
            <w:r>
              <w:t>LOCALITÉ DE</w:t>
            </w:r>
          </w:p>
        </w:tc>
        <w:tc>
          <w:tcPr>
            <w:tcW w:w="7838" w:type="dxa"/>
            <w:gridSpan w:val="4"/>
            <w:tcMar>
              <w:top w:w="0" w:type="dxa"/>
              <w:left w:w="0" w:type="dxa"/>
              <w:bottom w:w="0" w:type="dxa"/>
              <w:right w:w="0" w:type="dxa"/>
            </w:tcMar>
            <w:hideMark/>
          </w:tcPr>
          <w:p w:rsidR="00E03816" w:rsidRDefault="00A178C1">
            <w:pPr>
              <w:pStyle w:val="zSoquijdatLocalite"/>
            </w:pPr>
            <w:r>
              <w:t>SALABERRY-DE-VALLEYFIELD</w:t>
            </w:r>
          </w:p>
        </w:tc>
      </w:tr>
      <w:tr w:rsidR="0082241E" w:rsidTr="00E03816">
        <w:trPr>
          <w:trHeight w:val="540"/>
        </w:trPr>
        <w:tc>
          <w:tcPr>
            <w:tcW w:w="9505" w:type="dxa"/>
            <w:gridSpan w:val="8"/>
            <w:hideMark/>
          </w:tcPr>
          <w:p w:rsidR="00E03816" w:rsidRDefault="00A178C1">
            <w:pPr>
              <w:pStyle w:val="zSoquijlblNomChambre"/>
            </w:pPr>
            <w:r>
              <w:rPr>
                <w:lang w:val="fr-FR"/>
              </w:rPr>
              <w:t xml:space="preserve">« Chambre </w:t>
            </w:r>
            <w:r>
              <w:t>criminelle et pénale</w:t>
            </w:r>
            <w:r>
              <w:rPr>
                <w:lang w:val="fr-FR"/>
              </w:rPr>
              <w:t> »</w:t>
            </w:r>
          </w:p>
        </w:tc>
      </w:tr>
      <w:tr w:rsidR="0082241E" w:rsidTr="00E03816">
        <w:tc>
          <w:tcPr>
            <w:tcW w:w="1105" w:type="dxa"/>
            <w:gridSpan w:val="2"/>
            <w:hideMark/>
          </w:tcPr>
          <w:p w:rsidR="00E03816" w:rsidRDefault="00A178C1">
            <w:pPr>
              <w:pStyle w:val="zSoquijlblNoDossier"/>
            </w:pPr>
            <w:r>
              <w:t>N° :</w:t>
            </w:r>
          </w:p>
        </w:tc>
        <w:tc>
          <w:tcPr>
            <w:tcW w:w="8400" w:type="dxa"/>
            <w:gridSpan w:val="6"/>
            <w:hideMark/>
          </w:tcPr>
          <w:p w:rsidR="00C60E6A" w:rsidRDefault="00A178C1">
            <w:pPr>
              <w:pStyle w:val="zSoquijdatNoDossier"/>
            </w:pPr>
            <w:r>
              <w:t>760-01-</w:t>
            </w:r>
            <w:r w:rsidR="00602640">
              <w:t>0</w:t>
            </w:r>
            <w:r>
              <w:t>94558-191</w:t>
            </w:r>
          </w:p>
          <w:p w:rsidR="00E03816" w:rsidRDefault="00A178C1">
            <w:pPr>
              <w:pStyle w:val="zSoquijdatNoDossier"/>
            </w:pPr>
            <w:r>
              <w:t>760-01-102341-218</w:t>
            </w:r>
            <w:r>
              <w:fldChar w:fldCharType="begin"/>
            </w:r>
            <w:r>
              <w:instrText xml:space="preserve"> </w:instrText>
            </w:r>
            <w:r>
              <w:fldChar w:fldCharType="end"/>
            </w:r>
          </w:p>
        </w:tc>
      </w:tr>
      <w:tr w:rsidR="0082241E" w:rsidTr="00E03816">
        <w:trPr>
          <w:cantSplit/>
        </w:trPr>
        <w:tc>
          <w:tcPr>
            <w:tcW w:w="1105" w:type="dxa"/>
            <w:gridSpan w:val="2"/>
            <w:tcMar>
              <w:top w:w="0" w:type="dxa"/>
              <w:left w:w="0" w:type="dxa"/>
              <w:bottom w:w="0" w:type="dxa"/>
              <w:right w:w="0" w:type="dxa"/>
            </w:tcMar>
          </w:tcPr>
          <w:p w:rsidR="00E03816" w:rsidRDefault="00E03816">
            <w:pPr>
              <w:pStyle w:val="zSoquijlblGreffe"/>
            </w:pPr>
          </w:p>
        </w:tc>
        <w:tc>
          <w:tcPr>
            <w:tcW w:w="8400" w:type="dxa"/>
            <w:gridSpan w:val="6"/>
            <w:tcMar>
              <w:top w:w="0" w:type="dxa"/>
              <w:left w:w="0" w:type="dxa"/>
              <w:bottom w:w="0" w:type="dxa"/>
              <w:right w:w="0" w:type="dxa"/>
            </w:tcMar>
            <w:hideMark/>
          </w:tcPr>
          <w:p w:rsidR="00E03816" w:rsidRDefault="00A178C1">
            <w:pPr>
              <w:pStyle w:val="zSoquijdatNoDossierAnt"/>
            </w:pPr>
            <w:r>
              <w:t xml:space="preserve"> </w:t>
            </w:r>
          </w:p>
        </w:tc>
      </w:tr>
      <w:tr w:rsidR="0082241E" w:rsidTr="00E03816">
        <w:trPr>
          <w:cantSplit/>
          <w:trHeight w:val="235"/>
        </w:trPr>
        <w:tc>
          <w:tcPr>
            <w:tcW w:w="9505" w:type="dxa"/>
            <w:gridSpan w:val="8"/>
          </w:tcPr>
          <w:p w:rsidR="00E03816" w:rsidRDefault="00E03816"/>
        </w:tc>
      </w:tr>
      <w:tr w:rsidR="0082241E" w:rsidTr="00E03816">
        <w:tc>
          <w:tcPr>
            <w:tcW w:w="1036" w:type="dxa"/>
            <w:hideMark/>
          </w:tcPr>
          <w:p w:rsidR="00E03816" w:rsidRDefault="00A178C1">
            <w:pPr>
              <w:pStyle w:val="zSoquijlblDateJugement"/>
            </w:pPr>
            <w:r>
              <w:t>DATE :</w:t>
            </w:r>
          </w:p>
        </w:tc>
        <w:tc>
          <w:tcPr>
            <w:tcW w:w="8469" w:type="dxa"/>
            <w:gridSpan w:val="7"/>
            <w:hideMark/>
          </w:tcPr>
          <w:p w:rsidR="00E03816" w:rsidRDefault="00A178C1">
            <w:pPr>
              <w:pStyle w:val="zSoquijdatDateJugement"/>
            </w:pPr>
            <w:r>
              <w:t xml:space="preserve"> </w:t>
            </w:r>
            <w:r w:rsidR="00C60E6A">
              <w:t>11 novembre</w:t>
            </w:r>
            <w:r w:rsidR="008664C0">
              <w:t xml:space="preserve"> 2021</w:t>
            </w:r>
            <w:r>
              <w:fldChar w:fldCharType="begin"/>
            </w:r>
            <w:r>
              <w:instrText xml:space="preserve">  </w:instrText>
            </w:r>
            <w:r>
              <w:fldChar w:fldCharType="end"/>
            </w:r>
          </w:p>
        </w:tc>
      </w:tr>
      <w:tr w:rsidR="0082241E" w:rsidTr="00E03816">
        <w:tc>
          <w:tcPr>
            <w:tcW w:w="9505" w:type="dxa"/>
            <w:gridSpan w:val="8"/>
            <w:hideMark/>
          </w:tcPr>
          <w:p w:rsidR="00E03816" w:rsidRDefault="00A178C1">
            <w:pPr>
              <w:ind w:left="14" w:right="-67"/>
            </w:pPr>
            <w:r>
              <w:t>______________________________________________________________________</w:t>
            </w:r>
          </w:p>
        </w:tc>
      </w:tr>
      <w:tr w:rsidR="0082241E" w:rsidTr="00E03816">
        <w:tc>
          <w:tcPr>
            <w:tcW w:w="9505" w:type="dxa"/>
            <w:gridSpan w:val="8"/>
          </w:tcPr>
          <w:p w:rsidR="00E03816" w:rsidRDefault="00E03816"/>
        </w:tc>
      </w:tr>
      <w:tr w:rsidR="0082241E" w:rsidTr="00E03816">
        <w:tc>
          <w:tcPr>
            <w:tcW w:w="3200" w:type="dxa"/>
            <w:gridSpan w:val="5"/>
            <w:tcMar>
              <w:top w:w="0" w:type="dxa"/>
              <w:left w:w="0" w:type="dxa"/>
              <w:bottom w:w="0" w:type="dxa"/>
              <w:right w:w="0" w:type="dxa"/>
            </w:tcMar>
            <w:hideMark/>
          </w:tcPr>
          <w:p w:rsidR="00E03816" w:rsidRDefault="00A178C1">
            <w:pPr>
              <w:pStyle w:val="zSoquijlblJuge"/>
            </w:pPr>
            <w:r>
              <w:t>SOUS LA PRÉSIDENCE DE</w:t>
            </w:r>
          </w:p>
        </w:tc>
        <w:tc>
          <w:tcPr>
            <w:tcW w:w="1826" w:type="dxa"/>
            <w:tcMar>
              <w:top w:w="0" w:type="dxa"/>
              <w:left w:w="0" w:type="dxa"/>
              <w:bottom w:w="0" w:type="dxa"/>
              <w:right w:w="0" w:type="dxa"/>
            </w:tcMar>
            <w:hideMark/>
          </w:tcPr>
          <w:p w:rsidR="00E03816" w:rsidRDefault="00A178C1">
            <w:pPr>
              <w:pStyle w:val="zSoquijdatQteJuge"/>
            </w:pPr>
            <w:r>
              <w:t>L’HONORABLE</w:t>
            </w:r>
          </w:p>
        </w:tc>
        <w:tc>
          <w:tcPr>
            <w:tcW w:w="4479" w:type="dxa"/>
            <w:gridSpan w:val="2"/>
            <w:tcMar>
              <w:top w:w="0" w:type="dxa"/>
              <w:left w:w="0" w:type="dxa"/>
              <w:bottom w:w="0" w:type="dxa"/>
              <w:right w:w="0" w:type="dxa"/>
            </w:tcMar>
            <w:hideMark/>
          </w:tcPr>
          <w:p w:rsidR="00E03816" w:rsidRDefault="00A178C1">
            <w:pPr>
              <w:pStyle w:val="zSoquijdatJuge"/>
            </w:pPr>
            <w:r>
              <w:t>BERTRAND ST-ARNAUD, J.C.Q.</w:t>
            </w:r>
          </w:p>
        </w:tc>
      </w:tr>
      <w:tr w:rsidR="0082241E" w:rsidTr="00E03816">
        <w:tc>
          <w:tcPr>
            <w:tcW w:w="9505" w:type="dxa"/>
            <w:gridSpan w:val="8"/>
            <w:hideMark/>
          </w:tcPr>
          <w:p w:rsidR="00E03816" w:rsidRDefault="00A178C1">
            <w:pPr>
              <w:ind w:left="14" w:right="-67"/>
            </w:pPr>
            <w:r>
              <w:t>______________________________________________________________________</w:t>
            </w:r>
          </w:p>
        </w:tc>
      </w:tr>
      <w:tr w:rsidR="0082241E" w:rsidTr="00E03816">
        <w:tc>
          <w:tcPr>
            <w:tcW w:w="9505" w:type="dxa"/>
            <w:gridSpan w:val="8"/>
          </w:tcPr>
          <w:p w:rsidR="00E03816" w:rsidRDefault="00E03816">
            <w:pPr>
              <w:pStyle w:val="zSoquijlblTitrePartie"/>
            </w:pPr>
          </w:p>
        </w:tc>
      </w:tr>
      <w:tr w:rsidR="0082241E" w:rsidTr="00E03816">
        <w:tc>
          <w:tcPr>
            <w:tcW w:w="9505" w:type="dxa"/>
            <w:gridSpan w:val="8"/>
          </w:tcPr>
          <w:p w:rsidR="00E03816" w:rsidRDefault="00E03816"/>
        </w:tc>
      </w:tr>
      <w:tr w:rsidR="0082241E" w:rsidTr="00E03816">
        <w:tc>
          <w:tcPr>
            <w:tcW w:w="9505" w:type="dxa"/>
            <w:gridSpan w:val="8"/>
            <w:hideMark/>
          </w:tcPr>
          <w:p w:rsidR="00E03816" w:rsidRDefault="00A178C1">
            <w:pPr>
              <w:pStyle w:val="zSoquijdatNomPartieDem"/>
            </w:pPr>
            <w:r>
              <w:t>SA MAJESTÉ LA REINE</w:t>
            </w:r>
          </w:p>
        </w:tc>
      </w:tr>
      <w:tr w:rsidR="0082241E" w:rsidTr="00E03816">
        <w:tc>
          <w:tcPr>
            <w:tcW w:w="9505" w:type="dxa"/>
            <w:gridSpan w:val="8"/>
          </w:tcPr>
          <w:p w:rsidR="00E03816" w:rsidRDefault="00A178C1">
            <w:pPr>
              <w:pStyle w:val="zSoquijdatQtePartieDem"/>
            </w:pPr>
            <w:r>
              <w:t>Poursuivante</w:t>
            </w:r>
          </w:p>
          <w:p w:rsidR="00E03816" w:rsidRDefault="00E03816">
            <w:pPr>
              <w:pStyle w:val="zSoquijdatQtePartieDem"/>
            </w:pPr>
          </w:p>
        </w:tc>
      </w:tr>
      <w:tr w:rsidR="0082241E" w:rsidTr="00E03816">
        <w:tc>
          <w:tcPr>
            <w:tcW w:w="9505" w:type="dxa"/>
            <w:gridSpan w:val="8"/>
          </w:tcPr>
          <w:p w:rsidR="00E03816" w:rsidRDefault="00A178C1">
            <w:pPr>
              <w:pStyle w:val="zSoquijlblLienParties"/>
            </w:pPr>
            <w:r>
              <w:t>c.</w:t>
            </w:r>
          </w:p>
          <w:p w:rsidR="00E03816" w:rsidRDefault="00E03816">
            <w:pPr>
              <w:pStyle w:val="zSoquijlblLienParties"/>
            </w:pPr>
          </w:p>
        </w:tc>
      </w:tr>
      <w:tr w:rsidR="0082241E" w:rsidTr="00E03816">
        <w:tc>
          <w:tcPr>
            <w:tcW w:w="9505" w:type="dxa"/>
            <w:gridSpan w:val="8"/>
            <w:hideMark/>
          </w:tcPr>
          <w:p w:rsidR="00E03816" w:rsidRDefault="00A178C1">
            <w:pPr>
              <w:pStyle w:val="zSoquijdatNomPartieDef"/>
              <w:rPr>
                <w:lang w:val="fr-FR"/>
              </w:rPr>
            </w:pPr>
            <w:r>
              <w:rPr>
                <w:lang w:val="fr-FR"/>
              </w:rPr>
              <w:t>TRUDEL, Johanne</w:t>
            </w:r>
            <w:r>
              <w:rPr>
                <w:lang w:val="fr-FR"/>
              </w:rPr>
              <w:fldChar w:fldCharType="begin"/>
            </w:r>
            <w:r>
              <w:rPr>
                <w:lang w:val="fr-FR"/>
              </w:rPr>
              <w:instrText xml:space="preserve">  </w:instrText>
            </w:r>
            <w:r>
              <w:rPr>
                <w:lang w:val="fr-FR"/>
              </w:rPr>
              <w:fldChar w:fldCharType="end"/>
            </w:r>
          </w:p>
        </w:tc>
      </w:tr>
      <w:tr w:rsidR="0082241E" w:rsidTr="00E03816">
        <w:tc>
          <w:tcPr>
            <w:tcW w:w="9505" w:type="dxa"/>
            <w:gridSpan w:val="8"/>
            <w:hideMark/>
          </w:tcPr>
          <w:p w:rsidR="00E03816" w:rsidRDefault="00A178C1">
            <w:pPr>
              <w:pStyle w:val="zSoquijdatQtePartieDef"/>
            </w:pPr>
            <w:r>
              <w:t>Accusé</w:t>
            </w:r>
            <w:r w:rsidR="005F1D98">
              <w:t>e</w:t>
            </w:r>
            <w:r>
              <w:fldChar w:fldCharType="begin"/>
            </w:r>
            <w:r>
              <w:instrText xml:space="preserve">  </w:instrText>
            </w:r>
            <w:r>
              <w:fldChar w:fldCharType="end"/>
            </w:r>
          </w:p>
        </w:tc>
      </w:tr>
      <w:tr w:rsidR="0082241E" w:rsidTr="00E03816">
        <w:tc>
          <w:tcPr>
            <w:tcW w:w="9505" w:type="dxa"/>
            <w:gridSpan w:val="8"/>
          </w:tcPr>
          <w:p w:rsidR="00E03816" w:rsidRDefault="00E03816">
            <w:pPr>
              <w:ind w:left="14" w:right="-95"/>
            </w:pPr>
          </w:p>
        </w:tc>
      </w:tr>
      <w:tr w:rsidR="0082241E" w:rsidTr="00E03816">
        <w:tc>
          <w:tcPr>
            <w:tcW w:w="9505" w:type="dxa"/>
            <w:gridSpan w:val="8"/>
            <w:hideMark/>
          </w:tcPr>
          <w:p w:rsidR="00E03816" w:rsidRDefault="00A178C1">
            <w:pPr>
              <w:ind w:left="14" w:right="-95"/>
            </w:pPr>
            <w:r>
              <w:t>______________________________________________________________________</w:t>
            </w:r>
          </w:p>
        </w:tc>
      </w:tr>
      <w:tr w:rsidR="0082241E" w:rsidTr="00E03816">
        <w:tc>
          <w:tcPr>
            <w:tcW w:w="9505" w:type="dxa"/>
            <w:gridSpan w:val="8"/>
          </w:tcPr>
          <w:p w:rsidR="00E03816" w:rsidRDefault="00E03816">
            <w:pPr>
              <w:jc w:val="center"/>
            </w:pPr>
          </w:p>
        </w:tc>
      </w:tr>
      <w:tr w:rsidR="0082241E" w:rsidTr="00E03816">
        <w:tc>
          <w:tcPr>
            <w:tcW w:w="9505" w:type="dxa"/>
            <w:gridSpan w:val="8"/>
            <w:hideMark/>
          </w:tcPr>
          <w:p w:rsidR="00E03816" w:rsidRPr="00E03816" w:rsidRDefault="00A178C1" w:rsidP="00E03816">
            <w:pPr>
              <w:pStyle w:val="zSoquijlblTypeDocument"/>
              <w:rPr>
                <w:b/>
                <w:bCs/>
              </w:rPr>
            </w:pPr>
            <w:r>
              <w:rPr>
                <w:b/>
                <w:bCs/>
              </w:rPr>
              <w:t xml:space="preserve">DÉTERMINATION DE LA PEINE </w:t>
            </w:r>
            <w:r>
              <w:rPr>
                <w:b/>
                <w:bCs/>
              </w:rPr>
              <w:fldChar w:fldCharType="begin"/>
            </w:r>
            <w:r>
              <w:rPr>
                <w:b/>
                <w:bCs/>
              </w:rPr>
              <w:instrText xml:space="preserve">  </w:instrText>
            </w:r>
            <w:r>
              <w:rPr>
                <w:b/>
                <w:bCs/>
              </w:rPr>
              <w:fldChar w:fldCharType="end"/>
            </w:r>
          </w:p>
        </w:tc>
      </w:tr>
      <w:tr w:rsidR="0082241E" w:rsidTr="00E03816">
        <w:tc>
          <w:tcPr>
            <w:tcW w:w="9505" w:type="dxa"/>
            <w:gridSpan w:val="8"/>
            <w:hideMark/>
          </w:tcPr>
          <w:p w:rsidR="00E03816" w:rsidRDefault="00A178C1">
            <w:pPr>
              <w:ind w:left="14" w:right="-70"/>
            </w:pPr>
            <w:r>
              <w:t>______________________________________________________________________</w:t>
            </w:r>
          </w:p>
        </w:tc>
      </w:tr>
      <w:tr w:rsidR="0082241E" w:rsidTr="00E03816">
        <w:tc>
          <w:tcPr>
            <w:tcW w:w="9505" w:type="dxa"/>
            <w:gridSpan w:val="8"/>
          </w:tcPr>
          <w:p w:rsidR="00E03816" w:rsidRDefault="00E03816"/>
        </w:tc>
      </w:tr>
    </w:tbl>
    <w:p w:rsidR="00C60E6A" w:rsidRDefault="00A178C1" w:rsidP="009C7F7A">
      <w:pPr>
        <w:pStyle w:val="Paragraphe"/>
        <w:tabs>
          <w:tab w:val="clear" w:pos="900"/>
          <w:tab w:val="num" w:pos="720"/>
        </w:tabs>
        <w:spacing w:line="240" w:lineRule="auto"/>
        <w:ind w:left="0" w:right="-90"/>
      </w:pPr>
      <w:r>
        <w:t>L’acc</w:t>
      </w:r>
      <w:r w:rsidR="00A1120F">
        <w:t>usé</w:t>
      </w:r>
      <w:r>
        <w:t>e reconna</w:t>
      </w:r>
      <w:r w:rsidR="00E6017F">
        <w:t>î</w:t>
      </w:r>
      <w:r>
        <w:t>t avoir, entre le 1</w:t>
      </w:r>
      <w:r w:rsidRPr="00C60E6A">
        <w:rPr>
          <w:vertAlign w:val="superscript"/>
        </w:rPr>
        <w:t>er</w:t>
      </w:r>
      <w:r>
        <w:t xml:space="preserve"> décembre 2018 et le 5 juin 2019, comploté avec Mélanie Mitchell et d’autres individus afin de faire du trafic de drogues et d’avoir, aux mêmes dates, fait le trafic de coca</w:t>
      </w:r>
      <w:r w:rsidR="00E6017F">
        <w:t>ï</w:t>
      </w:r>
      <w:r>
        <w:t>ne (dossier 760-01-094558-191).</w:t>
      </w:r>
    </w:p>
    <w:p w:rsidR="00C60E6A" w:rsidRPr="00C60E6A" w:rsidRDefault="00A178C1" w:rsidP="009C7F7A">
      <w:pPr>
        <w:pStyle w:val="Paragraphe"/>
        <w:tabs>
          <w:tab w:val="clear" w:pos="900"/>
          <w:tab w:val="num" w:pos="720"/>
        </w:tabs>
        <w:spacing w:line="240" w:lineRule="auto"/>
        <w:ind w:left="0" w:right="-90"/>
        <w:rPr>
          <w:b/>
          <w:u w:val="single"/>
        </w:rPr>
      </w:pPr>
      <w:r>
        <w:t>Elle reconna</w:t>
      </w:r>
      <w:r w:rsidR="00E6017F">
        <w:t>î</w:t>
      </w:r>
      <w:r>
        <w:t>t également avoir, le 16 avril 2021, brisé l’une de ses conditions de mise en liberté en communiquant avec une autre personne accusée dans le cadre de la présente affaire, Anne-Marie Pilon (dossier 760-01-102341-218</w:t>
      </w:r>
      <w:r w:rsidR="008032A3">
        <w:t>).</w:t>
      </w:r>
      <w:r w:rsidR="00A1120F">
        <w:t xml:space="preserve"> </w:t>
      </w:r>
    </w:p>
    <w:p w:rsidR="00E03816" w:rsidRDefault="00A178C1" w:rsidP="009C7F7A">
      <w:pPr>
        <w:pStyle w:val="Paragraphe"/>
        <w:numPr>
          <w:ilvl w:val="0"/>
          <w:numId w:val="0"/>
        </w:numPr>
        <w:spacing w:line="240" w:lineRule="auto"/>
        <w:ind w:right="-90"/>
        <w:rPr>
          <w:b/>
          <w:u w:val="single"/>
        </w:rPr>
      </w:pPr>
      <w:r>
        <w:rPr>
          <w:b/>
          <w:u w:val="single"/>
        </w:rPr>
        <w:t>LES FAITS</w:t>
      </w:r>
      <w:r>
        <w:rPr>
          <w:rStyle w:val="Appelnotedebasdep"/>
          <w:b/>
          <w:u w:val="single"/>
        </w:rPr>
        <w:footnoteReference w:id="1"/>
      </w:r>
    </w:p>
    <w:p w:rsidR="00C60E6A" w:rsidRDefault="00A178C1" w:rsidP="009C7F7A">
      <w:pPr>
        <w:pStyle w:val="Paragraphe"/>
        <w:tabs>
          <w:tab w:val="clear" w:pos="900"/>
          <w:tab w:val="num" w:pos="720"/>
        </w:tabs>
        <w:spacing w:line="240" w:lineRule="auto"/>
        <w:ind w:left="0" w:right="-90"/>
      </w:pPr>
      <w:r>
        <w:t>En 2018-2019, un groupe organisé effectue du trafic de coca</w:t>
      </w:r>
      <w:r w:rsidR="00E6017F">
        <w:t>ï</w:t>
      </w:r>
      <w:r>
        <w:t>ne dans la région de Salaberry-de-Valleyfield.</w:t>
      </w:r>
    </w:p>
    <w:p w:rsidR="00C60E6A" w:rsidRDefault="00A178C1" w:rsidP="009C7F7A">
      <w:pPr>
        <w:pStyle w:val="Paragraphe"/>
        <w:tabs>
          <w:tab w:val="clear" w:pos="900"/>
          <w:tab w:val="num" w:pos="720"/>
        </w:tabs>
        <w:spacing w:line="240" w:lineRule="auto"/>
        <w:ind w:left="0" w:right="-90"/>
      </w:pPr>
      <w:r>
        <w:t>Dirigé par une personne du nom de Mélanie Mitchell, ce groupe comprend de nombreuses personnes dont l’accusée.</w:t>
      </w:r>
    </w:p>
    <w:p w:rsidR="00C60E6A" w:rsidRDefault="00A178C1" w:rsidP="009C7F7A">
      <w:pPr>
        <w:pStyle w:val="Paragraphe"/>
        <w:tabs>
          <w:tab w:val="clear" w:pos="900"/>
          <w:tab w:val="num" w:pos="720"/>
        </w:tabs>
        <w:spacing w:line="240" w:lineRule="auto"/>
        <w:ind w:left="0" w:right="-90"/>
      </w:pPr>
      <w:r>
        <w:t>Le trafic s’effectue sept jours par semaine, vingt-quatre heures par jour.  En résumé, les appels de clients sont faits au numéro de téléphone d’</w:t>
      </w:r>
      <w:r w:rsidR="00F35980">
        <w:t>un cellulaire (</w:t>
      </w:r>
      <w:r>
        <w:t>désigné</w:t>
      </w:r>
      <w:r w:rsidR="00F35980">
        <w:t xml:space="preserve"> « cellulaire de la </w:t>
      </w:r>
      <w:r>
        <w:rPr>
          <w:i/>
        </w:rPr>
        <w:t>ru</w:t>
      </w:r>
      <w:r w:rsidR="00F35980" w:rsidRPr="00F35980">
        <w:rPr>
          <w:i/>
        </w:rPr>
        <w:t>n</w:t>
      </w:r>
      <w:r w:rsidR="00F35980">
        <w:t> ») pour être ensuite transféré</w:t>
      </w:r>
      <w:r w:rsidR="00E6017F">
        <w:t>s</w:t>
      </w:r>
      <w:r w:rsidR="00A7542E">
        <w:t xml:space="preserve"> aux</w:t>
      </w:r>
      <w:r w:rsidR="00F35980">
        <w:t xml:space="preserve"> cellulaires de co</w:t>
      </w:r>
      <w:r>
        <w:t>ursiers</w:t>
      </w:r>
      <w:r w:rsidR="00435EC9">
        <w:t>/vendeurs</w:t>
      </w:r>
      <w:r>
        <w:t xml:space="preserve"> qui vo</w:t>
      </w:r>
      <w:r w:rsidR="00F35980">
        <w:t>nt éventuellement livrer la coca</w:t>
      </w:r>
      <w:r w:rsidR="00E6017F">
        <w:t>ï</w:t>
      </w:r>
      <w:r w:rsidR="00F35980">
        <w:t>ne commandée</w:t>
      </w:r>
      <w:r w:rsidR="00E6017F">
        <w:t>.</w:t>
      </w:r>
    </w:p>
    <w:p w:rsidR="00C60E6A" w:rsidRDefault="00A178C1" w:rsidP="009C7F7A">
      <w:pPr>
        <w:pStyle w:val="Paragraphe"/>
        <w:tabs>
          <w:tab w:val="clear" w:pos="900"/>
          <w:tab w:val="num" w:pos="720"/>
        </w:tabs>
        <w:spacing w:line="240" w:lineRule="auto"/>
        <w:ind w:left="0" w:right="-90"/>
      </w:pPr>
      <w:r>
        <w:t>Dans le cadre de cette organisation, l’accusée joue un rôle d’une importance certaine.  En poss</w:t>
      </w:r>
      <w:r w:rsidR="008032A3">
        <w:t xml:space="preserve">ession du « cellulaire de la </w:t>
      </w:r>
      <w:r w:rsidR="008032A3" w:rsidRPr="00692A26">
        <w:rPr>
          <w:i/>
        </w:rPr>
        <w:t>ru</w:t>
      </w:r>
      <w:r w:rsidRPr="00692A26">
        <w:rPr>
          <w:i/>
        </w:rPr>
        <w:t>n</w:t>
      </w:r>
      <w:r>
        <w:t> » pendant plusieurs mois, c’est elle qui se charge de transférer la ligne principale en directio</w:t>
      </w:r>
      <w:r w:rsidR="008032A3">
        <w:t xml:space="preserve">n des </w:t>
      </w:r>
      <w:r w:rsidR="00435EC9">
        <w:t xml:space="preserve">cellulaires des </w:t>
      </w:r>
      <w:r w:rsidR="008032A3">
        <w:t>coursiers/</w:t>
      </w:r>
      <w:r w:rsidR="00A7542E">
        <w:t>vendeurs.</w:t>
      </w:r>
      <w:r>
        <w:t xml:space="preserve"> </w:t>
      </w:r>
      <w:r w:rsidR="00435EC9">
        <w:t>Elle fait aussi l’ensach</w:t>
      </w:r>
      <w:r w:rsidR="00A7542E">
        <w:t xml:space="preserve">age de la cocaïne, la livraison de celle-ci aux coursiers/vendeurs et récolte </w:t>
      </w:r>
      <w:r>
        <w:t>l’argent en vue de transmettre ultimement le tout à Mélanie Mitchell</w:t>
      </w:r>
      <w:r w:rsidR="00435EC9">
        <w:t>.</w:t>
      </w:r>
    </w:p>
    <w:p w:rsidR="00F35980" w:rsidRDefault="00A178C1" w:rsidP="009C7F7A">
      <w:pPr>
        <w:pStyle w:val="Paragraphe"/>
        <w:tabs>
          <w:tab w:val="clear" w:pos="900"/>
          <w:tab w:val="num" w:pos="720"/>
        </w:tabs>
        <w:spacing w:line="240" w:lineRule="auto"/>
        <w:ind w:left="0" w:right="-90"/>
      </w:pPr>
      <w:r>
        <w:t xml:space="preserve">Cette implication de l’accusée dans l’organisation – au tout début, à titre de </w:t>
      </w:r>
      <w:r w:rsidR="008032A3">
        <w:t xml:space="preserve">coursier/vendeur </w:t>
      </w:r>
      <w:r>
        <w:t xml:space="preserve">– s’échelonne </w:t>
      </w:r>
      <w:r w:rsidR="00A30CE9">
        <w:t>sur une période d’environ six mois.</w:t>
      </w:r>
    </w:p>
    <w:p w:rsidR="00A30CE9" w:rsidRDefault="00A178C1" w:rsidP="009C7F7A">
      <w:pPr>
        <w:pStyle w:val="Paragraphe"/>
        <w:tabs>
          <w:tab w:val="clear" w:pos="900"/>
          <w:tab w:val="num" w:pos="720"/>
        </w:tabs>
        <w:spacing w:line="240" w:lineRule="auto"/>
        <w:ind w:left="0" w:right="-90"/>
      </w:pPr>
      <w:r>
        <w:t xml:space="preserve">Deux fouilles </w:t>
      </w:r>
      <w:r w:rsidR="005F1D98" w:rsidRPr="005F1D98">
        <w:t>subreptices</w:t>
      </w:r>
      <w:r>
        <w:t xml:space="preserve"> du véhicule automobile de</w:t>
      </w:r>
      <w:r w:rsidR="008032A3">
        <w:t xml:space="preserve"> l’accusée en mai 2019 permette</w:t>
      </w:r>
      <w:r>
        <w:t>nt d</w:t>
      </w:r>
      <w:r w:rsidR="008032A3">
        <w:t xml:space="preserve">’y constater la présence d’un </w:t>
      </w:r>
      <w:r>
        <w:t>cellulaire style flip – qui sera éventuellement identifié comme</w:t>
      </w:r>
      <w:r w:rsidR="008032A3">
        <w:t xml:space="preserve"> étant « le cellulaire de la </w:t>
      </w:r>
      <w:r w:rsidR="008032A3" w:rsidRPr="00692A26">
        <w:rPr>
          <w:i/>
        </w:rPr>
        <w:t>ru</w:t>
      </w:r>
      <w:r w:rsidRPr="00692A26">
        <w:rPr>
          <w:i/>
        </w:rPr>
        <w:t>n</w:t>
      </w:r>
      <w:r w:rsidR="00435EC9">
        <w:t> » –</w:t>
      </w:r>
      <w:r>
        <w:t>; de petits sachets Ziploc inutilisés – semblables à ceux utilisés lors des trafics avec des agents civils d’infiltration – et de deux balances dont une est contaminée par de la poudre blanche.</w:t>
      </w:r>
    </w:p>
    <w:p w:rsidR="00A30CE9" w:rsidRDefault="00A178C1" w:rsidP="009C7F7A">
      <w:pPr>
        <w:pStyle w:val="Paragraphe"/>
        <w:tabs>
          <w:tab w:val="clear" w:pos="900"/>
          <w:tab w:val="num" w:pos="720"/>
        </w:tabs>
        <w:spacing w:line="240" w:lineRule="auto"/>
        <w:ind w:left="0" w:right="-90"/>
      </w:pPr>
      <w:r>
        <w:t>Le 5 juin 2019, une perquisition au</w:t>
      </w:r>
      <w:r w:rsidR="008032A3">
        <w:t xml:space="preserve"> domicile de l’accusée permet</w:t>
      </w:r>
      <w:r>
        <w:t xml:space="preserve"> d’y retrouver une compteuse de billets et plusieurs petits sachets inutilisés.</w:t>
      </w:r>
    </w:p>
    <w:p w:rsidR="00A30CE9" w:rsidRDefault="00A178C1" w:rsidP="009C7F7A">
      <w:pPr>
        <w:pStyle w:val="Paragraphe"/>
        <w:tabs>
          <w:tab w:val="clear" w:pos="900"/>
          <w:tab w:val="num" w:pos="720"/>
        </w:tabs>
        <w:spacing w:line="240" w:lineRule="auto"/>
        <w:ind w:left="0" w:right="-90"/>
      </w:pPr>
      <w:r>
        <w:t>Quant au bris de conditions, il est relié à des paroles prononcées par l’</w:t>
      </w:r>
      <w:r w:rsidR="009B3D33">
        <w:t>accusé</w:t>
      </w:r>
      <w:r w:rsidR="00A7542E">
        <w:t>e</w:t>
      </w:r>
      <w:r w:rsidR="009B3D33">
        <w:t xml:space="preserve"> au terme de l’</w:t>
      </w:r>
      <w:r>
        <w:t>enquête préliminaire te</w:t>
      </w:r>
      <w:r w:rsidR="00A7542E">
        <w:t>nue dans le dossier principal où</w:t>
      </w:r>
      <w:r>
        <w:t xml:space="preserve"> un</w:t>
      </w:r>
      <w:r w:rsidR="001A6EE0">
        <w:t>e</w:t>
      </w:r>
      <w:r w:rsidR="00A56B22">
        <w:t xml:space="preserve"> autre personne accusée dans</w:t>
      </w:r>
      <w:r>
        <w:t xml:space="preserve"> la présente affaire, Ann</w:t>
      </w:r>
      <w:r w:rsidR="008032A3">
        <w:t>e-Marie Pilon, a témoigné pou</w:t>
      </w:r>
      <w:r>
        <w:t>r la poursuite.  Alors qu’elle était à proximité de cette dernière et en présence d’un constable, l’accusée a prono</w:t>
      </w:r>
      <w:r w:rsidR="009B3D33">
        <w:t xml:space="preserve">ncé à </w:t>
      </w:r>
      <w:r>
        <w:t>ha</w:t>
      </w:r>
      <w:r w:rsidR="009B3D33">
        <w:t>ute voi</w:t>
      </w:r>
      <w:r w:rsidR="001A6EE0">
        <w:t>x</w:t>
      </w:r>
      <w:r w:rsidR="009B3D33">
        <w:t xml:space="preserve"> et de façon forte « qu’elle allait la revoir bientôt ».</w:t>
      </w:r>
    </w:p>
    <w:p w:rsidR="00E03816" w:rsidRDefault="00A178C1" w:rsidP="009C7F7A">
      <w:pPr>
        <w:pStyle w:val="Paragraphe"/>
        <w:numPr>
          <w:ilvl w:val="0"/>
          <w:numId w:val="0"/>
        </w:numPr>
        <w:tabs>
          <w:tab w:val="left" w:pos="708"/>
        </w:tabs>
        <w:spacing w:line="240" w:lineRule="auto"/>
        <w:ind w:right="-90"/>
        <w:rPr>
          <w:b/>
          <w:u w:val="single"/>
        </w:rPr>
      </w:pPr>
      <w:r>
        <w:rPr>
          <w:b/>
          <w:u w:val="single"/>
        </w:rPr>
        <w:t>LA POSITION DES PARTIES</w:t>
      </w:r>
    </w:p>
    <w:p w:rsidR="009B3D33" w:rsidRDefault="00A178C1" w:rsidP="009C7F7A">
      <w:pPr>
        <w:pStyle w:val="Paragraphe"/>
        <w:tabs>
          <w:tab w:val="clear" w:pos="900"/>
        </w:tabs>
        <w:spacing w:line="240" w:lineRule="auto"/>
        <w:ind w:left="0" w:right="-90"/>
      </w:pPr>
      <w:r>
        <w:t xml:space="preserve">La poursuite suggère d’imposer une peine de deux ans ou </w:t>
      </w:r>
      <w:r w:rsidR="008032A3">
        <w:t xml:space="preserve">de </w:t>
      </w:r>
      <w:r>
        <w:t>deux ans moins un jour d’emprisonnement.</w:t>
      </w:r>
    </w:p>
    <w:p w:rsidR="009B3D33" w:rsidRDefault="00A178C1" w:rsidP="009C7F7A">
      <w:pPr>
        <w:pStyle w:val="Paragraphe"/>
        <w:tabs>
          <w:tab w:val="clear" w:pos="900"/>
        </w:tabs>
        <w:spacing w:line="240" w:lineRule="auto"/>
        <w:ind w:left="0" w:right="-90"/>
      </w:pPr>
      <w:r>
        <w:t>La défense, après avoir évoqué l’hypothèse d’une peine d’emprisonnement dans la collectivité puis retiré cette demande, suggère d’imposer une peine d’environ neuf mois d’emprisonnement.</w:t>
      </w:r>
    </w:p>
    <w:p w:rsidR="00E05D2B" w:rsidRDefault="00A178C1" w:rsidP="009C7F7A">
      <w:pPr>
        <w:pStyle w:val="Paragraphe"/>
        <w:numPr>
          <w:ilvl w:val="0"/>
          <w:numId w:val="0"/>
        </w:numPr>
        <w:tabs>
          <w:tab w:val="left" w:pos="708"/>
        </w:tabs>
        <w:spacing w:line="240" w:lineRule="auto"/>
        <w:ind w:right="-90"/>
        <w:rPr>
          <w:b/>
          <w:u w:val="single"/>
        </w:rPr>
      </w:pPr>
      <w:r>
        <w:rPr>
          <w:b/>
          <w:u w:val="single"/>
        </w:rPr>
        <w:t xml:space="preserve">LES </w:t>
      </w:r>
      <w:r w:rsidR="00E03816">
        <w:rPr>
          <w:b/>
          <w:u w:val="single"/>
        </w:rPr>
        <w:t>OBJECTIFS À CONSIDÉRER</w:t>
      </w:r>
    </w:p>
    <w:p w:rsidR="009062FF" w:rsidRPr="009062FF" w:rsidRDefault="00A178C1" w:rsidP="009C7F7A">
      <w:pPr>
        <w:pStyle w:val="Paragraphe"/>
        <w:tabs>
          <w:tab w:val="clear" w:pos="900"/>
        </w:tabs>
        <w:spacing w:line="240" w:lineRule="auto"/>
        <w:ind w:left="0" w:right="-90"/>
      </w:pPr>
      <w:r w:rsidRPr="009062FF">
        <w:t xml:space="preserve">Les objectifs visés dans la détermination de la peine sont énoncés à l’article 718 du </w:t>
      </w:r>
      <w:r w:rsidRPr="009062FF">
        <w:rPr>
          <w:i/>
        </w:rPr>
        <w:t>Code criminel</w:t>
      </w:r>
      <w:r w:rsidRPr="009062FF">
        <w:t>. Outre l’objectif essentiel de protéger la société et de contribuer au respect de la loi et au maintien d’une société juste, paisible et sûre, on y retrouve les objectifs suivants :</w:t>
      </w:r>
    </w:p>
    <w:p w:rsidR="009062FF" w:rsidRPr="009062FF" w:rsidRDefault="00A178C1" w:rsidP="009C7F7A">
      <w:pPr>
        <w:numPr>
          <w:ilvl w:val="0"/>
          <w:numId w:val="2"/>
        </w:numPr>
        <w:spacing w:before="120" w:after="60"/>
        <w:ind w:left="714" w:right="-90" w:hanging="357"/>
        <w:jc w:val="both"/>
        <w:rPr>
          <w:kern w:val="28"/>
        </w:rPr>
      </w:pPr>
      <w:r w:rsidRPr="009062FF">
        <w:rPr>
          <w:kern w:val="28"/>
          <w:u w:val="single"/>
        </w:rPr>
        <w:t>Dénoncer</w:t>
      </w:r>
      <w:r w:rsidRPr="009062FF">
        <w:rPr>
          <w:kern w:val="28"/>
        </w:rPr>
        <w:t xml:space="preserve"> le comportement illégal et le tort causé par celui-ci aux victimes ou à la collectivité – c'est l'objectif de dénonciation;</w:t>
      </w:r>
    </w:p>
    <w:p w:rsidR="009062FF" w:rsidRPr="009062FF" w:rsidRDefault="00A178C1" w:rsidP="009C7F7A">
      <w:pPr>
        <w:numPr>
          <w:ilvl w:val="0"/>
          <w:numId w:val="2"/>
        </w:numPr>
        <w:spacing w:before="120" w:after="60"/>
        <w:ind w:left="714" w:right="-90" w:hanging="357"/>
        <w:jc w:val="both"/>
        <w:rPr>
          <w:kern w:val="28"/>
        </w:rPr>
      </w:pPr>
      <w:r w:rsidRPr="009062FF">
        <w:rPr>
          <w:kern w:val="28"/>
          <w:u w:val="single"/>
        </w:rPr>
        <w:t>Dissuader</w:t>
      </w:r>
      <w:r w:rsidRPr="009062FF">
        <w:rPr>
          <w:kern w:val="28"/>
        </w:rPr>
        <w:t xml:space="preserve"> les délinquants, et quiconque de commettre des infractions – c'est l'objectif de dissuasion, individuelle et collective;</w:t>
      </w:r>
    </w:p>
    <w:p w:rsidR="009062FF" w:rsidRPr="009062FF" w:rsidRDefault="00A178C1" w:rsidP="009C7F7A">
      <w:pPr>
        <w:numPr>
          <w:ilvl w:val="0"/>
          <w:numId w:val="2"/>
        </w:numPr>
        <w:spacing w:before="120" w:after="60"/>
        <w:ind w:left="714" w:right="-90" w:hanging="357"/>
        <w:jc w:val="both"/>
        <w:rPr>
          <w:kern w:val="28"/>
        </w:rPr>
      </w:pPr>
      <w:r w:rsidRPr="009062FF">
        <w:rPr>
          <w:kern w:val="28"/>
          <w:u w:val="single"/>
        </w:rPr>
        <w:t>Isoler</w:t>
      </w:r>
      <w:r w:rsidRPr="009062FF">
        <w:rPr>
          <w:kern w:val="28"/>
        </w:rPr>
        <w:t>, au besoin, les délinquants du reste de la société – c’est l’objectif de neutralisation;</w:t>
      </w:r>
    </w:p>
    <w:p w:rsidR="009062FF" w:rsidRPr="009062FF" w:rsidRDefault="00A178C1" w:rsidP="009C7F7A">
      <w:pPr>
        <w:numPr>
          <w:ilvl w:val="0"/>
          <w:numId w:val="2"/>
        </w:numPr>
        <w:spacing w:before="120" w:after="60"/>
        <w:ind w:left="714" w:right="-90" w:hanging="357"/>
        <w:jc w:val="both"/>
        <w:rPr>
          <w:kern w:val="28"/>
        </w:rPr>
      </w:pPr>
      <w:r w:rsidRPr="009062FF">
        <w:rPr>
          <w:kern w:val="28"/>
          <w:u w:val="single"/>
        </w:rPr>
        <w:t>Favoriser la réinsertion sociale</w:t>
      </w:r>
      <w:r w:rsidRPr="009062FF">
        <w:rPr>
          <w:kern w:val="28"/>
        </w:rPr>
        <w:t xml:space="preserve"> des délinquants – c'est l'objectif de réhabilitation; </w:t>
      </w:r>
    </w:p>
    <w:p w:rsidR="009062FF" w:rsidRPr="009062FF" w:rsidRDefault="00A178C1" w:rsidP="009C7F7A">
      <w:pPr>
        <w:numPr>
          <w:ilvl w:val="0"/>
          <w:numId w:val="2"/>
        </w:numPr>
        <w:spacing w:before="120" w:after="60"/>
        <w:ind w:left="714" w:right="-90" w:hanging="357"/>
        <w:jc w:val="both"/>
        <w:rPr>
          <w:kern w:val="28"/>
        </w:rPr>
      </w:pPr>
      <w:r w:rsidRPr="009062FF">
        <w:rPr>
          <w:kern w:val="28"/>
          <w:u w:val="single"/>
        </w:rPr>
        <w:t>Assurer la réparation des torts</w:t>
      </w:r>
      <w:r w:rsidRPr="009062FF">
        <w:rPr>
          <w:kern w:val="28"/>
        </w:rPr>
        <w:t xml:space="preserve"> causés aux victimes ou à la collectivité – c’est l’objectif de réparation;</w:t>
      </w:r>
    </w:p>
    <w:p w:rsidR="009062FF" w:rsidRPr="00A7542E" w:rsidRDefault="00A178C1" w:rsidP="009C7F7A">
      <w:pPr>
        <w:numPr>
          <w:ilvl w:val="0"/>
          <w:numId w:val="2"/>
        </w:numPr>
        <w:spacing w:before="120" w:after="120"/>
        <w:ind w:right="-90"/>
        <w:jc w:val="both"/>
        <w:rPr>
          <w:kern w:val="28"/>
          <w:sz w:val="22"/>
          <w:u w:val="single"/>
        </w:rPr>
      </w:pPr>
      <w:r w:rsidRPr="009062FF">
        <w:rPr>
          <w:kern w:val="28"/>
          <w:u w:val="single"/>
        </w:rPr>
        <w:t>Susciter la conscience de leurs responsabilités</w:t>
      </w:r>
      <w:r w:rsidRPr="009062FF">
        <w:rPr>
          <w:kern w:val="28"/>
        </w:rPr>
        <w:t xml:space="preserve"> chez les délinquants, notamment par la reconnaissance du tort qu'ils ont causé aux victimes ou à la collectivité – c’est l’objectif de prise de responsabilité</w:t>
      </w:r>
      <w:r w:rsidRPr="009062FF">
        <w:rPr>
          <w:kern w:val="28"/>
          <w:sz w:val="22"/>
        </w:rPr>
        <w:t>.</w:t>
      </w:r>
    </w:p>
    <w:p w:rsidR="003544CA" w:rsidRDefault="00A178C1" w:rsidP="003544CA">
      <w:pPr>
        <w:pStyle w:val="Paragraphe"/>
        <w:tabs>
          <w:tab w:val="clear" w:pos="900"/>
        </w:tabs>
        <w:spacing w:line="240" w:lineRule="auto"/>
        <w:ind w:left="0" w:right="-90"/>
      </w:pPr>
      <w:r>
        <w:t xml:space="preserve">En matière de trafic ou de possession pour fins de trafic de drogues dures, la Cour d’appel du Québec a maintes fois rappelé ces dernières années – notamment dans les arrêts </w:t>
      </w:r>
      <w:r w:rsidRPr="003544CA">
        <w:rPr>
          <w:i/>
        </w:rPr>
        <w:t>M.V.</w:t>
      </w:r>
      <w:r>
        <w:rPr>
          <w:rStyle w:val="Appelnotedebasdep"/>
          <w:i/>
        </w:rPr>
        <w:footnoteReference w:id="2"/>
      </w:r>
      <w:r w:rsidRPr="003544CA">
        <w:rPr>
          <w:i/>
        </w:rPr>
        <w:t>, Stevens</w:t>
      </w:r>
      <w:r>
        <w:rPr>
          <w:rStyle w:val="Appelnotedebasdep"/>
          <w:i/>
        </w:rPr>
        <w:footnoteReference w:id="3"/>
      </w:r>
      <w:r w:rsidRPr="003544CA">
        <w:rPr>
          <w:i/>
        </w:rPr>
        <w:t>, Duhaime</w:t>
      </w:r>
      <w:r>
        <w:rPr>
          <w:rStyle w:val="Appelnotedebasdep"/>
          <w:i/>
        </w:rPr>
        <w:footnoteReference w:id="4"/>
      </w:r>
      <w:r w:rsidRPr="003544CA">
        <w:rPr>
          <w:i/>
        </w:rPr>
        <w:t xml:space="preserve"> et Bernier</w:t>
      </w:r>
      <w:r>
        <w:rPr>
          <w:rStyle w:val="Appelnotedebasdep"/>
        </w:rPr>
        <w:footnoteReference w:id="5"/>
      </w:r>
      <w:r>
        <w:t xml:space="preserve"> – que les objectifs de dénonciation et de dissuasion sont importants et doivent primer en raison de la gravité objective de l’infraction et des conséquences nocives qu’entraîne cet acte criminel, les ravages sociaux qui en découlent n’étant plus à démontrer.</w:t>
      </w:r>
    </w:p>
    <w:p w:rsidR="003544CA" w:rsidRDefault="00A178C1" w:rsidP="003544CA">
      <w:pPr>
        <w:pStyle w:val="Paragraphe"/>
        <w:tabs>
          <w:tab w:val="clear" w:pos="900"/>
        </w:tabs>
        <w:spacing w:line="240" w:lineRule="auto"/>
        <w:ind w:left="0" w:right="-90"/>
      </w:pPr>
      <w:r>
        <w:t xml:space="preserve">Cela dit, dans l’arrêt </w:t>
      </w:r>
      <w:r w:rsidRPr="003544CA">
        <w:rPr>
          <w:i/>
        </w:rPr>
        <w:t>M.V.,</w:t>
      </w:r>
      <w:r>
        <w:t xml:space="preserve"> la Cour d’appel ajoute :</w:t>
      </w:r>
    </w:p>
    <w:p w:rsidR="003544CA" w:rsidRDefault="00A178C1" w:rsidP="003544CA">
      <w:pPr>
        <w:pStyle w:val="Citationenretrait"/>
        <w:ind w:right="630"/>
      </w:pPr>
      <w:r>
        <w:t>«Il est vrai qu’en matière de trafic de stupéfiants, les objectifs de dénonciation et de dissuasion doivent se voir accorder une attention particulière.  Cela dit , même pour la criminalité de cette nature, le critère de réhabilitation demeure un objectif de  la détermination de la peine et «</w:t>
      </w:r>
      <w:r>
        <w:rPr>
          <w:rFonts w:cs="Arial"/>
        </w:rPr>
        <w:t>[i]l</w:t>
      </w:r>
      <w:r>
        <w:t xml:space="preserve"> appartient au juge qui prononce la sanction de déterminer s’il faut accorder plus de poids à un ou plusieurs objectifs, compte tenu des faits de l’espèce</w:t>
      </w:r>
      <w:r w:rsidRPr="00AD7D2C">
        <w:t>»</w:t>
      </w:r>
      <w:r>
        <w:t>.</w:t>
      </w:r>
      <w:r>
        <w:rPr>
          <w:rStyle w:val="Appelnotedebasdep"/>
        </w:rPr>
        <w:footnoteReference w:id="6"/>
      </w:r>
    </w:p>
    <w:p w:rsidR="003544CA" w:rsidRDefault="00A178C1" w:rsidP="003544CA">
      <w:pPr>
        <w:pStyle w:val="Paragraphe"/>
        <w:tabs>
          <w:tab w:val="clear" w:pos="900"/>
        </w:tabs>
        <w:spacing w:line="240" w:lineRule="auto"/>
        <w:ind w:left="0" w:right="-90"/>
      </w:pPr>
      <w:r>
        <w:t>Dans le présent dossier, le Tribunal considère que les objectifs de dénonciation et de dissuasion sont très importants, mais que l’objectif de réhabilitation doit aussi être considéré et apprécié, vu notamment l’absence complète d’antécédents judiciaires de l’accusé.</w:t>
      </w:r>
    </w:p>
    <w:p w:rsidR="00D553DF" w:rsidRDefault="00A178C1" w:rsidP="00D553DF">
      <w:pPr>
        <w:pStyle w:val="Paragraphe"/>
        <w:numPr>
          <w:ilvl w:val="0"/>
          <w:numId w:val="0"/>
        </w:numPr>
        <w:tabs>
          <w:tab w:val="left" w:pos="708"/>
        </w:tabs>
        <w:spacing w:line="240" w:lineRule="auto"/>
        <w:rPr>
          <w:b/>
          <w:u w:val="single"/>
        </w:rPr>
      </w:pPr>
      <w:r>
        <w:rPr>
          <w:b/>
          <w:u w:val="single"/>
        </w:rPr>
        <w:t>LES PRINCIPES À CONSIDÉRER</w:t>
      </w:r>
    </w:p>
    <w:p w:rsidR="008665B1" w:rsidRPr="008665B1" w:rsidRDefault="00A178C1" w:rsidP="009C7F7A">
      <w:pPr>
        <w:pStyle w:val="Paragraphe"/>
        <w:tabs>
          <w:tab w:val="clear" w:pos="900"/>
        </w:tabs>
        <w:spacing w:line="240" w:lineRule="auto"/>
        <w:ind w:left="0" w:right="-90"/>
      </w:pPr>
      <w:r w:rsidRPr="008665B1">
        <w:t xml:space="preserve">Le </w:t>
      </w:r>
      <w:r w:rsidRPr="008665B1">
        <w:rPr>
          <w:i/>
        </w:rPr>
        <w:t>Code criminel</w:t>
      </w:r>
      <w:r w:rsidRPr="008665B1">
        <w:t xml:space="preserve"> prévoit également un certain nombre de principes qui doivent guider le Tribunal pour déterminer la peine appropriée.</w:t>
      </w:r>
    </w:p>
    <w:p w:rsidR="008665B1" w:rsidRPr="008665B1" w:rsidRDefault="00A178C1" w:rsidP="009C7F7A">
      <w:pPr>
        <w:pStyle w:val="Paragraphe"/>
        <w:tabs>
          <w:tab w:val="clear" w:pos="900"/>
        </w:tabs>
        <w:spacing w:line="240" w:lineRule="auto"/>
        <w:ind w:left="0" w:right="-90"/>
      </w:pPr>
      <w:r w:rsidRPr="008665B1">
        <w:t>Le principe fondamental</w:t>
      </w:r>
      <w:r w:rsidR="00435EC9">
        <w:t>,</w:t>
      </w:r>
      <w:r w:rsidRPr="008665B1">
        <w:t xml:space="preserve"> </w:t>
      </w:r>
      <w:r w:rsidR="008032A3">
        <w:t>souv</w:t>
      </w:r>
      <w:r w:rsidR="00290407">
        <w:t xml:space="preserve">ent présenté comme le principe d’individualisation de la peine, est </w:t>
      </w:r>
      <w:r w:rsidRPr="008665B1">
        <w:t xml:space="preserve">énoncé à l’article 718.1 du </w:t>
      </w:r>
      <w:r w:rsidRPr="008665B1">
        <w:rPr>
          <w:i/>
        </w:rPr>
        <w:t>Code criminel</w:t>
      </w:r>
      <w:r w:rsidRPr="008665B1">
        <w:t xml:space="preserve"> </w:t>
      </w:r>
      <w:r w:rsidR="00A7542E">
        <w:t xml:space="preserve">et </w:t>
      </w:r>
      <w:r w:rsidRPr="008665B1">
        <w:t>se lit comme suit :</w:t>
      </w:r>
    </w:p>
    <w:p w:rsidR="008665B1" w:rsidRDefault="00A178C1" w:rsidP="009C7F7A">
      <w:pPr>
        <w:spacing w:before="120" w:after="120"/>
        <w:ind w:left="720" w:right="-90"/>
        <w:jc w:val="both"/>
        <w:rPr>
          <w:kern w:val="24"/>
          <w:sz w:val="22"/>
        </w:rPr>
      </w:pPr>
      <w:r w:rsidRPr="008665B1">
        <w:rPr>
          <w:kern w:val="24"/>
          <w:sz w:val="22"/>
        </w:rPr>
        <w:t>« La peine est proportionnelle à la gravité de l'infraction et au degré de responsabilité du délinquant»</w:t>
      </w:r>
      <w:r>
        <w:rPr>
          <w:kern w:val="24"/>
          <w:sz w:val="22"/>
          <w:vertAlign w:val="superscript"/>
        </w:rPr>
        <w:footnoteReference w:id="7"/>
      </w:r>
      <w:r w:rsidRPr="008665B1">
        <w:rPr>
          <w:kern w:val="24"/>
          <w:sz w:val="22"/>
        </w:rPr>
        <w:t>.</w:t>
      </w:r>
    </w:p>
    <w:p w:rsidR="005322D5" w:rsidRDefault="00A178C1" w:rsidP="009C7F7A">
      <w:pPr>
        <w:pStyle w:val="Paragraphe"/>
        <w:tabs>
          <w:tab w:val="clear" w:pos="900"/>
        </w:tabs>
        <w:spacing w:line="240" w:lineRule="auto"/>
        <w:ind w:left="0" w:right="-90"/>
      </w:pPr>
      <w:r>
        <w:t xml:space="preserve">Dans l’arrêt </w:t>
      </w:r>
      <w:r w:rsidRPr="00435EC9">
        <w:rPr>
          <w:i/>
        </w:rPr>
        <w:t>Prokos</w:t>
      </w:r>
      <w:r>
        <w:t>, la Cour d’appel du Québec explique ce principe en ces termes :</w:t>
      </w:r>
    </w:p>
    <w:p w:rsidR="004E7876" w:rsidRPr="005322D5" w:rsidRDefault="00A178C1" w:rsidP="005322D5">
      <w:pPr>
        <w:pStyle w:val="Paragraphe"/>
        <w:numPr>
          <w:ilvl w:val="0"/>
          <w:numId w:val="0"/>
        </w:numPr>
        <w:spacing w:line="240" w:lineRule="auto"/>
        <w:ind w:left="720" w:right="630"/>
        <w:rPr>
          <w:kern w:val="24"/>
          <w:sz w:val="22"/>
          <w:szCs w:val="22"/>
        </w:rPr>
      </w:pPr>
      <w:r w:rsidRPr="005322D5">
        <w:rPr>
          <w:sz w:val="22"/>
          <w:szCs w:val="22"/>
        </w:rPr>
        <w:t>«L’individualisation de la sentence demeure un principe fondamental de la détermination de la peine.  À l’égard d’infractions relatives aux stupéfiants, le système de détermination de la peine ne peut se fonder exclusivement sur la dissuasion sociale et la dénonciation de la gravité des infractions.  La détermination de la peine doit être modulée et individualisée.  C’est au juge, à qui incombe le devoir de déterminer la peine, de choisir celle qui a le plus de chance de dissuader le délinquant et d’assurer sa réhabilitation</w:t>
      </w:r>
      <w:r w:rsidR="007A37F5">
        <w:rPr>
          <w:sz w:val="22"/>
          <w:szCs w:val="22"/>
        </w:rPr>
        <w:t> »</w:t>
      </w:r>
      <w:r>
        <w:rPr>
          <w:rStyle w:val="Appelnotedebasdep"/>
          <w:sz w:val="22"/>
          <w:szCs w:val="22"/>
        </w:rPr>
        <w:footnoteReference w:id="8"/>
      </w:r>
    </w:p>
    <w:p w:rsidR="008665B1" w:rsidRDefault="00A178C1" w:rsidP="00D4396D">
      <w:pPr>
        <w:pStyle w:val="Paragraphe"/>
        <w:tabs>
          <w:tab w:val="clear" w:pos="900"/>
        </w:tabs>
        <w:spacing w:line="240" w:lineRule="auto"/>
        <w:ind w:left="0" w:right="-90"/>
      </w:pPr>
      <w:r>
        <w:t>Parmi les autres principes qui doivent guider le Tribunal dans la détermination de la peine, on retrouve notamment l’obligation d’adapter la peine aux circonstances aggravantes ou atténuantes liées à la perpétration de l’infraction ou à la sit</w:t>
      </w:r>
      <w:r w:rsidR="00A56B22">
        <w:t>uation du délinquant (art. 718.2a)</w:t>
      </w:r>
      <w:r>
        <w:t xml:space="preserve"> C.cr.) et l’obligation d’avoir à l’esprit l’harmonisation des peines, c’est-à-dire l’infliction de peines semblables à celles infligées à des délinquants pour des infractions semblables commises dans des circonstances semblables (art. 718.2b) C.cr).</w:t>
      </w:r>
    </w:p>
    <w:p w:rsidR="00876069" w:rsidRDefault="00A178C1" w:rsidP="00D9411E">
      <w:pPr>
        <w:pStyle w:val="Paragraphe"/>
        <w:numPr>
          <w:ilvl w:val="0"/>
          <w:numId w:val="0"/>
        </w:numPr>
        <w:tabs>
          <w:tab w:val="left" w:pos="708"/>
        </w:tabs>
        <w:spacing w:line="240" w:lineRule="auto"/>
        <w:ind w:right="-720"/>
        <w:rPr>
          <w:b/>
          <w:u w:val="single"/>
        </w:rPr>
      </w:pPr>
      <w:r>
        <w:rPr>
          <w:b/>
          <w:u w:val="single"/>
        </w:rPr>
        <w:t>L’</w:t>
      </w:r>
      <w:r w:rsidR="00EA1E7F">
        <w:rPr>
          <w:b/>
          <w:u w:val="single"/>
        </w:rPr>
        <w:t>ANALYSE</w:t>
      </w:r>
    </w:p>
    <w:p w:rsidR="00EA1E7F" w:rsidRDefault="00A178C1" w:rsidP="00D9411E">
      <w:pPr>
        <w:pStyle w:val="Paragraphe"/>
        <w:numPr>
          <w:ilvl w:val="0"/>
          <w:numId w:val="0"/>
        </w:numPr>
        <w:tabs>
          <w:tab w:val="left" w:pos="708"/>
        </w:tabs>
        <w:spacing w:line="240" w:lineRule="auto"/>
        <w:ind w:right="-720"/>
        <w:rPr>
          <w:b/>
          <w:u w:val="single"/>
        </w:rPr>
      </w:pPr>
      <w:r>
        <w:tab/>
      </w:r>
      <w:r>
        <w:rPr>
          <w:b/>
          <w:u w:val="single"/>
        </w:rPr>
        <w:t>La gravité de</w:t>
      </w:r>
      <w:r w:rsidR="008665B1">
        <w:rPr>
          <w:b/>
          <w:u w:val="single"/>
        </w:rPr>
        <w:t xml:space="preserve">s </w:t>
      </w:r>
      <w:r>
        <w:rPr>
          <w:b/>
          <w:u w:val="single"/>
        </w:rPr>
        <w:t>infraction</w:t>
      </w:r>
      <w:r w:rsidR="008665B1">
        <w:rPr>
          <w:b/>
          <w:u w:val="single"/>
        </w:rPr>
        <w:t>s et la responsabilité de la délinquante</w:t>
      </w:r>
    </w:p>
    <w:p w:rsidR="005322D5" w:rsidRPr="00692A26" w:rsidRDefault="00A178C1" w:rsidP="00692A26">
      <w:pPr>
        <w:pStyle w:val="Paragraphe"/>
        <w:tabs>
          <w:tab w:val="clear" w:pos="900"/>
        </w:tabs>
        <w:spacing w:line="240" w:lineRule="auto"/>
        <w:ind w:left="0" w:right="-90"/>
      </w:pPr>
      <w:r>
        <w:t>Les</w:t>
      </w:r>
      <w:r w:rsidRPr="00692A26">
        <w:t xml:space="preserve"> principaux </w:t>
      </w:r>
      <w:r>
        <w:t xml:space="preserve">crimes </w:t>
      </w:r>
      <w:r w:rsidRPr="00692A26">
        <w:t xml:space="preserve">auxquels l’accusée </w:t>
      </w:r>
      <w:r w:rsidR="00692A26" w:rsidRPr="00692A26">
        <w:t xml:space="preserve">a plaidé coupable </w:t>
      </w:r>
      <w:r w:rsidRPr="00692A26">
        <w:t>sont objectivement très graves.</w:t>
      </w:r>
    </w:p>
    <w:p w:rsidR="005322D5" w:rsidRDefault="00A178C1" w:rsidP="00D4396D">
      <w:pPr>
        <w:pStyle w:val="Paragraphe"/>
        <w:tabs>
          <w:tab w:val="clear" w:pos="900"/>
        </w:tabs>
        <w:spacing w:line="240" w:lineRule="auto"/>
        <w:ind w:left="0" w:right="-90"/>
      </w:pPr>
      <w:r>
        <w:t>Le trafic de coca</w:t>
      </w:r>
      <w:r w:rsidR="009C7F7A">
        <w:t>ï</w:t>
      </w:r>
      <w:r>
        <w:t>ne et le complot en vue de commettre ce trafic sont en effet passible</w:t>
      </w:r>
      <w:r w:rsidR="009C7F7A">
        <w:t>s</w:t>
      </w:r>
      <w:r>
        <w:t xml:space="preserve"> de l’emprisonnement à perpétuité.</w:t>
      </w:r>
    </w:p>
    <w:p w:rsidR="005322D5" w:rsidRDefault="00A178C1" w:rsidP="00D4396D">
      <w:pPr>
        <w:pStyle w:val="Paragraphe"/>
        <w:tabs>
          <w:tab w:val="clear" w:pos="900"/>
        </w:tabs>
        <w:spacing w:line="240" w:lineRule="auto"/>
        <w:ind w:left="0" w:right="-90"/>
      </w:pPr>
      <w:r>
        <w:t>Cela s’explique notamment par les conséquences souvent dramatiques sur la santé physique et mentale de ceux qui consomment cette drogue.</w:t>
      </w:r>
    </w:p>
    <w:p w:rsidR="00D4396D" w:rsidRDefault="00A178C1" w:rsidP="00D4396D">
      <w:pPr>
        <w:pStyle w:val="Paragraphe"/>
        <w:spacing w:line="240" w:lineRule="auto"/>
        <w:ind w:left="0" w:right="-86"/>
      </w:pPr>
      <w:r>
        <w:t xml:space="preserve">En 2001, dans l’arrêt </w:t>
      </w:r>
      <w:r w:rsidRPr="00DE53ED">
        <w:rPr>
          <w:i/>
        </w:rPr>
        <w:t>Mantha</w:t>
      </w:r>
      <w:r>
        <w:rPr>
          <w:rStyle w:val="Appelnotedebasdep"/>
        </w:rPr>
        <w:footnoteReference w:id="9"/>
      </w:r>
      <w:r>
        <w:t>, la Cour d’</w:t>
      </w:r>
      <w:r w:rsidR="009C7F7A">
        <w:t>a</w:t>
      </w:r>
      <w:r>
        <w:t xml:space="preserve">ppel du Québec, reprenant ce qu’elle avait déjà dit dans l’arrêt </w:t>
      </w:r>
      <w:r w:rsidRPr="00DE53ED">
        <w:rPr>
          <w:i/>
        </w:rPr>
        <w:t>Bonenfant</w:t>
      </w:r>
      <w:r>
        <w:rPr>
          <w:rStyle w:val="Appelnotedebasdep"/>
        </w:rPr>
        <w:footnoteReference w:id="10"/>
      </w:r>
      <w:r>
        <w:t xml:space="preserve"> en 1989, écrit à ce sujet :</w:t>
      </w:r>
    </w:p>
    <w:p w:rsidR="00D4396D" w:rsidRDefault="00A178C1" w:rsidP="00DE53ED">
      <w:pPr>
        <w:pStyle w:val="Citationenretrait"/>
        <w:ind w:right="630"/>
      </w:pPr>
      <w:r w:rsidRPr="00AD7D2C">
        <w:t>«</w:t>
      </w:r>
      <w:r>
        <w:t xml:space="preserve">Les dégâts causés par le trafic de stupéfiants, et particulièrement par le trafic de cocaïne, sont indéniables.  Il s’agit d’une </w:t>
      </w:r>
      <w:r w:rsidRPr="00AD7D2C">
        <w:t>«</w:t>
      </w:r>
      <w:r>
        <w:t>plaie sociale</w:t>
      </w:r>
      <w:r w:rsidRPr="00AD7D2C">
        <w:t>»</w:t>
      </w:r>
      <w:r>
        <w:t xml:space="preserve"> et le message des tribunaux doit être </w:t>
      </w:r>
      <w:r w:rsidRPr="00AD7D2C">
        <w:t>«</w:t>
      </w:r>
      <w:r>
        <w:t>sans équivoque</w:t>
      </w:r>
      <w:r w:rsidRPr="00AD7D2C">
        <w:t>»</w:t>
      </w:r>
      <w:r>
        <w:t>.</w:t>
      </w:r>
      <w:r>
        <w:rPr>
          <w:rStyle w:val="Appelnotedebasdep"/>
        </w:rPr>
        <w:footnoteReference w:id="11"/>
      </w:r>
    </w:p>
    <w:p w:rsidR="00D4396D" w:rsidRDefault="00A178C1" w:rsidP="00D4396D">
      <w:pPr>
        <w:pStyle w:val="Paragraphe"/>
        <w:spacing w:line="240" w:lineRule="auto"/>
        <w:ind w:left="0" w:right="-86"/>
      </w:pPr>
      <w:r>
        <w:t>Repris intégralement par la Cour d’</w:t>
      </w:r>
      <w:r w:rsidR="009C7F7A">
        <w:t>a</w:t>
      </w:r>
      <w:r>
        <w:t xml:space="preserve">ppel en 2011 dans l’arrêt </w:t>
      </w:r>
      <w:r w:rsidRPr="00DE53ED">
        <w:rPr>
          <w:i/>
        </w:rPr>
        <w:t>Armeni</w:t>
      </w:r>
      <w:r>
        <w:rPr>
          <w:rStyle w:val="Appelnotedebasdep"/>
        </w:rPr>
        <w:footnoteReference w:id="12"/>
      </w:r>
      <w:r>
        <w:t>, ce passage est encore vrai en 2021.  Le Tribunal est d’ailleurs bien placé pour constater à quel point les drogues dures</w:t>
      </w:r>
      <w:r w:rsidR="00435EC9">
        <w:t>, notamment la cocaïne,</w:t>
      </w:r>
      <w:r>
        <w:t xml:space="preserve"> sont un fléau, particulièrement chez nos jeunes.</w:t>
      </w:r>
    </w:p>
    <w:p w:rsidR="00D4396D" w:rsidRDefault="00A178C1" w:rsidP="00D4396D">
      <w:pPr>
        <w:pStyle w:val="Paragraphe"/>
        <w:spacing w:line="240" w:lineRule="auto"/>
        <w:ind w:left="0" w:right="-86"/>
      </w:pPr>
      <w:r>
        <w:t>Comme le dit la Cour d’</w:t>
      </w:r>
      <w:r w:rsidR="009C7F7A">
        <w:t>a</w:t>
      </w:r>
      <w:r>
        <w:t xml:space="preserve">ppel dans l’arrêt </w:t>
      </w:r>
      <w:r w:rsidRPr="00DE53ED">
        <w:rPr>
          <w:i/>
        </w:rPr>
        <w:t>Ricard</w:t>
      </w:r>
      <w:r>
        <w:rPr>
          <w:rStyle w:val="Appelnotedebasdep"/>
        </w:rPr>
        <w:footnoteReference w:id="13"/>
      </w:r>
      <w:r>
        <w:t xml:space="preserve">:  </w:t>
      </w:r>
    </w:p>
    <w:p w:rsidR="00D4396D" w:rsidRDefault="00A178C1" w:rsidP="00D4396D">
      <w:pPr>
        <w:pStyle w:val="Citationenretrait"/>
        <w:ind w:right="630"/>
      </w:pPr>
      <w:r w:rsidRPr="00AD7D2C">
        <w:t>«</w:t>
      </w:r>
      <w:r>
        <w:t>… l’acte de faire le trafic de stupéfiants ou de les posséder dans le but d’en faire le trafic, est l’expression d’un comportement hautement nuisible.  La peine associée à ce type de délit doit marquer tant l’esprit collectif que le délinquant lui-même afin de répondre adéquatement à la gravité objective de l’infraction.</w:t>
      </w:r>
      <w:r w:rsidRPr="004E21BD">
        <w:t xml:space="preserve"> </w:t>
      </w:r>
      <w:r w:rsidRPr="00AD7D2C">
        <w:t>»</w:t>
      </w:r>
      <w:r>
        <w:rPr>
          <w:rStyle w:val="Appelnotedebasdep"/>
        </w:rPr>
        <w:footnoteReference w:id="14"/>
      </w:r>
    </w:p>
    <w:p w:rsidR="00D4396D" w:rsidRDefault="00A178C1" w:rsidP="009C7F7A">
      <w:pPr>
        <w:pStyle w:val="Paragraphe"/>
        <w:tabs>
          <w:tab w:val="clear" w:pos="900"/>
        </w:tabs>
        <w:spacing w:line="240" w:lineRule="auto"/>
        <w:ind w:left="0" w:right="-90"/>
      </w:pPr>
      <w:r>
        <w:t>Dans le présent dossier, plusieurs élément</w:t>
      </w:r>
      <w:r w:rsidR="009C7F7A">
        <w:t>s</w:t>
      </w:r>
      <w:r w:rsidR="00435EC9">
        <w:t xml:space="preserve"> rendent</w:t>
      </w:r>
      <w:r>
        <w:t xml:space="preserve"> les crimes commis par l’accusée particulièrement graves.</w:t>
      </w:r>
    </w:p>
    <w:p w:rsidR="00B6476E" w:rsidRDefault="00A178C1" w:rsidP="009C7F7A">
      <w:pPr>
        <w:pStyle w:val="Paragraphe"/>
        <w:tabs>
          <w:tab w:val="clear" w:pos="900"/>
        </w:tabs>
        <w:spacing w:line="240" w:lineRule="auto"/>
        <w:ind w:left="0" w:right="-90"/>
      </w:pPr>
      <w:r>
        <w:t>D’abord, on est ici en présence d’une organisation structurée qui alimentait en coca</w:t>
      </w:r>
      <w:r w:rsidR="00E6017F">
        <w:t>ï</w:t>
      </w:r>
      <w:r>
        <w:t>ne de nombreux consommateurs de la région de Salaberry-de-Valleyfield.  À la lumière de la preuve présentée, on peut assurément affirmer que cette organisation vendait chaque mois plusieurs centaines de grammes de coca</w:t>
      </w:r>
      <w:r w:rsidR="00E6017F">
        <w:t>ï</w:t>
      </w:r>
      <w:r>
        <w:t>ne d’une valeur sur le marché de plusieurs dizaine</w:t>
      </w:r>
      <w:r w:rsidR="001A6EE0">
        <w:t>s</w:t>
      </w:r>
      <w:r>
        <w:t xml:space="preserve"> de milliers de dollars.</w:t>
      </w:r>
    </w:p>
    <w:p w:rsidR="00B6476E" w:rsidRDefault="00A178C1" w:rsidP="009C7F7A">
      <w:pPr>
        <w:pStyle w:val="Paragraphe"/>
        <w:tabs>
          <w:tab w:val="clear" w:pos="900"/>
        </w:tabs>
        <w:spacing w:line="240" w:lineRule="auto"/>
        <w:ind w:left="0" w:right="-90"/>
      </w:pPr>
      <w:r>
        <w:t>Or, à l’intérieur de ce</w:t>
      </w:r>
      <w:r w:rsidR="008469C3">
        <w:t>tte organisation</w:t>
      </w:r>
      <w:r>
        <w:t>, l’accusée jouait un rôle passablement important et</w:t>
      </w:r>
      <w:r w:rsidR="008469C3">
        <w:t>,</w:t>
      </w:r>
      <w:r>
        <w:t xml:space="preserve"> contrairement à ce qu’a affirmé l’avocat de la défense lors des représentations s</w:t>
      </w:r>
      <w:r w:rsidR="001A6EE0">
        <w:t>u</w:t>
      </w:r>
      <w:r>
        <w:t>r sentence, clairement plus substantiel que celui des s</w:t>
      </w:r>
      <w:r w:rsidR="008469C3">
        <w:t>imples coursiers/</w:t>
      </w:r>
      <w:r>
        <w:t>vendeurs.  Le tout a d’ailleurs été reconnu par l’accusé</w:t>
      </w:r>
      <w:r w:rsidR="008469C3">
        <w:t>e</w:t>
      </w:r>
      <w:r>
        <w:t xml:space="preserve"> lors de l’enregistrement des plaidoyers de culpabilité et par son avocat d’alors qui s’exprimait ainsi :</w:t>
      </w:r>
    </w:p>
    <w:p w:rsidR="00B6476E" w:rsidRPr="00B6476E" w:rsidRDefault="00A178C1" w:rsidP="00D4396D">
      <w:pPr>
        <w:pStyle w:val="Paragraphe"/>
        <w:numPr>
          <w:ilvl w:val="0"/>
          <w:numId w:val="0"/>
        </w:numPr>
        <w:spacing w:line="240" w:lineRule="auto"/>
        <w:ind w:left="720" w:right="630"/>
        <w:rPr>
          <w:i/>
          <w:sz w:val="22"/>
          <w:szCs w:val="22"/>
        </w:rPr>
      </w:pPr>
      <w:r>
        <w:rPr>
          <w:i/>
          <w:sz w:val="22"/>
          <w:szCs w:val="22"/>
        </w:rPr>
        <w:t>« … Madame à un moment donné a vendu.  Par après, c’était tel qu’elle a expliqué dans sa déclaration.  Elle transférait, elle cherchait l’argent, elle amenait la drogue, elle coupait. (…) le rôle de madame Trudel</w:t>
      </w:r>
      <w:r w:rsidR="00932DF6">
        <w:rPr>
          <w:i/>
          <w:sz w:val="22"/>
          <w:szCs w:val="22"/>
        </w:rPr>
        <w:t>,</w:t>
      </w:r>
      <w:r>
        <w:rPr>
          <w:i/>
          <w:sz w:val="22"/>
          <w:szCs w:val="22"/>
        </w:rPr>
        <w:t xml:space="preserve"> il est plus grand qu’un vendeur. »</w:t>
      </w:r>
      <w:r>
        <w:rPr>
          <w:rStyle w:val="Appelnotedebasdep"/>
          <w:i/>
          <w:sz w:val="22"/>
          <w:szCs w:val="22"/>
        </w:rPr>
        <w:footnoteReference w:id="15"/>
      </w:r>
      <w:r>
        <w:rPr>
          <w:i/>
          <w:sz w:val="22"/>
          <w:szCs w:val="22"/>
        </w:rPr>
        <w:t xml:space="preserve"> </w:t>
      </w:r>
    </w:p>
    <w:p w:rsidR="008665B1" w:rsidRPr="005270AA" w:rsidRDefault="00A178C1" w:rsidP="009C7F7A">
      <w:pPr>
        <w:pStyle w:val="Paragraphe"/>
        <w:tabs>
          <w:tab w:val="clear" w:pos="900"/>
          <w:tab w:val="left" w:pos="708"/>
        </w:tabs>
        <w:spacing w:line="240" w:lineRule="auto"/>
        <w:ind w:left="0" w:right="-90"/>
        <w:rPr>
          <w:b/>
          <w:u w:val="single"/>
        </w:rPr>
      </w:pPr>
      <w:r>
        <w:t xml:space="preserve">En fait, sans </w:t>
      </w:r>
      <w:r w:rsidR="008469C3">
        <w:t>être la tête dirigeante de l’organisation</w:t>
      </w:r>
      <w:r>
        <w:t>, il est clair que l’accusée y jouait un rôle-clé :  préparation de la coca</w:t>
      </w:r>
      <w:r w:rsidR="00E6017F">
        <w:t>ï</w:t>
      </w:r>
      <w:r>
        <w:t>ne</w:t>
      </w:r>
      <w:r w:rsidR="008469C3">
        <w:t>,</w:t>
      </w:r>
      <w:r>
        <w:t xml:space="preserve"> ensachage, visit</w:t>
      </w:r>
      <w:r w:rsidR="008469C3">
        <w:t>e aux coursiers/</w:t>
      </w:r>
      <w:r>
        <w:t>vendeurs pour apporter la coca</w:t>
      </w:r>
      <w:r w:rsidR="00E6017F">
        <w:t>ï</w:t>
      </w:r>
      <w:r>
        <w:t>ne et récolter l’argent, transfert quotidien de la ligne princip</w:t>
      </w:r>
      <w:r w:rsidR="008469C3">
        <w:t>ale aux coursiers</w:t>
      </w:r>
      <w:r w:rsidR="00DE53ED">
        <w:t>/</w:t>
      </w:r>
      <w:r>
        <w:t>vende</w:t>
      </w:r>
      <w:r w:rsidR="008469C3">
        <w:t xml:space="preserve">urs, etc.  Comme le disait la  procureure de la poursuite </w:t>
      </w:r>
      <w:r w:rsidR="00DE53ED">
        <w:t>lors de l’enregistrement des</w:t>
      </w:r>
      <w:r w:rsidR="008469C3">
        <w:t xml:space="preserve"> plaidoyer</w:t>
      </w:r>
      <w:r w:rsidR="00DE53ED">
        <w:t>s</w:t>
      </w:r>
      <w:r w:rsidR="008469C3">
        <w:t xml:space="preserve"> de culpabilité, l’accusée était pou</w:t>
      </w:r>
      <w:r w:rsidR="00435EC9">
        <w:t>r ainsi dire « un peu la metteur</w:t>
      </w:r>
      <w:r w:rsidR="008469C3">
        <w:t xml:space="preserve">e en scène </w:t>
      </w:r>
      <w:r w:rsidR="007A37F5">
        <w:t xml:space="preserve"> au quotidien</w:t>
      </w:r>
      <w:r w:rsidR="004E7876">
        <w:t> »</w:t>
      </w:r>
      <w:r w:rsidR="007A37F5">
        <w:t>.</w:t>
      </w:r>
      <w:r>
        <w:rPr>
          <w:rStyle w:val="Appelnotedebasdep"/>
        </w:rPr>
        <w:footnoteReference w:id="16"/>
      </w:r>
    </w:p>
    <w:p w:rsidR="005270AA" w:rsidRPr="005270AA" w:rsidRDefault="00A178C1" w:rsidP="009C7F7A">
      <w:pPr>
        <w:pStyle w:val="Paragraphe"/>
        <w:tabs>
          <w:tab w:val="clear" w:pos="900"/>
          <w:tab w:val="left" w:pos="708"/>
        </w:tabs>
        <w:spacing w:line="240" w:lineRule="auto"/>
        <w:ind w:left="0" w:right="-90"/>
      </w:pPr>
      <w:r w:rsidRPr="005270AA">
        <w:t>De plus, la responsabilité de l’accusée</w:t>
      </w:r>
      <w:r>
        <w:t xml:space="preserve"> est ici totale :  c’est elle qui, délibérément, a choisi de s’impliquer dans ce réseau de trafiquants</w:t>
      </w:r>
      <w:r w:rsidR="001A6EE0">
        <w:t>,</w:t>
      </w:r>
      <w:r>
        <w:t xml:space="preserve"> et ce essentiellement par appât du gain.</w:t>
      </w:r>
    </w:p>
    <w:p w:rsidR="008665B1" w:rsidRPr="00E6017F" w:rsidRDefault="00A178C1" w:rsidP="009C7F7A">
      <w:pPr>
        <w:pStyle w:val="Paragraphe"/>
        <w:tabs>
          <w:tab w:val="clear" w:pos="900"/>
          <w:tab w:val="left" w:pos="708"/>
        </w:tabs>
        <w:spacing w:line="240" w:lineRule="auto"/>
        <w:ind w:left="0" w:right="-90"/>
      </w:pPr>
      <w:r w:rsidRPr="00E6017F">
        <w:t>Le tout s’est au surplus déroulé sur une période de temps non négligeable</w:t>
      </w:r>
      <w:r w:rsidR="00D4396D">
        <w:t> :</w:t>
      </w:r>
      <w:r w:rsidRPr="00E6017F">
        <w:t xml:space="preserve"> environ six mois.</w:t>
      </w:r>
    </w:p>
    <w:p w:rsidR="005270AA" w:rsidRPr="007A37F5" w:rsidRDefault="00A178C1" w:rsidP="009C7F7A">
      <w:pPr>
        <w:pStyle w:val="Paragraphe"/>
        <w:tabs>
          <w:tab w:val="clear" w:pos="900"/>
          <w:tab w:val="left" w:pos="708"/>
        </w:tabs>
        <w:spacing w:line="240" w:lineRule="auto"/>
        <w:ind w:left="0" w:right="-90"/>
        <w:rPr>
          <w:b/>
          <w:u w:val="single"/>
        </w:rPr>
      </w:pPr>
      <w:r>
        <w:t>Le Tribunal le répète : t</w:t>
      </w:r>
      <w:r w:rsidR="00E6017F">
        <w:t>out cela tend à rendre particulièrement importante la gravité des infractions</w:t>
      </w:r>
      <w:r>
        <w:t xml:space="preserve"> commises par l’accusée.</w:t>
      </w:r>
    </w:p>
    <w:p w:rsidR="007A37F5" w:rsidRDefault="007A37F5" w:rsidP="007A37F5">
      <w:pPr>
        <w:pStyle w:val="Paragraphe"/>
        <w:numPr>
          <w:ilvl w:val="0"/>
          <w:numId w:val="0"/>
        </w:numPr>
        <w:tabs>
          <w:tab w:val="left" w:pos="708"/>
        </w:tabs>
        <w:spacing w:line="240" w:lineRule="auto"/>
        <w:ind w:right="-90"/>
      </w:pPr>
    </w:p>
    <w:p w:rsidR="007A37F5" w:rsidRPr="008665B1" w:rsidRDefault="007A37F5" w:rsidP="007A37F5">
      <w:pPr>
        <w:pStyle w:val="Paragraphe"/>
        <w:numPr>
          <w:ilvl w:val="0"/>
          <w:numId w:val="0"/>
        </w:numPr>
        <w:tabs>
          <w:tab w:val="left" w:pos="708"/>
        </w:tabs>
        <w:spacing w:line="240" w:lineRule="auto"/>
        <w:ind w:right="-90"/>
        <w:rPr>
          <w:b/>
          <w:u w:val="single"/>
        </w:rPr>
      </w:pPr>
    </w:p>
    <w:p w:rsidR="00524B13" w:rsidRDefault="00A178C1" w:rsidP="009C7F7A">
      <w:pPr>
        <w:pStyle w:val="Paragraphe"/>
        <w:numPr>
          <w:ilvl w:val="0"/>
          <w:numId w:val="0"/>
        </w:numPr>
        <w:tabs>
          <w:tab w:val="left" w:pos="708"/>
        </w:tabs>
        <w:spacing w:line="240" w:lineRule="auto"/>
        <w:ind w:right="-90"/>
        <w:rPr>
          <w:b/>
          <w:u w:val="single"/>
        </w:rPr>
      </w:pPr>
      <w:r>
        <w:tab/>
      </w:r>
      <w:r w:rsidR="005708B2">
        <w:rPr>
          <w:b/>
          <w:u w:val="single"/>
        </w:rPr>
        <w:t>Le profil de l’accusée</w:t>
      </w:r>
    </w:p>
    <w:p w:rsidR="006A4D1C" w:rsidRPr="006A4D1C" w:rsidRDefault="00A178C1" w:rsidP="009C7F7A">
      <w:pPr>
        <w:pStyle w:val="Paragraphe"/>
        <w:tabs>
          <w:tab w:val="clear" w:pos="900"/>
          <w:tab w:val="left" w:pos="708"/>
        </w:tabs>
        <w:spacing w:line="240" w:lineRule="auto"/>
        <w:ind w:left="0" w:right="-90"/>
        <w:rPr>
          <w:b/>
          <w:u w:val="single"/>
        </w:rPr>
      </w:pPr>
      <w:r>
        <w:t>L’ac</w:t>
      </w:r>
      <w:r w:rsidR="00932DF6">
        <w:t>c</w:t>
      </w:r>
      <w:r>
        <w:t xml:space="preserve">usée a 55 ans, est célibataire et a deux </w:t>
      </w:r>
      <w:r w:rsidR="00DE53ED">
        <w:t>enfants adultes.  Elle demeure e</w:t>
      </w:r>
      <w:r>
        <w:t>n appartement avec sa mère auprès de qui elle agit comme proche aidante.</w:t>
      </w:r>
    </w:p>
    <w:p w:rsidR="006A4D1C" w:rsidRPr="006A4D1C" w:rsidRDefault="00A178C1" w:rsidP="009C7F7A">
      <w:pPr>
        <w:pStyle w:val="Paragraphe"/>
        <w:tabs>
          <w:tab w:val="clear" w:pos="900"/>
          <w:tab w:val="left" w:pos="708"/>
        </w:tabs>
        <w:spacing w:line="240" w:lineRule="auto"/>
        <w:ind w:left="0" w:right="-90"/>
        <w:rPr>
          <w:b/>
          <w:u w:val="single"/>
        </w:rPr>
      </w:pPr>
      <w:r>
        <w:t>Elle travaille pour les Unités mobiles de coiffure depuis novembre 2020, spécialisée dans la facturation et les commandes des centres d’hébergement affiliés.</w:t>
      </w:r>
    </w:p>
    <w:p w:rsidR="006A4D1C" w:rsidRPr="006A4D1C" w:rsidRDefault="00A178C1" w:rsidP="009C7F7A">
      <w:pPr>
        <w:pStyle w:val="Paragraphe"/>
        <w:tabs>
          <w:tab w:val="clear" w:pos="900"/>
          <w:tab w:val="left" w:pos="708"/>
        </w:tabs>
        <w:spacing w:line="240" w:lineRule="auto"/>
        <w:ind w:left="0" w:right="-90"/>
        <w:rPr>
          <w:b/>
          <w:u w:val="single"/>
        </w:rPr>
      </w:pPr>
      <w:r>
        <w:t>Elle n’a aucun antécédent judiciaire.</w:t>
      </w:r>
    </w:p>
    <w:p w:rsidR="006A4D1C" w:rsidRPr="006A4D1C" w:rsidRDefault="00A178C1" w:rsidP="009C7F7A">
      <w:pPr>
        <w:pStyle w:val="Paragraphe"/>
        <w:tabs>
          <w:tab w:val="clear" w:pos="900"/>
          <w:tab w:val="left" w:pos="708"/>
        </w:tabs>
        <w:spacing w:line="240" w:lineRule="auto"/>
        <w:ind w:left="0" w:right="-90"/>
        <w:rPr>
          <w:b/>
          <w:u w:val="single"/>
        </w:rPr>
      </w:pPr>
      <w:r>
        <w:t>Afin d’éclairer le Tribunal, un rapport présentenciel a été confectionné.</w:t>
      </w:r>
    </w:p>
    <w:p w:rsidR="006A4D1C" w:rsidRPr="006A4D1C" w:rsidRDefault="00A178C1" w:rsidP="009C7F7A">
      <w:pPr>
        <w:pStyle w:val="Paragraphe"/>
        <w:tabs>
          <w:tab w:val="clear" w:pos="900"/>
          <w:tab w:val="left" w:pos="708"/>
        </w:tabs>
        <w:spacing w:line="240" w:lineRule="auto"/>
        <w:ind w:left="0" w:right="-90"/>
        <w:rPr>
          <w:b/>
          <w:u w:val="single"/>
        </w:rPr>
      </w:pPr>
      <w:r>
        <w:t xml:space="preserve">Il en ressort que l’accusée est </w:t>
      </w:r>
      <w:r w:rsidR="005708B2">
        <w:t>« </w:t>
      </w:r>
      <w:r>
        <w:t>issue d’un milieu familial dysfonctionnel » et qu’elle a vécu une bonne partie de son enfance et de son adolescence en famille d’accueil et en Centre Jeunesse.  Elle s’est rapidement désinvestie de ses études et « a adopté un mode de vie axé sur les festivités et la consommation régulière de substances intoxicantes » jusqu’à l’âge de 23 ans.</w:t>
      </w:r>
    </w:p>
    <w:p w:rsidR="006A4D1C" w:rsidRPr="006A4D1C" w:rsidRDefault="00A178C1" w:rsidP="009C7F7A">
      <w:pPr>
        <w:pStyle w:val="Paragraphe"/>
        <w:tabs>
          <w:tab w:val="clear" w:pos="900"/>
          <w:tab w:val="left" w:pos="708"/>
        </w:tabs>
        <w:spacing w:line="240" w:lineRule="auto"/>
        <w:ind w:left="0" w:right="-90"/>
        <w:rPr>
          <w:b/>
          <w:u w:val="single"/>
        </w:rPr>
      </w:pPr>
      <w:r>
        <w:t>Vers la mi-vingtaine, elle a décidé de retourner aux études afin d’obtenir son diplôme d’études secondaires et d’adopter un mode de vie davantage conformiste. P</w:t>
      </w:r>
      <w:r w:rsidR="00435EC9">
        <w:t>ar la suite, p</w:t>
      </w:r>
      <w:r>
        <w:t>endant plusieurs années, « elle s’est concentrée sur l’éducation de ses enfants de même que sur ses obligations professionnelles</w:t>
      </w:r>
      <w:r w:rsidR="005708B2">
        <w:t> »</w:t>
      </w:r>
      <w:r>
        <w:t>.</w:t>
      </w:r>
    </w:p>
    <w:p w:rsidR="006A4D1C" w:rsidRPr="0007345B" w:rsidRDefault="00A178C1" w:rsidP="009C7F7A">
      <w:pPr>
        <w:pStyle w:val="Paragraphe"/>
        <w:tabs>
          <w:tab w:val="clear" w:pos="900"/>
          <w:tab w:val="left" w:pos="708"/>
        </w:tabs>
        <w:spacing w:line="240" w:lineRule="auto"/>
        <w:ind w:left="0" w:right="-90"/>
        <w:rPr>
          <w:b/>
          <w:u w:val="single"/>
        </w:rPr>
      </w:pPr>
      <w:r>
        <w:t xml:space="preserve">En 2016, alors prestataire d’une aide financière de dernier recours, elle rencontre un nouveau conjoint « qui ne souhaitait pas qu’elle reprenne le travail et s’engageait à subvenir à ses besoins monétaires ». Ce dernier a cependant été victime d’un accident lui occasionnant des séquelles physiques l’empêchant de travailler et les </w:t>
      </w:r>
      <w:r w:rsidR="0007345B">
        <w:t>prestations de la CNESST se sont avérées insuffisante</w:t>
      </w:r>
      <w:r w:rsidR="00932DF6">
        <w:t>s</w:t>
      </w:r>
      <w:r w:rsidR="0007345B">
        <w:t xml:space="preserve"> pour subvenir aux obligations financière</w:t>
      </w:r>
      <w:r w:rsidR="00932DF6">
        <w:t>s</w:t>
      </w:r>
      <w:r w:rsidR="0007345B">
        <w:t xml:space="preserve"> du couple.</w:t>
      </w:r>
    </w:p>
    <w:p w:rsidR="0007345B" w:rsidRPr="0007345B" w:rsidRDefault="00A178C1" w:rsidP="009C7F7A">
      <w:pPr>
        <w:pStyle w:val="Paragraphe"/>
        <w:tabs>
          <w:tab w:val="clear" w:pos="900"/>
          <w:tab w:val="left" w:pos="708"/>
        </w:tabs>
        <w:spacing w:line="240" w:lineRule="auto"/>
        <w:ind w:left="0" w:right="-90"/>
        <w:rPr>
          <w:b/>
          <w:u w:val="single"/>
        </w:rPr>
      </w:pPr>
      <w:r>
        <w:t>C’est dans ce contexte que l’accusée a repris contact avec une ancienne fréquentation « qui lui a proposé d’intégrer un réseau de trafic de stupéfiants afin de résoudre ses problèmes financiers ».  C’est également à ce moment qu’elle a repris ses anciennes habitudes de consommation de coca</w:t>
      </w:r>
      <w:r w:rsidR="00932DF6">
        <w:t>ï</w:t>
      </w:r>
      <w:r>
        <w:t>ne.</w:t>
      </w:r>
    </w:p>
    <w:p w:rsidR="0007345B" w:rsidRPr="0007345B" w:rsidRDefault="00A178C1" w:rsidP="009C7F7A">
      <w:pPr>
        <w:pStyle w:val="Paragraphe"/>
        <w:tabs>
          <w:tab w:val="clear" w:pos="900"/>
          <w:tab w:val="left" w:pos="708"/>
        </w:tabs>
        <w:spacing w:line="240" w:lineRule="auto"/>
        <w:ind w:left="0" w:right="-90"/>
        <w:rPr>
          <w:b/>
          <w:u w:val="single"/>
        </w:rPr>
      </w:pPr>
      <w:r>
        <w:t>Eu égard aux crimes commis, l’agente de probation écrit :</w:t>
      </w:r>
    </w:p>
    <w:p w:rsidR="0007345B" w:rsidRDefault="00A178C1" w:rsidP="0007345B">
      <w:pPr>
        <w:pStyle w:val="Paragraphe"/>
        <w:numPr>
          <w:ilvl w:val="0"/>
          <w:numId w:val="0"/>
        </w:numPr>
        <w:spacing w:line="240" w:lineRule="auto"/>
        <w:ind w:left="720" w:right="630"/>
        <w:rPr>
          <w:sz w:val="22"/>
          <w:szCs w:val="22"/>
        </w:rPr>
      </w:pPr>
      <w:r>
        <w:rPr>
          <w:sz w:val="22"/>
          <w:szCs w:val="22"/>
        </w:rPr>
        <w:t>« En réaction post</w:t>
      </w:r>
      <w:r w:rsidR="00517974">
        <w:rPr>
          <w:sz w:val="22"/>
          <w:szCs w:val="22"/>
        </w:rPr>
        <w:t>-</w:t>
      </w:r>
      <w:r>
        <w:rPr>
          <w:sz w:val="22"/>
          <w:szCs w:val="22"/>
        </w:rPr>
        <w:t>délictuelle (…), la contrevenante reconnaît son entière responsabilité dans les geste</w:t>
      </w:r>
      <w:r w:rsidR="00932DF6">
        <w:rPr>
          <w:sz w:val="22"/>
          <w:szCs w:val="22"/>
        </w:rPr>
        <w:t>s</w:t>
      </w:r>
      <w:r>
        <w:rPr>
          <w:sz w:val="22"/>
          <w:szCs w:val="22"/>
        </w:rPr>
        <w:t xml:space="preserve"> qui lui sont reprochés et admet le caract</w:t>
      </w:r>
      <w:r w:rsidR="00932DF6">
        <w:rPr>
          <w:sz w:val="22"/>
          <w:szCs w:val="22"/>
        </w:rPr>
        <w:t>è</w:t>
      </w:r>
      <w:r>
        <w:rPr>
          <w:sz w:val="22"/>
          <w:szCs w:val="22"/>
        </w:rPr>
        <w:t>re illicite de ceux-ci.  Sans tenter de se justifier, elle associe le délit à ses problèmes financiers, lesquels elle a tenté de résoudre par l’entremise d’une solution facile et accessible, bien qu’inadéquate. (…)  Dans l’ensemble, le discours émotif de madame révèle des regrets sincères et une honte significative vis-à-vis les gestes commis.</w:t>
      </w:r>
    </w:p>
    <w:p w:rsidR="00CA68B3" w:rsidRDefault="00A178C1" w:rsidP="0007345B">
      <w:pPr>
        <w:pStyle w:val="Paragraphe"/>
        <w:numPr>
          <w:ilvl w:val="0"/>
          <w:numId w:val="0"/>
        </w:numPr>
        <w:spacing w:line="240" w:lineRule="auto"/>
        <w:ind w:left="720" w:right="630"/>
        <w:rPr>
          <w:sz w:val="22"/>
          <w:szCs w:val="22"/>
        </w:rPr>
      </w:pPr>
      <w:r>
        <w:rPr>
          <w:sz w:val="22"/>
          <w:szCs w:val="22"/>
        </w:rPr>
        <w:t>Sur le plan criminologique, nous cr</w:t>
      </w:r>
      <w:r w:rsidR="007F5A1C">
        <w:rPr>
          <w:sz w:val="22"/>
          <w:szCs w:val="22"/>
        </w:rPr>
        <w:t>oy</w:t>
      </w:r>
      <w:r>
        <w:rPr>
          <w:sz w:val="22"/>
          <w:szCs w:val="22"/>
        </w:rPr>
        <w:t>ons pour notre part que l’appât du gain facile et rapide, engendré par sa situation financière précaire, constitue le principal facteur de passage à l’acte.  Par ailleurs, la fréquentation d’un environnement peu positif encoura</w:t>
      </w:r>
      <w:r w:rsidR="005708B2">
        <w:rPr>
          <w:sz w:val="22"/>
          <w:szCs w:val="22"/>
        </w:rPr>
        <w:t>geant l’acoquinement à des pair</w:t>
      </w:r>
      <w:r>
        <w:rPr>
          <w:sz w:val="22"/>
          <w:szCs w:val="22"/>
        </w:rPr>
        <w:t>s nuisibles, la consommation de drogue et la banalisation des st</w:t>
      </w:r>
      <w:r w:rsidR="005708B2">
        <w:rPr>
          <w:sz w:val="22"/>
          <w:szCs w:val="22"/>
        </w:rPr>
        <w:t>upéfiants ont motivé l’adoption</w:t>
      </w:r>
      <w:r>
        <w:rPr>
          <w:sz w:val="22"/>
          <w:szCs w:val="22"/>
        </w:rPr>
        <w:t xml:space="preserve"> d’un mode de vie hédoniste, mais surtout le développement de valeurs laxistes au sujet de l’argent et des stupéfiants, le tout constituant les élémen</w:t>
      </w:r>
      <w:r w:rsidR="007F5A1C">
        <w:rPr>
          <w:sz w:val="22"/>
          <w:szCs w:val="22"/>
        </w:rPr>
        <w:t>t</w:t>
      </w:r>
      <w:r w:rsidR="005708B2">
        <w:rPr>
          <w:sz w:val="22"/>
          <w:szCs w:val="22"/>
        </w:rPr>
        <w:t>s centraux</w:t>
      </w:r>
      <w:r w:rsidR="007F5A1C">
        <w:rPr>
          <w:sz w:val="22"/>
          <w:szCs w:val="22"/>
        </w:rPr>
        <w:t xml:space="preserve"> </w:t>
      </w:r>
      <w:r w:rsidR="007F5A1C" w:rsidRPr="007F5A1C">
        <w:rPr>
          <w:sz w:val="22"/>
          <w:szCs w:val="22"/>
        </w:rPr>
        <w:t>du contexte délictuel de l’intimée. »</w:t>
      </w:r>
    </w:p>
    <w:p w:rsidR="007F5A1C" w:rsidRPr="00C41A9E" w:rsidRDefault="00A178C1" w:rsidP="007F5A1C">
      <w:pPr>
        <w:pStyle w:val="Paragraphe"/>
        <w:tabs>
          <w:tab w:val="clear" w:pos="900"/>
          <w:tab w:val="left" w:pos="708"/>
        </w:tabs>
        <w:spacing w:line="240" w:lineRule="auto"/>
        <w:ind w:left="0"/>
        <w:rPr>
          <w:b/>
          <w:szCs w:val="24"/>
          <w:u w:val="single"/>
        </w:rPr>
      </w:pPr>
      <w:r w:rsidRPr="00C41A9E">
        <w:rPr>
          <w:szCs w:val="24"/>
        </w:rPr>
        <w:t>L’agente de probation conclut son rapport de la façon suivante :</w:t>
      </w:r>
    </w:p>
    <w:p w:rsidR="005708B2" w:rsidRDefault="00A178C1" w:rsidP="00C41A9E">
      <w:pPr>
        <w:pStyle w:val="Paragraphe"/>
        <w:numPr>
          <w:ilvl w:val="0"/>
          <w:numId w:val="0"/>
        </w:numPr>
        <w:spacing w:line="240" w:lineRule="auto"/>
        <w:ind w:left="720" w:right="630"/>
        <w:rPr>
          <w:sz w:val="22"/>
          <w:szCs w:val="22"/>
        </w:rPr>
      </w:pPr>
      <w:r>
        <w:rPr>
          <w:sz w:val="22"/>
          <w:szCs w:val="22"/>
        </w:rPr>
        <w:t>« Madame Trudel est une femme de 54 ans, qui en est à ses premiers démêlés judiciaires et qui est généralement en mesure de bien fonctionner en société. (…)</w:t>
      </w:r>
    </w:p>
    <w:p w:rsidR="00C41A9E" w:rsidRDefault="00A178C1" w:rsidP="00C41A9E">
      <w:pPr>
        <w:pStyle w:val="Paragraphe"/>
        <w:numPr>
          <w:ilvl w:val="0"/>
          <w:numId w:val="0"/>
        </w:numPr>
        <w:spacing w:line="240" w:lineRule="auto"/>
        <w:ind w:left="720" w:right="630"/>
        <w:rPr>
          <w:sz w:val="22"/>
          <w:szCs w:val="22"/>
        </w:rPr>
      </w:pPr>
      <w:r>
        <w:rPr>
          <w:sz w:val="22"/>
          <w:szCs w:val="22"/>
        </w:rPr>
        <w:t>Depuis les premières offenses, madame a apporté des modifications à sa situation, et ce, malgré sa deuxième arrestation survenue en avril 2021.  Sur le plan occupationnel, précisions qu’elle a intégré un emploi dans un marché d’alimentation en juillet 2019 et qu’elle a quitté se</w:t>
      </w:r>
      <w:r w:rsidR="005708B2">
        <w:rPr>
          <w:sz w:val="22"/>
          <w:szCs w:val="22"/>
        </w:rPr>
        <w:t>s fonctions 10 mois plus tard</w:t>
      </w:r>
      <w:r w:rsidR="009C7F7A">
        <w:rPr>
          <w:sz w:val="22"/>
          <w:szCs w:val="22"/>
        </w:rPr>
        <w:t>,</w:t>
      </w:r>
      <w:r w:rsidR="005708B2">
        <w:rPr>
          <w:sz w:val="22"/>
          <w:szCs w:val="22"/>
        </w:rPr>
        <w:t xml:space="preserve"> n</w:t>
      </w:r>
      <w:r>
        <w:rPr>
          <w:sz w:val="22"/>
          <w:szCs w:val="22"/>
        </w:rPr>
        <w:t>otamment en raison du long trajet qu’elle devait parcourir pour aller travailler et de la crise sanitaire associée à la COVID-19.  Elle s’est finalement retrouvé un emploi en novembre 2020, soit pour les Unités mobiles de coiffure.  Bien qu’elle apprécie ce travail et qu’elle se sente valorisée dans les tâches qu’elle effectue, l’absence d’une garantie d’heures nous appara</w:t>
      </w:r>
      <w:r w:rsidR="00932DF6">
        <w:rPr>
          <w:sz w:val="22"/>
          <w:szCs w:val="22"/>
        </w:rPr>
        <w:t>î</w:t>
      </w:r>
      <w:r>
        <w:rPr>
          <w:sz w:val="22"/>
          <w:szCs w:val="22"/>
        </w:rPr>
        <w:t>t préoccupante.  Nous constatons toutefois que l’intimée a significativement réduit ses obligations financières depuis qu’elle vit en appartement avec sa mère.</w:t>
      </w:r>
    </w:p>
    <w:p w:rsidR="00C41A9E" w:rsidRDefault="00A178C1" w:rsidP="00C41A9E">
      <w:pPr>
        <w:pStyle w:val="Paragraphe"/>
        <w:numPr>
          <w:ilvl w:val="0"/>
          <w:numId w:val="0"/>
        </w:numPr>
        <w:spacing w:line="240" w:lineRule="auto"/>
        <w:ind w:left="720" w:right="630"/>
        <w:rPr>
          <w:sz w:val="22"/>
          <w:szCs w:val="22"/>
        </w:rPr>
      </w:pPr>
      <w:r>
        <w:rPr>
          <w:sz w:val="22"/>
          <w:szCs w:val="22"/>
        </w:rPr>
        <w:t xml:space="preserve">En ce qui a trait à l’aspect toxicomaniaque, l’intimée verbalise avoir cessé, par elle-même, son usage de psychotropes depuis le mois de mai 2019, soit quelques semaines avant sa première arrestation.  Elle ne ressent présentement pas l’envie </w:t>
      </w:r>
      <w:r w:rsidR="005708B2">
        <w:rPr>
          <w:sz w:val="22"/>
          <w:szCs w:val="22"/>
        </w:rPr>
        <w:t>de consommer, mais est conscient</w:t>
      </w:r>
      <w:r>
        <w:rPr>
          <w:sz w:val="22"/>
          <w:szCs w:val="22"/>
        </w:rPr>
        <w:t>e que l’accessibilité à la substance de prédilection de même que la fréquentation d’individus consommateurs sont deux facteurs de risque qu’elle ne doit pas sous-estimer.</w:t>
      </w:r>
    </w:p>
    <w:p w:rsidR="00C41A9E" w:rsidRDefault="00A178C1" w:rsidP="00C41A9E">
      <w:pPr>
        <w:pStyle w:val="Paragraphe"/>
        <w:numPr>
          <w:ilvl w:val="0"/>
          <w:numId w:val="0"/>
        </w:numPr>
        <w:spacing w:line="240" w:lineRule="auto"/>
        <w:ind w:left="720" w:right="630"/>
        <w:rPr>
          <w:sz w:val="22"/>
          <w:szCs w:val="22"/>
        </w:rPr>
      </w:pPr>
      <w:r>
        <w:rPr>
          <w:sz w:val="22"/>
          <w:szCs w:val="22"/>
        </w:rPr>
        <w:t>Au niveau relationnel, précisons que quelques jours suivant l’arrestation de madame Trudel, son conjoint a mis fin à leur relation amoureuse, notamment parce qu’il n’endossait pas les gestes et les cachot</w:t>
      </w:r>
      <w:r w:rsidR="00932DF6">
        <w:rPr>
          <w:sz w:val="22"/>
          <w:szCs w:val="22"/>
        </w:rPr>
        <w:t>t</w:t>
      </w:r>
      <w:r>
        <w:rPr>
          <w:sz w:val="22"/>
          <w:szCs w:val="22"/>
        </w:rPr>
        <w:t>eries de cette dernière.</w:t>
      </w:r>
      <w:r w:rsidR="00435EC9">
        <w:rPr>
          <w:sz w:val="22"/>
          <w:szCs w:val="22"/>
        </w:rPr>
        <w:t xml:space="preserve"> (…)</w:t>
      </w:r>
    </w:p>
    <w:p w:rsidR="00153B91" w:rsidRDefault="00A178C1" w:rsidP="00C41A9E">
      <w:pPr>
        <w:pStyle w:val="Paragraphe"/>
        <w:numPr>
          <w:ilvl w:val="0"/>
          <w:numId w:val="0"/>
        </w:numPr>
        <w:spacing w:line="240" w:lineRule="auto"/>
        <w:ind w:left="720" w:right="630"/>
        <w:rPr>
          <w:sz w:val="22"/>
          <w:szCs w:val="22"/>
        </w:rPr>
      </w:pPr>
      <w:r>
        <w:rPr>
          <w:sz w:val="22"/>
          <w:szCs w:val="22"/>
        </w:rPr>
        <w:t>En ce qui a trait à son réseau social, nous concluons qu’il est majoritairement composé des membres de sa famille, lesquels n’endossent pas les comportements répréhensible</w:t>
      </w:r>
      <w:r w:rsidR="00932DF6">
        <w:rPr>
          <w:sz w:val="22"/>
          <w:szCs w:val="22"/>
        </w:rPr>
        <w:t>s</w:t>
      </w:r>
      <w:r>
        <w:rPr>
          <w:sz w:val="22"/>
          <w:szCs w:val="22"/>
        </w:rPr>
        <w:t xml:space="preserve"> de madame. (…) … l’intimée verbalise s’être distanciée de ses anciennes fréquentations négatives et ne compte pas reprendre contact avec celles-ci.</w:t>
      </w:r>
    </w:p>
    <w:p w:rsidR="00153B91" w:rsidRDefault="00A178C1" w:rsidP="00C41A9E">
      <w:pPr>
        <w:pStyle w:val="Paragraphe"/>
        <w:numPr>
          <w:ilvl w:val="0"/>
          <w:numId w:val="0"/>
        </w:numPr>
        <w:spacing w:line="240" w:lineRule="auto"/>
        <w:ind w:left="720" w:right="630"/>
        <w:rPr>
          <w:sz w:val="22"/>
          <w:szCs w:val="22"/>
        </w:rPr>
      </w:pPr>
      <w:r>
        <w:rPr>
          <w:sz w:val="22"/>
          <w:szCs w:val="22"/>
        </w:rPr>
        <w:t>À la lumière des informations susmentionnées, nous sommes d’avis que le risque de récidive est amoindri, sans toutefois être totalement écarté, notamment en raison de la précarité des heures de travail de l’intimée, le tout pouvant ultimement affecter la sphère financière de cette dernière.  Afin d’assurer le maintien de son réajustement, il serait opportun que madame Trudel réfléchisse quant à l’impact de ses fréquentations sur ses décision</w:t>
      </w:r>
      <w:r w:rsidR="00932DF6">
        <w:rPr>
          <w:sz w:val="22"/>
          <w:szCs w:val="22"/>
        </w:rPr>
        <w:t>s</w:t>
      </w:r>
      <w:r>
        <w:rPr>
          <w:sz w:val="22"/>
          <w:szCs w:val="22"/>
        </w:rPr>
        <w:t>, maintienne son abstinence complète, conserve un emploi à plein temps et apprenne à sélectionner des solutions légitimes lorsqu’elle est confrontée à des problèmes finan</w:t>
      </w:r>
      <w:r w:rsidR="004D152E">
        <w:rPr>
          <w:sz w:val="22"/>
          <w:szCs w:val="22"/>
        </w:rPr>
        <w:t>ciers.  Un suivi auprès de nos S</w:t>
      </w:r>
      <w:r>
        <w:rPr>
          <w:sz w:val="22"/>
          <w:szCs w:val="22"/>
        </w:rPr>
        <w:t xml:space="preserve">ervices pourrait lui offrir l’accompagnement et les outils nécessaires à la réussite de sa </w:t>
      </w:r>
      <w:r w:rsidR="004D152E">
        <w:rPr>
          <w:sz w:val="22"/>
          <w:szCs w:val="22"/>
        </w:rPr>
        <w:t>réinsertion sociale.(…)</w:t>
      </w:r>
    </w:p>
    <w:p w:rsidR="004D152E" w:rsidRDefault="00A178C1" w:rsidP="00C41A9E">
      <w:pPr>
        <w:pStyle w:val="Paragraphe"/>
        <w:numPr>
          <w:ilvl w:val="0"/>
          <w:numId w:val="0"/>
        </w:numPr>
        <w:spacing w:line="240" w:lineRule="auto"/>
        <w:ind w:left="720" w:right="630"/>
        <w:rPr>
          <w:sz w:val="22"/>
          <w:szCs w:val="22"/>
        </w:rPr>
      </w:pPr>
      <w:r>
        <w:rPr>
          <w:sz w:val="22"/>
          <w:szCs w:val="22"/>
        </w:rPr>
        <w:t>Finalement, si le Tribunal envisage l’imposition de service communautaire, nous désirons l’informer que madame Johanne Trudel possède les capacités de se soumettre à une telle mesure. »</w:t>
      </w:r>
    </w:p>
    <w:p w:rsidR="007F5A1C" w:rsidRPr="004D152E" w:rsidRDefault="00A178C1" w:rsidP="009C7F7A">
      <w:pPr>
        <w:pStyle w:val="Paragraphe"/>
        <w:tabs>
          <w:tab w:val="clear" w:pos="900"/>
          <w:tab w:val="left" w:pos="708"/>
        </w:tabs>
        <w:spacing w:line="240" w:lineRule="auto"/>
        <w:ind w:left="0" w:right="-90"/>
        <w:rPr>
          <w:szCs w:val="24"/>
        </w:rPr>
      </w:pPr>
      <w:r w:rsidRPr="004D152E">
        <w:rPr>
          <w:szCs w:val="24"/>
        </w:rPr>
        <w:t>Lors des représentations sur sentence</w:t>
      </w:r>
      <w:r w:rsidR="00517974" w:rsidRPr="004D152E">
        <w:rPr>
          <w:szCs w:val="24"/>
        </w:rPr>
        <w:t>,</w:t>
      </w:r>
      <w:r w:rsidRPr="004D152E">
        <w:rPr>
          <w:szCs w:val="24"/>
        </w:rPr>
        <w:t xml:space="preserve"> l’accusée a témoigné.</w:t>
      </w:r>
    </w:p>
    <w:p w:rsidR="00153B91" w:rsidRPr="004D152E" w:rsidRDefault="00A178C1" w:rsidP="009C7F7A">
      <w:pPr>
        <w:pStyle w:val="Paragraphe"/>
        <w:tabs>
          <w:tab w:val="clear" w:pos="900"/>
          <w:tab w:val="left" w:pos="708"/>
        </w:tabs>
        <w:spacing w:line="240" w:lineRule="auto"/>
        <w:ind w:left="0" w:right="-90"/>
        <w:rPr>
          <w:szCs w:val="24"/>
        </w:rPr>
      </w:pPr>
      <w:r w:rsidRPr="004D152E">
        <w:rPr>
          <w:szCs w:val="24"/>
        </w:rPr>
        <w:t>Elle confirme l’essentiel des informations contenues au rapport présentenciel, ajoutant qu’elle travaille maintenant à temps plein et que son salaire a doublé.</w:t>
      </w:r>
    </w:p>
    <w:p w:rsidR="00153B91" w:rsidRPr="004D152E" w:rsidRDefault="00A178C1" w:rsidP="009C7F7A">
      <w:pPr>
        <w:pStyle w:val="Paragraphe"/>
        <w:tabs>
          <w:tab w:val="clear" w:pos="900"/>
          <w:tab w:val="left" w:pos="708"/>
        </w:tabs>
        <w:spacing w:line="240" w:lineRule="auto"/>
        <w:ind w:left="0" w:right="-90"/>
        <w:rPr>
          <w:szCs w:val="24"/>
        </w:rPr>
      </w:pPr>
      <w:r w:rsidRPr="004D152E">
        <w:rPr>
          <w:szCs w:val="24"/>
        </w:rPr>
        <w:t xml:space="preserve">Elle insiste aussi sur le fait que sa mère </w:t>
      </w:r>
      <w:r w:rsidR="004D152E" w:rsidRPr="004D152E">
        <w:rPr>
          <w:szCs w:val="24"/>
        </w:rPr>
        <w:t>–</w:t>
      </w:r>
      <w:r w:rsidR="004D152E">
        <w:rPr>
          <w:szCs w:val="24"/>
        </w:rPr>
        <w:t xml:space="preserve"> </w:t>
      </w:r>
      <w:r w:rsidRPr="004D152E">
        <w:rPr>
          <w:szCs w:val="24"/>
        </w:rPr>
        <w:t>avec qui elle vit et dont elle s’occupe beaucoup – est semi-autonome et incapable de vivre seul</w:t>
      </w:r>
      <w:r w:rsidR="009C7F7A">
        <w:rPr>
          <w:szCs w:val="24"/>
        </w:rPr>
        <w:t>e</w:t>
      </w:r>
      <w:r w:rsidRPr="004D152E">
        <w:rPr>
          <w:szCs w:val="24"/>
        </w:rPr>
        <w:t>, mentionnant qu’elle a cependant prévu que des gens s’occupe</w:t>
      </w:r>
      <w:r w:rsidR="009C7F7A">
        <w:rPr>
          <w:szCs w:val="24"/>
        </w:rPr>
        <w:t>nt</w:t>
      </w:r>
      <w:r w:rsidRPr="004D152E">
        <w:rPr>
          <w:szCs w:val="24"/>
        </w:rPr>
        <w:t xml:space="preserve"> d’elle durant sa période d’incarcération.  Elle confirme ce faisant </w:t>
      </w:r>
      <w:r w:rsidR="00056643" w:rsidRPr="004D152E">
        <w:rPr>
          <w:szCs w:val="24"/>
        </w:rPr>
        <w:t>ne plus vivre avec son conjoint de l’époque des événements ni le fréquenter :  « J’ai mis fin complètement à ça à cause de son alcoolémie », dit-elle.  Elle ajoute voir cependant ses filles régulièrement et ses petits-fils « à toutes les fins de semaine ».</w:t>
      </w:r>
    </w:p>
    <w:p w:rsidR="00056643" w:rsidRPr="004D152E" w:rsidRDefault="00A178C1" w:rsidP="009C7F7A">
      <w:pPr>
        <w:pStyle w:val="Paragraphe"/>
        <w:tabs>
          <w:tab w:val="clear" w:pos="900"/>
          <w:tab w:val="left" w:pos="708"/>
        </w:tabs>
        <w:spacing w:line="240" w:lineRule="auto"/>
        <w:ind w:left="0" w:right="-90"/>
        <w:rPr>
          <w:szCs w:val="24"/>
        </w:rPr>
      </w:pPr>
      <w:r w:rsidRPr="004D152E">
        <w:rPr>
          <w:szCs w:val="24"/>
        </w:rPr>
        <w:t>Elle indique</w:t>
      </w:r>
      <w:r w:rsidR="00E963A1" w:rsidRPr="004D152E">
        <w:rPr>
          <w:szCs w:val="24"/>
        </w:rPr>
        <w:t xml:space="preserve"> ne pas avoir consommé de drogue depuis plusieurs décennies sauf durant la période des événements a</w:t>
      </w:r>
      <w:r w:rsidR="004D152E">
        <w:rPr>
          <w:szCs w:val="24"/>
        </w:rPr>
        <w:t>u cœur de la présente affaire o</w:t>
      </w:r>
      <w:r w:rsidR="009C7F7A">
        <w:rPr>
          <w:szCs w:val="24"/>
        </w:rPr>
        <w:t>ù</w:t>
      </w:r>
      <w:r w:rsidR="00E963A1" w:rsidRPr="004D152E">
        <w:rPr>
          <w:szCs w:val="24"/>
        </w:rPr>
        <w:t xml:space="preserve"> « là, ça été facile ».  Elle admet avoir menti aux policiers à ce sujet lors de son arrestation car</w:t>
      </w:r>
      <w:r w:rsidR="004D152E">
        <w:rPr>
          <w:szCs w:val="24"/>
        </w:rPr>
        <w:t>,</w:t>
      </w:r>
      <w:r w:rsidR="00E963A1" w:rsidRPr="004D152E">
        <w:rPr>
          <w:szCs w:val="24"/>
        </w:rPr>
        <w:t xml:space="preserve"> dit-elle, « j’avais peur de dire que j’avais un problème de coca</w:t>
      </w:r>
      <w:r w:rsidR="00932DF6" w:rsidRPr="004D152E">
        <w:rPr>
          <w:szCs w:val="24"/>
        </w:rPr>
        <w:t>ï</w:t>
      </w:r>
      <w:r w:rsidR="00E963A1" w:rsidRPr="004D152E">
        <w:rPr>
          <w:szCs w:val="24"/>
        </w:rPr>
        <w:t>ne ».  Elle affirme ne plus avoir consommé depuis.</w:t>
      </w:r>
    </w:p>
    <w:p w:rsidR="00EF58CA" w:rsidRPr="004D152E" w:rsidRDefault="00A178C1" w:rsidP="009C7F7A">
      <w:pPr>
        <w:pStyle w:val="Paragraphe"/>
        <w:tabs>
          <w:tab w:val="clear" w:pos="900"/>
          <w:tab w:val="left" w:pos="708"/>
        </w:tabs>
        <w:spacing w:line="240" w:lineRule="auto"/>
        <w:ind w:left="0" w:right="-90"/>
        <w:rPr>
          <w:szCs w:val="24"/>
        </w:rPr>
      </w:pPr>
      <w:r w:rsidRPr="004D152E">
        <w:rPr>
          <w:szCs w:val="24"/>
        </w:rPr>
        <w:t>Finalement, elle confirme qu’elle avait décidé de mettre fin à son implication en matière de trafic de stupéfiants quelques jours avant son arrestation – rem</w:t>
      </w:r>
      <w:r w:rsidR="004D152E">
        <w:rPr>
          <w:szCs w:val="24"/>
        </w:rPr>
        <w:t xml:space="preserve">ettant le « cellulaire de la </w:t>
      </w:r>
      <w:r w:rsidR="004D152E" w:rsidRPr="00692A26">
        <w:rPr>
          <w:i/>
          <w:szCs w:val="24"/>
        </w:rPr>
        <w:t>ru</w:t>
      </w:r>
      <w:r w:rsidRPr="00692A26">
        <w:rPr>
          <w:i/>
          <w:szCs w:val="24"/>
        </w:rPr>
        <w:t>n</w:t>
      </w:r>
      <w:r w:rsidRPr="004D152E">
        <w:rPr>
          <w:szCs w:val="24"/>
        </w:rPr>
        <w:t> » à une tierce personne – et estime avoir coopéré le mieux qu’elle pouvait depuis lors.</w:t>
      </w:r>
    </w:p>
    <w:p w:rsidR="00E963A1" w:rsidRPr="004D152E" w:rsidRDefault="00A178C1" w:rsidP="009C7F7A">
      <w:pPr>
        <w:pStyle w:val="Paragraphe"/>
        <w:numPr>
          <w:ilvl w:val="0"/>
          <w:numId w:val="0"/>
        </w:numPr>
        <w:tabs>
          <w:tab w:val="left" w:pos="708"/>
        </w:tabs>
        <w:spacing w:line="240" w:lineRule="auto"/>
        <w:ind w:left="720" w:right="-90"/>
        <w:rPr>
          <w:b/>
          <w:szCs w:val="24"/>
          <w:u w:val="single"/>
        </w:rPr>
      </w:pPr>
      <w:r>
        <w:rPr>
          <w:b/>
          <w:szCs w:val="24"/>
          <w:u w:val="single"/>
        </w:rPr>
        <w:t>Les facteurs aggravants et atténuants</w:t>
      </w:r>
    </w:p>
    <w:p w:rsidR="00E963A1" w:rsidRPr="004D152E" w:rsidRDefault="00A178C1" w:rsidP="009C7F7A">
      <w:pPr>
        <w:pStyle w:val="Paragraphe"/>
        <w:tabs>
          <w:tab w:val="clear" w:pos="900"/>
          <w:tab w:val="left" w:pos="708"/>
        </w:tabs>
        <w:spacing w:line="240" w:lineRule="auto"/>
        <w:ind w:left="0" w:right="-90"/>
        <w:rPr>
          <w:szCs w:val="24"/>
        </w:rPr>
      </w:pPr>
      <w:r w:rsidRPr="004D152E">
        <w:rPr>
          <w:szCs w:val="24"/>
        </w:rPr>
        <w:t>Le Tribunal retient notamment les facteurs aggravants et atténuants suivants :</w:t>
      </w:r>
    </w:p>
    <w:p w:rsidR="00896DD8" w:rsidRPr="004D152E" w:rsidRDefault="00A178C1" w:rsidP="009C7F7A">
      <w:pPr>
        <w:pStyle w:val="Paragraphe"/>
        <w:tabs>
          <w:tab w:val="clear" w:pos="900"/>
          <w:tab w:val="left" w:pos="708"/>
        </w:tabs>
        <w:spacing w:line="240" w:lineRule="auto"/>
        <w:ind w:left="0" w:right="-90"/>
        <w:rPr>
          <w:szCs w:val="24"/>
        </w:rPr>
      </w:pPr>
      <w:r w:rsidRPr="004D152E">
        <w:rPr>
          <w:szCs w:val="24"/>
        </w:rPr>
        <w:t xml:space="preserve">Du côté des </w:t>
      </w:r>
      <w:r w:rsidRPr="004D152E">
        <w:rPr>
          <w:szCs w:val="24"/>
          <w:u w:val="single"/>
        </w:rPr>
        <w:t>facteurs aggravants</w:t>
      </w:r>
      <w:r w:rsidRPr="004D152E">
        <w:rPr>
          <w:szCs w:val="24"/>
        </w:rPr>
        <w:t> :</w:t>
      </w:r>
    </w:p>
    <w:p w:rsidR="00896DD8" w:rsidRPr="004D152E" w:rsidRDefault="00A178C1" w:rsidP="00DE53ED">
      <w:pPr>
        <w:pStyle w:val="Paragraphe"/>
        <w:numPr>
          <w:ilvl w:val="0"/>
          <w:numId w:val="3"/>
        </w:numPr>
        <w:tabs>
          <w:tab w:val="left" w:pos="708"/>
        </w:tabs>
        <w:spacing w:line="240" w:lineRule="auto"/>
        <w:ind w:right="-90"/>
        <w:rPr>
          <w:szCs w:val="24"/>
        </w:rPr>
      </w:pPr>
      <w:r>
        <w:rPr>
          <w:szCs w:val="24"/>
        </w:rPr>
        <w:t>l</w:t>
      </w:r>
      <w:r w:rsidRPr="004D152E">
        <w:rPr>
          <w:szCs w:val="24"/>
        </w:rPr>
        <w:t>a</w:t>
      </w:r>
      <w:r w:rsidR="004D152E">
        <w:rPr>
          <w:szCs w:val="24"/>
        </w:rPr>
        <w:t xml:space="preserve"> nature de la drogue trafiquée </w:t>
      </w:r>
      <w:r w:rsidR="004D152E" w:rsidRPr="004D152E">
        <w:rPr>
          <w:szCs w:val="24"/>
        </w:rPr>
        <w:t xml:space="preserve"> -</w:t>
      </w:r>
      <w:r w:rsidRPr="004D152E">
        <w:rPr>
          <w:szCs w:val="24"/>
        </w:rPr>
        <w:t xml:space="preserve"> de la coca</w:t>
      </w:r>
      <w:r w:rsidR="00932DF6" w:rsidRPr="004D152E">
        <w:rPr>
          <w:szCs w:val="24"/>
        </w:rPr>
        <w:t>ï</w:t>
      </w:r>
      <w:r w:rsidRPr="004D152E">
        <w:rPr>
          <w:szCs w:val="24"/>
        </w:rPr>
        <w:t>ne -, une drogue dure aux effets particulièrement néfastes;</w:t>
      </w:r>
    </w:p>
    <w:p w:rsidR="00896DD8" w:rsidRPr="004D152E" w:rsidRDefault="00A178C1" w:rsidP="00DE53ED">
      <w:pPr>
        <w:pStyle w:val="Paragraphe"/>
        <w:numPr>
          <w:ilvl w:val="0"/>
          <w:numId w:val="3"/>
        </w:numPr>
        <w:tabs>
          <w:tab w:val="left" w:pos="708"/>
        </w:tabs>
        <w:spacing w:line="240" w:lineRule="auto"/>
        <w:ind w:right="-90"/>
        <w:rPr>
          <w:szCs w:val="24"/>
        </w:rPr>
      </w:pPr>
      <w:r>
        <w:rPr>
          <w:szCs w:val="24"/>
        </w:rPr>
        <w:t>l</w:t>
      </w:r>
      <w:r w:rsidRPr="004D152E">
        <w:rPr>
          <w:szCs w:val="24"/>
        </w:rPr>
        <w:t>e nombre de transactions effectuées et les quantités de drogues trafiquées;</w:t>
      </w:r>
    </w:p>
    <w:p w:rsidR="00896DD8" w:rsidRPr="004D152E" w:rsidRDefault="00A178C1" w:rsidP="00DE53ED">
      <w:pPr>
        <w:pStyle w:val="Paragraphe"/>
        <w:numPr>
          <w:ilvl w:val="0"/>
          <w:numId w:val="3"/>
        </w:numPr>
        <w:tabs>
          <w:tab w:val="left" w:pos="708"/>
        </w:tabs>
        <w:spacing w:line="240" w:lineRule="auto"/>
        <w:ind w:right="-90"/>
        <w:rPr>
          <w:szCs w:val="24"/>
        </w:rPr>
      </w:pPr>
      <w:r>
        <w:rPr>
          <w:szCs w:val="24"/>
        </w:rPr>
        <w:t>l</w:t>
      </w:r>
      <w:r w:rsidR="00A440A6" w:rsidRPr="004D152E">
        <w:rPr>
          <w:szCs w:val="24"/>
        </w:rPr>
        <w:t>e fait que le tout s’inscrit dans le cadre d’une organisation structurée;</w:t>
      </w:r>
    </w:p>
    <w:p w:rsidR="00A440A6" w:rsidRPr="004D152E" w:rsidRDefault="00A178C1" w:rsidP="00DE53ED">
      <w:pPr>
        <w:pStyle w:val="Paragraphe"/>
        <w:numPr>
          <w:ilvl w:val="0"/>
          <w:numId w:val="3"/>
        </w:numPr>
        <w:tabs>
          <w:tab w:val="left" w:pos="708"/>
        </w:tabs>
        <w:spacing w:line="240" w:lineRule="auto"/>
        <w:ind w:right="-90"/>
        <w:rPr>
          <w:szCs w:val="24"/>
        </w:rPr>
      </w:pPr>
      <w:r>
        <w:rPr>
          <w:szCs w:val="24"/>
        </w:rPr>
        <w:t>l</w:t>
      </w:r>
      <w:r w:rsidRPr="004D152E">
        <w:rPr>
          <w:szCs w:val="24"/>
        </w:rPr>
        <w:t>e rôle passablement important de l’accusée au sein de l’organisation;</w:t>
      </w:r>
    </w:p>
    <w:p w:rsidR="00A440A6" w:rsidRPr="004D152E" w:rsidRDefault="00A178C1" w:rsidP="00DE53ED">
      <w:pPr>
        <w:pStyle w:val="Paragraphe"/>
        <w:numPr>
          <w:ilvl w:val="0"/>
          <w:numId w:val="3"/>
        </w:numPr>
        <w:tabs>
          <w:tab w:val="left" w:pos="708"/>
        </w:tabs>
        <w:spacing w:line="240" w:lineRule="auto"/>
        <w:ind w:right="-90"/>
        <w:rPr>
          <w:szCs w:val="24"/>
        </w:rPr>
      </w:pPr>
      <w:r>
        <w:rPr>
          <w:szCs w:val="24"/>
        </w:rPr>
        <w:t>l</w:t>
      </w:r>
      <w:r w:rsidRPr="004D152E">
        <w:rPr>
          <w:szCs w:val="24"/>
        </w:rPr>
        <w:t>a durée de l’implication de l’accusée au sein de l’organisation;</w:t>
      </w:r>
    </w:p>
    <w:p w:rsidR="00A440A6" w:rsidRPr="004D152E" w:rsidRDefault="00A178C1" w:rsidP="00DE53ED">
      <w:pPr>
        <w:pStyle w:val="Paragraphe"/>
        <w:numPr>
          <w:ilvl w:val="0"/>
          <w:numId w:val="3"/>
        </w:numPr>
        <w:tabs>
          <w:tab w:val="left" w:pos="708"/>
        </w:tabs>
        <w:spacing w:line="240" w:lineRule="auto"/>
        <w:ind w:right="-90"/>
        <w:rPr>
          <w:szCs w:val="24"/>
        </w:rPr>
      </w:pPr>
      <w:r>
        <w:rPr>
          <w:szCs w:val="24"/>
        </w:rPr>
        <w:t>l</w:t>
      </w:r>
      <w:r w:rsidRPr="004D152E">
        <w:rPr>
          <w:szCs w:val="24"/>
        </w:rPr>
        <w:t>e fait que le tout était prémédité, planifié;</w:t>
      </w:r>
    </w:p>
    <w:p w:rsidR="00A440A6" w:rsidRPr="004D152E" w:rsidRDefault="00A178C1" w:rsidP="00DE53ED">
      <w:pPr>
        <w:pStyle w:val="Paragraphe"/>
        <w:numPr>
          <w:ilvl w:val="0"/>
          <w:numId w:val="3"/>
        </w:numPr>
        <w:tabs>
          <w:tab w:val="left" w:pos="708"/>
        </w:tabs>
        <w:spacing w:line="240" w:lineRule="auto"/>
        <w:ind w:right="-90"/>
        <w:rPr>
          <w:szCs w:val="24"/>
        </w:rPr>
      </w:pPr>
      <w:r>
        <w:rPr>
          <w:szCs w:val="24"/>
        </w:rPr>
        <w:t>l</w:t>
      </w:r>
      <w:r w:rsidRPr="004D152E">
        <w:rPr>
          <w:szCs w:val="24"/>
        </w:rPr>
        <w:t>e fait que le tout était fait essentiellement par appât du gain.</w:t>
      </w:r>
    </w:p>
    <w:p w:rsidR="00A440A6" w:rsidRPr="004D152E" w:rsidRDefault="00A178C1" w:rsidP="009C7F7A">
      <w:pPr>
        <w:pStyle w:val="Paragraphe"/>
        <w:tabs>
          <w:tab w:val="clear" w:pos="900"/>
          <w:tab w:val="left" w:pos="708"/>
        </w:tabs>
        <w:spacing w:line="240" w:lineRule="auto"/>
        <w:ind w:left="0" w:right="-90"/>
        <w:rPr>
          <w:szCs w:val="24"/>
        </w:rPr>
      </w:pPr>
      <w:r w:rsidRPr="004D152E">
        <w:rPr>
          <w:szCs w:val="24"/>
        </w:rPr>
        <w:t xml:space="preserve">Du côté des </w:t>
      </w:r>
      <w:r w:rsidRPr="0065180C">
        <w:rPr>
          <w:szCs w:val="24"/>
          <w:u w:val="single"/>
        </w:rPr>
        <w:t>facteurs atténuant</w:t>
      </w:r>
      <w:r w:rsidR="00932DF6" w:rsidRPr="0065180C">
        <w:rPr>
          <w:szCs w:val="24"/>
          <w:u w:val="single"/>
        </w:rPr>
        <w:t>s</w:t>
      </w:r>
      <w:r w:rsidRPr="004D152E">
        <w:rPr>
          <w:szCs w:val="24"/>
        </w:rPr>
        <w:t> :</w:t>
      </w:r>
    </w:p>
    <w:p w:rsidR="00A440A6" w:rsidRPr="004D152E" w:rsidRDefault="00A178C1" w:rsidP="00DE53ED">
      <w:pPr>
        <w:pStyle w:val="Paragraphe"/>
        <w:numPr>
          <w:ilvl w:val="0"/>
          <w:numId w:val="3"/>
        </w:numPr>
        <w:tabs>
          <w:tab w:val="left" w:pos="708"/>
        </w:tabs>
        <w:spacing w:line="240" w:lineRule="auto"/>
        <w:ind w:right="-90"/>
        <w:rPr>
          <w:szCs w:val="24"/>
        </w:rPr>
      </w:pPr>
      <w:r>
        <w:rPr>
          <w:szCs w:val="24"/>
        </w:rPr>
        <w:t>l</w:t>
      </w:r>
      <w:r w:rsidRPr="004D152E">
        <w:rPr>
          <w:szCs w:val="24"/>
        </w:rPr>
        <w:t>’absence complète d’antécédents judiciaires;</w:t>
      </w:r>
    </w:p>
    <w:p w:rsidR="00A440A6" w:rsidRPr="004D152E" w:rsidRDefault="00A178C1" w:rsidP="00DE53ED">
      <w:pPr>
        <w:pStyle w:val="Paragraphe"/>
        <w:numPr>
          <w:ilvl w:val="0"/>
          <w:numId w:val="3"/>
        </w:numPr>
        <w:tabs>
          <w:tab w:val="left" w:pos="708"/>
        </w:tabs>
        <w:spacing w:line="240" w:lineRule="auto"/>
        <w:ind w:right="-90"/>
        <w:rPr>
          <w:szCs w:val="24"/>
        </w:rPr>
      </w:pPr>
      <w:r>
        <w:rPr>
          <w:szCs w:val="24"/>
        </w:rPr>
        <w:t>l</w:t>
      </w:r>
      <w:r w:rsidRPr="004D152E">
        <w:rPr>
          <w:szCs w:val="24"/>
        </w:rPr>
        <w:t>e plaidoyer de culpabilité</w:t>
      </w:r>
      <w:r>
        <w:rPr>
          <w:szCs w:val="24"/>
        </w:rPr>
        <w:t>,</w:t>
      </w:r>
      <w:r w:rsidRPr="004D152E">
        <w:rPr>
          <w:szCs w:val="24"/>
        </w:rPr>
        <w:t xml:space="preserve"> quoique celui-ci ait un poids moindre dans les circonstances du présent dossier;</w:t>
      </w:r>
    </w:p>
    <w:p w:rsidR="00A440A6" w:rsidRPr="004D152E" w:rsidRDefault="00A178C1" w:rsidP="00DE53ED">
      <w:pPr>
        <w:pStyle w:val="Paragraphe"/>
        <w:numPr>
          <w:ilvl w:val="0"/>
          <w:numId w:val="3"/>
        </w:numPr>
        <w:tabs>
          <w:tab w:val="left" w:pos="708"/>
        </w:tabs>
        <w:spacing w:line="240" w:lineRule="auto"/>
        <w:ind w:right="-90"/>
        <w:rPr>
          <w:szCs w:val="24"/>
        </w:rPr>
      </w:pPr>
      <w:r>
        <w:rPr>
          <w:szCs w:val="24"/>
        </w:rPr>
        <w:t>l</w:t>
      </w:r>
      <w:r w:rsidRPr="004D152E">
        <w:rPr>
          <w:szCs w:val="24"/>
        </w:rPr>
        <w:t>a reconnaissance par l’accusée de son entière responsabilité dans les gestes posés, selon l’agente de probation;</w:t>
      </w:r>
    </w:p>
    <w:p w:rsidR="00A440A6" w:rsidRPr="004D152E" w:rsidRDefault="00A178C1" w:rsidP="00DE53ED">
      <w:pPr>
        <w:pStyle w:val="Paragraphe"/>
        <w:numPr>
          <w:ilvl w:val="0"/>
          <w:numId w:val="3"/>
        </w:numPr>
        <w:tabs>
          <w:tab w:val="left" w:pos="708"/>
        </w:tabs>
        <w:spacing w:line="240" w:lineRule="auto"/>
        <w:ind w:right="-90"/>
        <w:rPr>
          <w:szCs w:val="24"/>
        </w:rPr>
      </w:pPr>
      <w:r>
        <w:rPr>
          <w:szCs w:val="24"/>
        </w:rPr>
        <w:t>l</w:t>
      </w:r>
      <w:r w:rsidRPr="004D152E">
        <w:rPr>
          <w:szCs w:val="24"/>
        </w:rPr>
        <w:t>es regrets exprimés par l’accusé, qualifiés de « sincères » par l’agente de probation;</w:t>
      </w:r>
    </w:p>
    <w:p w:rsidR="0065180C" w:rsidRDefault="00A178C1" w:rsidP="00DE53ED">
      <w:pPr>
        <w:pStyle w:val="Paragraphe"/>
        <w:numPr>
          <w:ilvl w:val="0"/>
          <w:numId w:val="3"/>
        </w:numPr>
        <w:tabs>
          <w:tab w:val="left" w:pos="708"/>
        </w:tabs>
        <w:spacing w:line="240" w:lineRule="auto"/>
        <w:ind w:right="-90"/>
        <w:rPr>
          <w:szCs w:val="24"/>
        </w:rPr>
      </w:pPr>
      <w:r>
        <w:rPr>
          <w:szCs w:val="24"/>
        </w:rPr>
        <w:t>l</w:t>
      </w:r>
      <w:r w:rsidR="00A440A6" w:rsidRPr="004D152E">
        <w:rPr>
          <w:szCs w:val="24"/>
        </w:rPr>
        <w:t>e fait que l’accusée est « généralement en mesure de bien fonctionner en société », selon l’agente de probation;</w:t>
      </w:r>
    </w:p>
    <w:p w:rsidR="00EC41A9" w:rsidRPr="0065180C" w:rsidRDefault="00A178C1" w:rsidP="00DE53ED">
      <w:pPr>
        <w:pStyle w:val="Paragraphe"/>
        <w:numPr>
          <w:ilvl w:val="0"/>
          <w:numId w:val="3"/>
        </w:numPr>
        <w:tabs>
          <w:tab w:val="left" w:pos="708"/>
        </w:tabs>
        <w:spacing w:line="240" w:lineRule="auto"/>
        <w:ind w:right="-90"/>
        <w:rPr>
          <w:szCs w:val="24"/>
        </w:rPr>
      </w:pPr>
      <w:r w:rsidRPr="0065180C">
        <w:rPr>
          <w:szCs w:val="24"/>
        </w:rPr>
        <w:t>l</w:t>
      </w:r>
      <w:r w:rsidR="00A440A6" w:rsidRPr="0065180C">
        <w:rPr>
          <w:szCs w:val="24"/>
        </w:rPr>
        <w:t>e risque de récidive « amoindri », selon l’agente de probation.</w:t>
      </w:r>
    </w:p>
    <w:p w:rsidR="0065180C" w:rsidRPr="004D152E" w:rsidRDefault="00A178C1" w:rsidP="009C7F7A">
      <w:pPr>
        <w:pStyle w:val="Paragraphe"/>
        <w:tabs>
          <w:tab w:val="clear" w:pos="900"/>
          <w:tab w:val="left" w:pos="708"/>
        </w:tabs>
        <w:spacing w:line="240" w:lineRule="auto"/>
        <w:ind w:left="0" w:right="-90"/>
        <w:rPr>
          <w:szCs w:val="24"/>
        </w:rPr>
      </w:pPr>
      <w:r>
        <w:rPr>
          <w:szCs w:val="24"/>
        </w:rPr>
        <w:t xml:space="preserve">Le Tribunal entend également tenir compte d’une détention provisoire équivalente à 9 jours dans le dossier 760-01-094558-191 et </w:t>
      </w:r>
      <w:r w:rsidR="006B075B">
        <w:rPr>
          <w:szCs w:val="24"/>
        </w:rPr>
        <w:t>d’</w:t>
      </w:r>
      <w:r>
        <w:rPr>
          <w:szCs w:val="24"/>
        </w:rPr>
        <w:t>une détention provisoire équivalente à 8 jours dans le dossier 760-01-102341-218.</w:t>
      </w:r>
    </w:p>
    <w:p w:rsidR="00EC41A9" w:rsidRPr="004D152E" w:rsidRDefault="00A178C1" w:rsidP="009C7F7A">
      <w:pPr>
        <w:pStyle w:val="Paragraphe"/>
        <w:numPr>
          <w:ilvl w:val="0"/>
          <w:numId w:val="0"/>
        </w:numPr>
        <w:tabs>
          <w:tab w:val="left" w:pos="708"/>
        </w:tabs>
        <w:spacing w:line="240" w:lineRule="auto"/>
        <w:ind w:right="-90"/>
        <w:rPr>
          <w:b/>
          <w:szCs w:val="24"/>
          <w:u w:val="single"/>
        </w:rPr>
      </w:pPr>
      <w:r w:rsidRPr="004D152E">
        <w:rPr>
          <w:szCs w:val="24"/>
        </w:rPr>
        <w:tab/>
      </w:r>
      <w:r w:rsidRPr="004D152E">
        <w:rPr>
          <w:b/>
          <w:szCs w:val="24"/>
          <w:u w:val="single"/>
        </w:rPr>
        <w:t>La fourchette des peines</w:t>
      </w:r>
    </w:p>
    <w:p w:rsidR="00EC41A9" w:rsidRDefault="00A178C1" w:rsidP="009C7F7A">
      <w:pPr>
        <w:pStyle w:val="Paragraphe"/>
        <w:tabs>
          <w:tab w:val="clear" w:pos="900"/>
          <w:tab w:val="left" w:pos="708"/>
        </w:tabs>
        <w:spacing w:line="240" w:lineRule="auto"/>
        <w:ind w:left="0" w:right="-90"/>
        <w:rPr>
          <w:b/>
          <w:u w:val="single"/>
        </w:rPr>
      </w:pPr>
      <w:r>
        <w:t>La Cour d’</w:t>
      </w:r>
      <w:r w:rsidR="00760B3F">
        <w:t>a</w:t>
      </w:r>
      <w:r>
        <w:t>ppel du Québec a maintes fois rappelé ces dernières années – notamment dans les arrêts Leblanc</w:t>
      </w:r>
      <w:r>
        <w:rPr>
          <w:rStyle w:val="Appelnotedebasdep"/>
        </w:rPr>
        <w:footnoteReference w:id="17"/>
      </w:r>
      <w:r>
        <w:t>, Stevens</w:t>
      </w:r>
      <w:r>
        <w:rPr>
          <w:rStyle w:val="Appelnotedebasdep"/>
        </w:rPr>
        <w:footnoteReference w:id="18"/>
      </w:r>
      <w:r>
        <w:t xml:space="preserve"> et Duhaime</w:t>
      </w:r>
      <w:r>
        <w:rPr>
          <w:rStyle w:val="Appelnotedebasdep"/>
        </w:rPr>
        <w:footnoteReference w:id="19"/>
      </w:r>
      <w:r>
        <w:t xml:space="preserve">  – qu’en matière de trafic et de possession en vue d’en faire le trafic de drogues dures, les peines vont de quelques mois d’emprisonnement à quatre ans de pénitencier.</w:t>
      </w:r>
    </w:p>
    <w:p w:rsidR="00EC41A9" w:rsidRDefault="00A178C1" w:rsidP="009C7F7A">
      <w:pPr>
        <w:pStyle w:val="Paragraphe"/>
        <w:tabs>
          <w:tab w:val="clear" w:pos="900"/>
          <w:tab w:val="left" w:pos="708"/>
        </w:tabs>
        <w:spacing w:line="240" w:lineRule="auto"/>
        <w:ind w:left="0" w:right="-90"/>
        <w:rPr>
          <w:b/>
          <w:u w:val="single"/>
        </w:rPr>
      </w:pPr>
      <w:r>
        <w:t>À l’intérieur de cette fourchette, les peines varient en fonction du poids accordé aux différents objectifs en matière de détermination de la peine et des principes applicables, notamment celui visant à adapter la peine selon les facteurs aggravants ou atténuants.</w:t>
      </w:r>
    </w:p>
    <w:p w:rsidR="00EC41A9" w:rsidRDefault="00A178C1" w:rsidP="009C7F7A">
      <w:pPr>
        <w:pStyle w:val="Paragraphe"/>
        <w:tabs>
          <w:tab w:val="clear" w:pos="900"/>
          <w:tab w:val="left" w:pos="708"/>
        </w:tabs>
        <w:spacing w:line="240" w:lineRule="auto"/>
        <w:ind w:left="0" w:right="-90"/>
        <w:rPr>
          <w:b/>
          <w:u w:val="single"/>
        </w:rPr>
      </w:pPr>
      <w:r>
        <w:t xml:space="preserve">Comme le dit la Cour </w:t>
      </w:r>
      <w:r w:rsidR="00760B3F">
        <w:t>s</w:t>
      </w:r>
      <w:r>
        <w:t>uprême dans l’arrêt Nasogaluak :</w:t>
      </w:r>
    </w:p>
    <w:p w:rsidR="00EC41A9" w:rsidRDefault="00A178C1" w:rsidP="009C7F7A">
      <w:pPr>
        <w:pStyle w:val="Citationenretrait"/>
        <w:ind w:right="630"/>
      </w:pPr>
      <w:r>
        <w:t xml:space="preserve">«(…) Sous réserve de certaines règles particulières prescrites par la loi, le prononcé d’une peine «juste» reste un processus individualisé, qui oblige le juge à soupeser les objectifs de détermination de la peine de façon à tenir compte le mieux possible des circonstances de l’affaire.  Aucun objectif de détermination de la </w:t>
      </w:r>
      <w:r w:rsidR="009C7F7A">
        <w:t xml:space="preserve">peine ne prime les autres.  Il </w:t>
      </w:r>
      <w:r>
        <w:t>appartient au juge qui prononce la sanction de déterminer s’il faut accorder plus de poids à un ou plusieurs objectifs compte tenu des faits de l’espèce.  La peine sera par la suite ajustée – à la hausse ou à la baisse – dans la fourchette des peines appropriées pour des infractions similaires, selon l’importance relative des circonstances atténuantes ou aggravantes s’il en est. (…)»</w:t>
      </w:r>
      <w:r>
        <w:rPr>
          <w:rStyle w:val="Appelnotedebasdep"/>
        </w:rPr>
        <w:footnoteReference w:id="20"/>
      </w:r>
    </w:p>
    <w:p w:rsidR="00EC41A9" w:rsidRPr="0065180C" w:rsidRDefault="00A178C1" w:rsidP="00EC41A9">
      <w:pPr>
        <w:pStyle w:val="Paragraphe"/>
        <w:numPr>
          <w:ilvl w:val="0"/>
          <w:numId w:val="0"/>
        </w:numPr>
        <w:tabs>
          <w:tab w:val="left" w:pos="708"/>
        </w:tabs>
        <w:spacing w:line="240" w:lineRule="auto"/>
        <w:rPr>
          <w:b/>
          <w:szCs w:val="24"/>
          <w:u w:val="single"/>
        </w:rPr>
      </w:pPr>
      <w:r w:rsidRPr="0065180C">
        <w:rPr>
          <w:b/>
          <w:szCs w:val="24"/>
        </w:rPr>
        <w:tab/>
      </w:r>
      <w:r w:rsidRPr="0065180C">
        <w:rPr>
          <w:b/>
          <w:szCs w:val="24"/>
          <w:u w:val="single"/>
        </w:rPr>
        <w:t>Les peines imp</w:t>
      </w:r>
      <w:r w:rsidR="001D529B" w:rsidRPr="0065180C">
        <w:rPr>
          <w:b/>
          <w:szCs w:val="24"/>
          <w:u w:val="single"/>
        </w:rPr>
        <w:t>o</w:t>
      </w:r>
      <w:r w:rsidRPr="0065180C">
        <w:rPr>
          <w:b/>
          <w:szCs w:val="24"/>
          <w:u w:val="single"/>
        </w:rPr>
        <w:t>sées aux autres accusés</w:t>
      </w:r>
    </w:p>
    <w:p w:rsidR="00EC41A9" w:rsidRPr="0065180C" w:rsidRDefault="00A178C1" w:rsidP="009C7F7A">
      <w:pPr>
        <w:pStyle w:val="Paragraphe"/>
        <w:tabs>
          <w:tab w:val="clear" w:pos="900"/>
          <w:tab w:val="left" w:pos="708"/>
        </w:tabs>
        <w:spacing w:line="240" w:lineRule="auto"/>
        <w:ind w:left="0" w:right="-90"/>
        <w:rPr>
          <w:b/>
          <w:szCs w:val="24"/>
          <w:u w:val="single"/>
        </w:rPr>
      </w:pPr>
      <w:r w:rsidRPr="0065180C">
        <w:rPr>
          <w:szCs w:val="24"/>
        </w:rPr>
        <w:t>Une dizaine de personnes ayant fait l’objet d’accusations criminelles en lien avec la présente affaire ont plaidé coupable</w:t>
      </w:r>
      <w:r w:rsidR="00760B3F" w:rsidRPr="0065180C">
        <w:rPr>
          <w:szCs w:val="24"/>
        </w:rPr>
        <w:t>s</w:t>
      </w:r>
      <w:r w:rsidR="0065180C">
        <w:rPr>
          <w:szCs w:val="24"/>
        </w:rPr>
        <w:t xml:space="preserve"> au cours de la dernièr</w:t>
      </w:r>
      <w:r w:rsidRPr="0065180C">
        <w:rPr>
          <w:szCs w:val="24"/>
        </w:rPr>
        <w:t>e année et demie.</w:t>
      </w:r>
    </w:p>
    <w:p w:rsidR="00EC41A9" w:rsidRPr="0065180C" w:rsidRDefault="00A178C1" w:rsidP="009C7F7A">
      <w:pPr>
        <w:pStyle w:val="Paragraphe"/>
        <w:tabs>
          <w:tab w:val="clear" w:pos="900"/>
          <w:tab w:val="left" w:pos="708"/>
        </w:tabs>
        <w:spacing w:line="240" w:lineRule="auto"/>
        <w:ind w:left="0" w:right="-90"/>
        <w:rPr>
          <w:b/>
          <w:szCs w:val="24"/>
          <w:u w:val="single"/>
        </w:rPr>
      </w:pPr>
      <w:r w:rsidRPr="0065180C">
        <w:rPr>
          <w:szCs w:val="24"/>
        </w:rPr>
        <w:t>Tous furent condamnés à des peines d’emprisonnement variant entre 50 jours et 9 mois d’emprisonnement.</w:t>
      </w:r>
      <w:r>
        <w:rPr>
          <w:rStyle w:val="Appelnotedebasdep"/>
          <w:szCs w:val="24"/>
        </w:rPr>
        <w:footnoteReference w:id="21"/>
      </w:r>
      <w:r w:rsidRPr="0065180C">
        <w:rPr>
          <w:szCs w:val="24"/>
        </w:rPr>
        <w:t xml:space="preserve">  Plusieurs de ces peines – les plus courtes – étaient complétées par une ordonnance de probation incluant l’obligation d’effectuer entre 100 et 180 heures de service communautaire.  Au surplus, certains accusés avaient effectué une thérapie interne de plusieurs mois en matière de toxicomanie après leur arrestation, thérapie qui fut considérée au moment d’imposer la peine.</w:t>
      </w:r>
    </w:p>
    <w:p w:rsidR="00EC41A9" w:rsidRPr="0065180C" w:rsidRDefault="00A178C1" w:rsidP="009C7F7A">
      <w:pPr>
        <w:pStyle w:val="Paragraphe"/>
        <w:tabs>
          <w:tab w:val="clear" w:pos="900"/>
          <w:tab w:val="left" w:pos="708"/>
        </w:tabs>
        <w:spacing w:line="240" w:lineRule="auto"/>
        <w:ind w:left="0" w:right="-90"/>
        <w:rPr>
          <w:b/>
          <w:szCs w:val="24"/>
          <w:u w:val="single"/>
        </w:rPr>
      </w:pPr>
      <w:r w:rsidRPr="0065180C">
        <w:rPr>
          <w:szCs w:val="24"/>
        </w:rPr>
        <w:t>Cela rappelé, il est cependant bien difficile de faire un parallèle ent</w:t>
      </w:r>
      <w:r w:rsidR="006B075B">
        <w:rPr>
          <w:szCs w:val="24"/>
        </w:rPr>
        <w:t xml:space="preserve">re ces diverses peines </w:t>
      </w:r>
      <w:r w:rsidRPr="0065180C">
        <w:rPr>
          <w:szCs w:val="24"/>
        </w:rPr>
        <w:t>et la peine devant être ici imposée.  Le rôle joué par la dizaine de personnes ayant reçu sentence depuis un an et demi était en effet assurément bien moindre que celui rempli par l’accusée en l’espèce.  En fait, tous étaien</w:t>
      </w:r>
      <w:r w:rsidR="0065180C">
        <w:rPr>
          <w:szCs w:val="24"/>
        </w:rPr>
        <w:t>t essentiellement des coursiers</w:t>
      </w:r>
      <w:r w:rsidRPr="0065180C">
        <w:rPr>
          <w:szCs w:val="24"/>
        </w:rPr>
        <w:t>/vendeurs e</w:t>
      </w:r>
      <w:r w:rsidR="006B075B">
        <w:rPr>
          <w:szCs w:val="24"/>
        </w:rPr>
        <w:t>t certains d’entre eux n’avaient été</w:t>
      </w:r>
      <w:r w:rsidRPr="0065180C">
        <w:rPr>
          <w:szCs w:val="24"/>
        </w:rPr>
        <w:t xml:space="preserve"> impliqués dans la vente de co</w:t>
      </w:r>
      <w:r w:rsidR="00760B3F" w:rsidRPr="0065180C">
        <w:rPr>
          <w:szCs w:val="24"/>
        </w:rPr>
        <w:t>caï</w:t>
      </w:r>
      <w:r w:rsidRPr="0065180C">
        <w:rPr>
          <w:szCs w:val="24"/>
        </w:rPr>
        <w:t>ne que sur une courte période</w:t>
      </w:r>
      <w:r w:rsidR="0065180C">
        <w:rPr>
          <w:szCs w:val="24"/>
        </w:rPr>
        <w:t xml:space="preserve"> de temps</w:t>
      </w:r>
      <w:r w:rsidRPr="0065180C">
        <w:rPr>
          <w:szCs w:val="24"/>
        </w:rPr>
        <w:t>.</w:t>
      </w:r>
    </w:p>
    <w:p w:rsidR="001D529B" w:rsidRPr="0065180C" w:rsidRDefault="00A178C1" w:rsidP="009C7F7A">
      <w:pPr>
        <w:pStyle w:val="Paragraphe"/>
        <w:numPr>
          <w:ilvl w:val="0"/>
          <w:numId w:val="0"/>
        </w:numPr>
        <w:tabs>
          <w:tab w:val="left" w:pos="708"/>
        </w:tabs>
        <w:spacing w:line="240" w:lineRule="auto"/>
        <w:ind w:right="-90"/>
        <w:rPr>
          <w:b/>
          <w:szCs w:val="24"/>
          <w:u w:val="single"/>
        </w:rPr>
      </w:pPr>
      <w:r w:rsidRPr="0065180C">
        <w:rPr>
          <w:szCs w:val="24"/>
        </w:rPr>
        <w:tab/>
      </w:r>
      <w:r w:rsidRPr="0065180C">
        <w:rPr>
          <w:b/>
          <w:szCs w:val="24"/>
          <w:u w:val="single"/>
        </w:rPr>
        <w:t>La peine juste et appropriée</w:t>
      </w:r>
    </w:p>
    <w:p w:rsidR="003205D9" w:rsidRPr="0065180C" w:rsidRDefault="00A178C1" w:rsidP="009C7F7A">
      <w:pPr>
        <w:pStyle w:val="Paragraphe"/>
        <w:tabs>
          <w:tab w:val="clear" w:pos="900"/>
        </w:tabs>
        <w:spacing w:line="240" w:lineRule="auto"/>
        <w:ind w:left="0" w:right="-90"/>
        <w:rPr>
          <w:szCs w:val="24"/>
        </w:rPr>
      </w:pPr>
      <w:r w:rsidRPr="0065180C">
        <w:rPr>
          <w:szCs w:val="24"/>
        </w:rPr>
        <w:t>Ayant à l’esprit les objectifs et principes applicables et après avoir considéré l’ensemble de la preuve présentée devant lui, le Tribunal en vient à la conclusion qu’une peine</w:t>
      </w:r>
      <w:r w:rsidR="006B075B">
        <w:rPr>
          <w:szCs w:val="24"/>
        </w:rPr>
        <w:t xml:space="preserve"> d’emprisonnement d’une</w:t>
      </w:r>
      <w:r w:rsidRPr="0065180C">
        <w:rPr>
          <w:szCs w:val="24"/>
        </w:rPr>
        <w:t xml:space="preserve"> importance</w:t>
      </w:r>
      <w:r w:rsidR="006B075B">
        <w:rPr>
          <w:szCs w:val="24"/>
        </w:rPr>
        <w:t xml:space="preserve"> certaine</w:t>
      </w:r>
      <w:r w:rsidRPr="0065180C">
        <w:rPr>
          <w:szCs w:val="24"/>
        </w:rPr>
        <w:t xml:space="preserve"> s’impose en l’espèce.</w:t>
      </w:r>
    </w:p>
    <w:p w:rsidR="002033B6" w:rsidRPr="0065180C" w:rsidRDefault="00A178C1" w:rsidP="009C7F7A">
      <w:pPr>
        <w:pStyle w:val="Paragraphe"/>
        <w:tabs>
          <w:tab w:val="clear" w:pos="900"/>
        </w:tabs>
        <w:spacing w:line="240" w:lineRule="auto"/>
        <w:ind w:left="0" w:right="-90"/>
        <w:rPr>
          <w:szCs w:val="24"/>
        </w:rPr>
      </w:pPr>
      <w:r w:rsidRPr="0065180C">
        <w:rPr>
          <w:szCs w:val="24"/>
        </w:rPr>
        <w:t>Les objectifs de dénonciation et de dissuasion, individuelle mais aussi collective, doivent en effet primer dans les circonstances du présent dossier.</w:t>
      </w:r>
    </w:p>
    <w:p w:rsidR="001D529B" w:rsidRPr="0065180C" w:rsidRDefault="00A178C1" w:rsidP="009C7F7A">
      <w:pPr>
        <w:pStyle w:val="Paragraphe"/>
        <w:tabs>
          <w:tab w:val="clear" w:pos="900"/>
          <w:tab w:val="left" w:pos="708"/>
        </w:tabs>
        <w:spacing w:line="240" w:lineRule="auto"/>
        <w:ind w:left="0" w:right="-90"/>
        <w:rPr>
          <w:b/>
          <w:szCs w:val="24"/>
          <w:u w:val="single"/>
        </w:rPr>
      </w:pPr>
      <w:r w:rsidRPr="0065180C">
        <w:rPr>
          <w:szCs w:val="24"/>
        </w:rPr>
        <w:t>On parle en effet ici de trafic de drogues dures sur une période de temps importante, le tout étant effe</w:t>
      </w:r>
      <w:r w:rsidR="006B075B">
        <w:rPr>
          <w:szCs w:val="24"/>
        </w:rPr>
        <w:t>ctué d’une manière planifiée par un groupe organisé.  Surtout</w:t>
      </w:r>
      <w:r w:rsidRPr="0065180C">
        <w:rPr>
          <w:szCs w:val="24"/>
        </w:rPr>
        <w:t>, l’accusée jouait un rôle passablement important dans cette organisation.</w:t>
      </w:r>
      <w:r w:rsidR="006B075B">
        <w:rPr>
          <w:szCs w:val="24"/>
        </w:rPr>
        <w:t xml:space="preserve">  En fait, un rôle-clé.</w:t>
      </w:r>
    </w:p>
    <w:p w:rsidR="002033B6" w:rsidRPr="0065180C" w:rsidRDefault="00A178C1" w:rsidP="009C7F7A">
      <w:pPr>
        <w:pStyle w:val="Paragraphe"/>
        <w:tabs>
          <w:tab w:val="clear" w:pos="900"/>
          <w:tab w:val="left" w:pos="708"/>
        </w:tabs>
        <w:spacing w:line="240" w:lineRule="auto"/>
        <w:ind w:left="0" w:right="-90"/>
        <w:rPr>
          <w:b/>
          <w:szCs w:val="24"/>
          <w:u w:val="single"/>
        </w:rPr>
      </w:pPr>
      <w:r w:rsidRPr="0065180C">
        <w:rPr>
          <w:szCs w:val="24"/>
        </w:rPr>
        <w:t>Cela dit, vu notamment l’absence complète d’antécédents judiciaires et certains éléments mis en preuve, l’objectif de réhabilitation doit aussi être apprécié et considéré d’une manière non</w:t>
      </w:r>
      <w:r w:rsidR="00760B3F" w:rsidRPr="0065180C">
        <w:rPr>
          <w:szCs w:val="24"/>
        </w:rPr>
        <w:t xml:space="preserve"> </w:t>
      </w:r>
      <w:r w:rsidRPr="0065180C">
        <w:rPr>
          <w:szCs w:val="24"/>
        </w:rPr>
        <w:t>négligeable même si on n’est</w:t>
      </w:r>
      <w:r w:rsidR="00A56B22">
        <w:rPr>
          <w:szCs w:val="24"/>
        </w:rPr>
        <w:t xml:space="preserve"> pas ici en présence d’un cas où</w:t>
      </w:r>
      <w:r w:rsidRPr="0065180C">
        <w:rPr>
          <w:szCs w:val="24"/>
        </w:rPr>
        <w:t xml:space="preserve"> cet objectif pourrait deveni</w:t>
      </w:r>
      <w:r w:rsidR="0065180C">
        <w:rPr>
          <w:szCs w:val="24"/>
        </w:rPr>
        <w:t>r pré</w:t>
      </w:r>
      <w:r w:rsidR="009C7F7A">
        <w:rPr>
          <w:szCs w:val="24"/>
        </w:rPr>
        <w:t>é</w:t>
      </w:r>
      <w:r w:rsidR="0065180C">
        <w:rPr>
          <w:szCs w:val="24"/>
        </w:rPr>
        <w:t>min</w:t>
      </w:r>
      <w:r w:rsidR="009C7F7A">
        <w:rPr>
          <w:szCs w:val="24"/>
        </w:rPr>
        <w:t>e</w:t>
      </w:r>
      <w:r w:rsidRPr="0065180C">
        <w:rPr>
          <w:szCs w:val="24"/>
        </w:rPr>
        <w:t>nt en raison d’une démonstration particulièrement convaincante de réhabilitation.</w:t>
      </w:r>
    </w:p>
    <w:p w:rsidR="002033B6" w:rsidRPr="006B075B" w:rsidRDefault="00A178C1" w:rsidP="009C7F7A">
      <w:pPr>
        <w:pStyle w:val="Paragraphe"/>
        <w:tabs>
          <w:tab w:val="clear" w:pos="900"/>
          <w:tab w:val="left" w:pos="708"/>
        </w:tabs>
        <w:spacing w:line="240" w:lineRule="auto"/>
        <w:ind w:left="0" w:right="-90"/>
        <w:rPr>
          <w:b/>
          <w:szCs w:val="24"/>
          <w:u w:val="single"/>
        </w:rPr>
      </w:pPr>
      <w:r w:rsidRPr="0065180C">
        <w:rPr>
          <w:szCs w:val="24"/>
        </w:rPr>
        <w:t xml:space="preserve">Dans le présent dossier, il ne faut également pas perdre de vue que </w:t>
      </w:r>
      <w:r w:rsidR="0065180C">
        <w:rPr>
          <w:szCs w:val="24"/>
        </w:rPr>
        <w:t>les facteurs aggravants -</w:t>
      </w:r>
      <w:r w:rsidRPr="0065180C">
        <w:rPr>
          <w:szCs w:val="24"/>
        </w:rPr>
        <w:t xml:space="preserve"> nombreux et important</w:t>
      </w:r>
      <w:r w:rsidR="00760B3F" w:rsidRPr="0065180C">
        <w:rPr>
          <w:szCs w:val="24"/>
        </w:rPr>
        <w:t>s</w:t>
      </w:r>
      <w:r w:rsidR="0065180C">
        <w:rPr>
          <w:szCs w:val="24"/>
        </w:rPr>
        <w:t xml:space="preserve"> -  l’emporte</w:t>
      </w:r>
      <w:r w:rsidRPr="0065180C">
        <w:rPr>
          <w:szCs w:val="24"/>
        </w:rPr>
        <w:t>nt sur les facteurs atténuants.</w:t>
      </w:r>
    </w:p>
    <w:p w:rsidR="006B075B" w:rsidRPr="006B075B" w:rsidRDefault="00A178C1" w:rsidP="009C7F7A">
      <w:pPr>
        <w:pStyle w:val="Paragraphe"/>
        <w:tabs>
          <w:tab w:val="clear" w:pos="900"/>
          <w:tab w:val="left" w:pos="708"/>
        </w:tabs>
        <w:spacing w:line="240" w:lineRule="auto"/>
        <w:ind w:left="0" w:right="-90"/>
        <w:rPr>
          <w:b/>
          <w:szCs w:val="24"/>
          <w:u w:val="single"/>
        </w:rPr>
      </w:pPr>
      <w:r>
        <w:rPr>
          <w:szCs w:val="24"/>
        </w:rPr>
        <w:t>Tout cela considéré, le Tribunal entend donc imposer une peine d’emprisonne</w:t>
      </w:r>
      <w:r w:rsidR="00A56B22">
        <w:rPr>
          <w:szCs w:val="24"/>
        </w:rPr>
        <w:t>ment</w:t>
      </w:r>
      <w:r>
        <w:rPr>
          <w:szCs w:val="24"/>
        </w:rPr>
        <w:t xml:space="preserve"> se rapprochant davantage de la suggestion de la poursuite que de la suggestion de la défense.  Cette peine d’emprisonnement sera d’une durée un peu moindre que celle initia</w:t>
      </w:r>
      <w:r w:rsidR="00A56B22">
        <w:rPr>
          <w:szCs w:val="24"/>
        </w:rPr>
        <w:t>lement envisagée mais sera par contre</w:t>
      </w:r>
      <w:r>
        <w:rPr>
          <w:szCs w:val="24"/>
        </w:rPr>
        <w:t xml:space="preserve"> accompagné</w:t>
      </w:r>
      <w:r w:rsidR="00A56B22">
        <w:rPr>
          <w:szCs w:val="24"/>
        </w:rPr>
        <w:t>e</w:t>
      </w:r>
      <w:r>
        <w:rPr>
          <w:szCs w:val="24"/>
        </w:rPr>
        <w:t xml:space="preserve"> d’une ordonnance de probation incluant notamment un suivi probatoire et l’obligation d’effectuer un certain nombre d’heures de travaux communautaires, le tout permettant de prendre en compte concrètement tant l’objectif de réhabilitation que l’objectif de réparation des torts causés à la collectivité.</w:t>
      </w:r>
    </w:p>
    <w:p w:rsidR="006B075B" w:rsidRDefault="006B075B" w:rsidP="009C7F7A">
      <w:pPr>
        <w:pStyle w:val="Paragraphe"/>
        <w:numPr>
          <w:ilvl w:val="0"/>
          <w:numId w:val="0"/>
        </w:numPr>
        <w:tabs>
          <w:tab w:val="left" w:pos="708"/>
        </w:tabs>
        <w:spacing w:line="240" w:lineRule="auto"/>
        <w:ind w:right="-90"/>
        <w:rPr>
          <w:b/>
          <w:szCs w:val="24"/>
        </w:rPr>
      </w:pPr>
    </w:p>
    <w:p w:rsidR="00EF58CA" w:rsidRDefault="00A178C1" w:rsidP="009C7F7A">
      <w:pPr>
        <w:pStyle w:val="Paragraphe"/>
        <w:numPr>
          <w:ilvl w:val="0"/>
          <w:numId w:val="0"/>
        </w:numPr>
        <w:tabs>
          <w:tab w:val="left" w:pos="708"/>
        </w:tabs>
        <w:spacing w:line="240" w:lineRule="auto"/>
        <w:ind w:right="-90"/>
        <w:rPr>
          <w:b/>
          <w:szCs w:val="24"/>
        </w:rPr>
      </w:pPr>
      <w:r w:rsidRPr="009017F6">
        <w:rPr>
          <w:b/>
          <w:szCs w:val="24"/>
        </w:rPr>
        <w:t>POUR CES MOTIFS, LE TRIBUNAL :</w:t>
      </w:r>
    </w:p>
    <w:p w:rsidR="0065180C" w:rsidRDefault="0065180C" w:rsidP="009C7F7A">
      <w:pPr>
        <w:pStyle w:val="Paragraphe"/>
        <w:numPr>
          <w:ilvl w:val="0"/>
          <w:numId w:val="0"/>
        </w:numPr>
        <w:tabs>
          <w:tab w:val="left" w:pos="708"/>
        </w:tabs>
        <w:spacing w:line="240" w:lineRule="auto"/>
        <w:ind w:right="-90"/>
        <w:rPr>
          <w:b/>
          <w:szCs w:val="24"/>
          <w:u w:val="single"/>
        </w:rPr>
      </w:pPr>
    </w:p>
    <w:p w:rsidR="003205D9" w:rsidRDefault="00A178C1" w:rsidP="009C7F7A">
      <w:pPr>
        <w:pStyle w:val="Paragraphe"/>
        <w:numPr>
          <w:ilvl w:val="0"/>
          <w:numId w:val="0"/>
        </w:numPr>
        <w:tabs>
          <w:tab w:val="left" w:pos="708"/>
        </w:tabs>
        <w:spacing w:line="240" w:lineRule="auto"/>
        <w:ind w:right="-90"/>
        <w:rPr>
          <w:b/>
          <w:szCs w:val="24"/>
          <w:u w:val="single"/>
        </w:rPr>
      </w:pPr>
      <w:r w:rsidRPr="00CB0D2C">
        <w:rPr>
          <w:b/>
          <w:szCs w:val="24"/>
          <w:u w:val="single"/>
        </w:rPr>
        <w:t>Dans le dossier 760-01-094558-191</w:t>
      </w:r>
    </w:p>
    <w:p w:rsidR="007A37F5" w:rsidRDefault="00A178C1" w:rsidP="009C7F7A">
      <w:pPr>
        <w:pStyle w:val="Paragraphe"/>
        <w:tabs>
          <w:tab w:val="clear" w:pos="900"/>
          <w:tab w:val="left" w:pos="708"/>
        </w:tabs>
        <w:spacing w:line="240" w:lineRule="auto"/>
        <w:ind w:left="0" w:right="-90"/>
        <w:rPr>
          <w:szCs w:val="24"/>
        </w:rPr>
      </w:pPr>
      <w:r w:rsidRPr="001A6EE0">
        <w:rPr>
          <w:b/>
          <w:szCs w:val="24"/>
        </w:rPr>
        <w:t>CONDAMNE</w:t>
      </w:r>
      <w:r w:rsidRPr="001A6EE0">
        <w:rPr>
          <w:szCs w:val="24"/>
        </w:rPr>
        <w:t xml:space="preserve"> </w:t>
      </w:r>
      <w:r w:rsidR="006B075B">
        <w:rPr>
          <w:szCs w:val="24"/>
        </w:rPr>
        <w:t xml:space="preserve">l’accusée à 18 mois </w:t>
      </w:r>
      <w:r w:rsidR="003205D9">
        <w:rPr>
          <w:szCs w:val="24"/>
        </w:rPr>
        <w:t>d’emprisonnement sur chaque chef;</w:t>
      </w:r>
      <w:r w:rsidR="006B075B">
        <w:rPr>
          <w:szCs w:val="24"/>
        </w:rPr>
        <w:t xml:space="preserve"> </w:t>
      </w:r>
    </w:p>
    <w:p w:rsidR="001A6EE0" w:rsidRDefault="00A178C1" w:rsidP="007A37F5">
      <w:pPr>
        <w:pStyle w:val="Paragraphe"/>
        <w:numPr>
          <w:ilvl w:val="0"/>
          <w:numId w:val="0"/>
        </w:numPr>
        <w:tabs>
          <w:tab w:val="left" w:pos="708"/>
        </w:tabs>
        <w:spacing w:line="240" w:lineRule="auto"/>
        <w:ind w:left="720" w:right="-90"/>
        <w:rPr>
          <w:szCs w:val="24"/>
        </w:rPr>
      </w:pPr>
      <w:r>
        <w:rPr>
          <w:szCs w:val="24"/>
        </w:rPr>
        <w:t>(vu la détention provisoire accordée de 9 jours, la peine à compter d’aujourd’h</w:t>
      </w:r>
      <w:r w:rsidR="00A56B22">
        <w:rPr>
          <w:szCs w:val="24"/>
        </w:rPr>
        <w:t>ui sera de 17 mois et 21 jours)</w:t>
      </w:r>
    </w:p>
    <w:p w:rsidR="009645F6" w:rsidRDefault="00A178C1" w:rsidP="009C7F7A">
      <w:pPr>
        <w:pStyle w:val="Paragraphe"/>
        <w:tabs>
          <w:tab w:val="clear" w:pos="900"/>
          <w:tab w:val="left" w:pos="708"/>
        </w:tabs>
        <w:spacing w:line="240" w:lineRule="auto"/>
        <w:ind w:left="0" w:right="-90"/>
        <w:rPr>
          <w:szCs w:val="24"/>
        </w:rPr>
      </w:pPr>
      <w:r w:rsidRPr="001A6EE0">
        <w:rPr>
          <w:b/>
          <w:szCs w:val="24"/>
        </w:rPr>
        <w:t>ORDONNE</w:t>
      </w:r>
      <w:r w:rsidR="003205D9">
        <w:rPr>
          <w:b/>
          <w:szCs w:val="24"/>
        </w:rPr>
        <w:t xml:space="preserve"> </w:t>
      </w:r>
      <w:r w:rsidR="003205D9">
        <w:rPr>
          <w:szCs w:val="24"/>
        </w:rPr>
        <w:t>que l’accusée soit soumis</w:t>
      </w:r>
      <w:r w:rsidR="00760B3F">
        <w:rPr>
          <w:szCs w:val="24"/>
        </w:rPr>
        <w:t>e</w:t>
      </w:r>
      <w:r w:rsidR="003205D9">
        <w:rPr>
          <w:szCs w:val="24"/>
        </w:rPr>
        <w:t xml:space="preserve"> à une ordonnance de probation d’une durée de deux ans, aux condition</w:t>
      </w:r>
      <w:r w:rsidR="00760B3F">
        <w:rPr>
          <w:szCs w:val="24"/>
        </w:rPr>
        <w:t>s</w:t>
      </w:r>
      <w:r w:rsidR="003205D9">
        <w:rPr>
          <w:szCs w:val="24"/>
        </w:rPr>
        <w:t xml:space="preserve"> obligatoires prévues à l’article 732.1 (2) du Code criminel et aux condition</w:t>
      </w:r>
      <w:r w:rsidR="00760B3F">
        <w:rPr>
          <w:szCs w:val="24"/>
        </w:rPr>
        <w:t>s</w:t>
      </w:r>
      <w:r w:rsidR="003205D9">
        <w:rPr>
          <w:szCs w:val="24"/>
        </w:rPr>
        <w:t xml:space="preserve"> particulières suivantes :</w:t>
      </w:r>
    </w:p>
    <w:p w:rsidR="003205D9" w:rsidRDefault="00A178C1" w:rsidP="00DE53ED">
      <w:pPr>
        <w:pStyle w:val="Paragraphe"/>
        <w:numPr>
          <w:ilvl w:val="0"/>
          <w:numId w:val="4"/>
        </w:numPr>
        <w:tabs>
          <w:tab w:val="left" w:pos="708"/>
        </w:tabs>
        <w:spacing w:line="240" w:lineRule="auto"/>
        <w:ind w:left="720" w:right="-90"/>
        <w:rPr>
          <w:szCs w:val="24"/>
        </w:rPr>
      </w:pPr>
      <w:r>
        <w:rPr>
          <w:szCs w:val="24"/>
        </w:rPr>
        <w:t>Se présenter à un agent de probation dans les sept jours suivant l’entrée en vigueur de l’ordonnance de probation et, par la suite, selon les modalités de temps et de forme fixées par l’agent de probation et ce</w:t>
      </w:r>
      <w:r w:rsidR="009C7F7A">
        <w:rPr>
          <w:szCs w:val="24"/>
        </w:rPr>
        <w:t>,</w:t>
      </w:r>
      <w:r>
        <w:rPr>
          <w:szCs w:val="24"/>
        </w:rPr>
        <w:t xml:space="preserve"> pour un an;</w:t>
      </w:r>
    </w:p>
    <w:p w:rsidR="00772CEE" w:rsidRDefault="00A178C1" w:rsidP="00DE53ED">
      <w:pPr>
        <w:pStyle w:val="Paragraphe"/>
        <w:numPr>
          <w:ilvl w:val="0"/>
          <w:numId w:val="4"/>
        </w:numPr>
        <w:tabs>
          <w:tab w:val="left" w:pos="708"/>
        </w:tabs>
        <w:spacing w:line="240" w:lineRule="auto"/>
        <w:ind w:left="720" w:right="-90"/>
        <w:rPr>
          <w:szCs w:val="24"/>
        </w:rPr>
      </w:pPr>
      <w:r>
        <w:rPr>
          <w:szCs w:val="24"/>
        </w:rPr>
        <w:t>Suivre toutes les directives de l’agent de probation;</w:t>
      </w:r>
    </w:p>
    <w:p w:rsidR="00772CEE" w:rsidRDefault="00A178C1" w:rsidP="00DE53ED">
      <w:pPr>
        <w:pStyle w:val="Paragraphe"/>
        <w:numPr>
          <w:ilvl w:val="0"/>
          <w:numId w:val="4"/>
        </w:numPr>
        <w:tabs>
          <w:tab w:val="left" w:pos="708"/>
        </w:tabs>
        <w:spacing w:line="240" w:lineRule="auto"/>
        <w:ind w:left="720" w:right="-90"/>
        <w:rPr>
          <w:szCs w:val="24"/>
        </w:rPr>
      </w:pPr>
      <w:r>
        <w:rPr>
          <w:szCs w:val="24"/>
        </w:rPr>
        <w:t>Effectuer 120 heures de service communautaire dans un délai d’un an et respecter les modalités d’exécution indiquées  par un agent de probation ou tout autre intervenant désigné par celui-ci;</w:t>
      </w:r>
    </w:p>
    <w:p w:rsidR="00772CEE" w:rsidRDefault="00A178C1" w:rsidP="00DE53ED">
      <w:pPr>
        <w:pStyle w:val="Paragraphe"/>
        <w:numPr>
          <w:ilvl w:val="0"/>
          <w:numId w:val="4"/>
        </w:numPr>
        <w:tabs>
          <w:tab w:val="left" w:pos="708"/>
        </w:tabs>
        <w:spacing w:line="240" w:lineRule="auto"/>
        <w:ind w:left="720" w:right="-90"/>
        <w:rPr>
          <w:szCs w:val="24"/>
        </w:rPr>
      </w:pPr>
      <w:r>
        <w:rPr>
          <w:szCs w:val="24"/>
        </w:rPr>
        <w:t>S’abstenir de consommer des drogues ou d’autres substances dont la possession simple est interdite par la loi ou d’en avoir en sa possession sauf sur ordonnance médicale validement obtenue;</w:t>
      </w:r>
    </w:p>
    <w:p w:rsidR="00772CEE" w:rsidRDefault="00A178C1" w:rsidP="00DE53ED">
      <w:pPr>
        <w:pStyle w:val="Paragraphe"/>
        <w:numPr>
          <w:ilvl w:val="0"/>
          <w:numId w:val="4"/>
        </w:numPr>
        <w:tabs>
          <w:tab w:val="left" w:pos="708"/>
        </w:tabs>
        <w:spacing w:line="240" w:lineRule="auto"/>
        <w:ind w:left="720" w:right="-90"/>
        <w:rPr>
          <w:szCs w:val="24"/>
        </w:rPr>
      </w:pPr>
      <w:r>
        <w:rPr>
          <w:szCs w:val="24"/>
        </w:rPr>
        <w:t>S’abstenir de communiquer avec Mélanie Mitchell, Chantal Cuerrier, Roxanne Mitchell, Mario Dallaire, Nicko Montpetit, Sébastien Dion, Anne-Marie Pilon, Éric Perreault Montpetit, Yan Stafford, Catherine Thibert, Robin Bougie-Durand, Josiane Théorêt, Simon Comeau, Nathalie Mitchell et Chantal Langevin;</w:t>
      </w:r>
    </w:p>
    <w:p w:rsidR="00772CEE" w:rsidRDefault="00A178C1" w:rsidP="00DE53ED">
      <w:pPr>
        <w:pStyle w:val="Paragraphe"/>
        <w:numPr>
          <w:ilvl w:val="0"/>
          <w:numId w:val="4"/>
        </w:numPr>
        <w:tabs>
          <w:tab w:val="left" w:pos="708"/>
        </w:tabs>
        <w:spacing w:line="240" w:lineRule="auto"/>
        <w:ind w:left="720" w:right="-90"/>
        <w:rPr>
          <w:szCs w:val="24"/>
        </w:rPr>
      </w:pPr>
      <w:r>
        <w:rPr>
          <w:szCs w:val="24"/>
        </w:rPr>
        <w:t>Ne pas communiquer avec des personnes faisant la vente, le trafic, l’usage de drogues o</w:t>
      </w:r>
      <w:r w:rsidR="00DE53ED">
        <w:rPr>
          <w:szCs w:val="24"/>
        </w:rPr>
        <w:t>u</w:t>
      </w:r>
      <w:r>
        <w:rPr>
          <w:szCs w:val="24"/>
        </w:rPr>
        <w:t xml:space="preserve"> qui en ont en leur possession.</w:t>
      </w:r>
    </w:p>
    <w:p w:rsidR="009645F6" w:rsidRDefault="00A178C1" w:rsidP="009C7F7A">
      <w:pPr>
        <w:pStyle w:val="Paragraphe"/>
        <w:tabs>
          <w:tab w:val="clear" w:pos="900"/>
          <w:tab w:val="left" w:pos="708"/>
        </w:tabs>
        <w:spacing w:line="240" w:lineRule="auto"/>
        <w:ind w:left="0" w:right="-90"/>
        <w:rPr>
          <w:szCs w:val="24"/>
        </w:rPr>
      </w:pPr>
      <w:r w:rsidRPr="00B47C47">
        <w:rPr>
          <w:b/>
          <w:szCs w:val="24"/>
        </w:rPr>
        <w:t>ORDONNE</w:t>
      </w:r>
      <w:r w:rsidR="00772CEE">
        <w:rPr>
          <w:szCs w:val="24"/>
        </w:rPr>
        <w:t>, conformément à l’article 109 du Code criminel, qu’il soit interdit à l’accusée d’avoir en sa possession des armes à feu, arbalètes, armes à autorisation restreinte, munitions et substances explosives pour une période de dix ans et des armes à feu prohibées, dispositifs prohibés et munition prohibées à perpétuité.</w:t>
      </w:r>
    </w:p>
    <w:p w:rsidR="009C7F7A" w:rsidRDefault="009C7F7A" w:rsidP="009C7F7A">
      <w:pPr>
        <w:pStyle w:val="Paragraphe"/>
        <w:numPr>
          <w:ilvl w:val="0"/>
          <w:numId w:val="0"/>
        </w:numPr>
        <w:tabs>
          <w:tab w:val="left" w:pos="708"/>
        </w:tabs>
        <w:spacing w:line="240" w:lineRule="auto"/>
        <w:ind w:right="-90"/>
        <w:rPr>
          <w:szCs w:val="24"/>
        </w:rPr>
      </w:pPr>
    </w:p>
    <w:p w:rsidR="00772CEE" w:rsidRDefault="00A178C1" w:rsidP="009C7F7A">
      <w:pPr>
        <w:pStyle w:val="Paragraphe"/>
        <w:numPr>
          <w:ilvl w:val="0"/>
          <w:numId w:val="0"/>
        </w:numPr>
        <w:tabs>
          <w:tab w:val="left" w:pos="708"/>
        </w:tabs>
        <w:spacing w:line="240" w:lineRule="auto"/>
        <w:ind w:right="-90"/>
        <w:rPr>
          <w:b/>
          <w:szCs w:val="24"/>
          <w:u w:val="single"/>
        </w:rPr>
      </w:pPr>
      <w:r w:rsidRPr="00CB0D2C">
        <w:rPr>
          <w:b/>
          <w:szCs w:val="24"/>
          <w:u w:val="single"/>
        </w:rPr>
        <w:t>Dans le dossier 760-01-102341-218</w:t>
      </w:r>
    </w:p>
    <w:p w:rsidR="00CB0D2C" w:rsidRPr="00CB0D2C" w:rsidRDefault="00A178C1" w:rsidP="009C7F7A">
      <w:pPr>
        <w:pStyle w:val="Paragraphe"/>
        <w:numPr>
          <w:ilvl w:val="0"/>
          <w:numId w:val="0"/>
        </w:numPr>
        <w:tabs>
          <w:tab w:val="left" w:pos="708"/>
        </w:tabs>
        <w:spacing w:line="240" w:lineRule="auto"/>
        <w:ind w:right="-90"/>
        <w:rPr>
          <w:szCs w:val="24"/>
        </w:rPr>
      </w:pPr>
      <w:r>
        <w:rPr>
          <w:b/>
          <w:szCs w:val="24"/>
        </w:rPr>
        <w:t>(</w:t>
      </w:r>
      <w:r w:rsidR="00760B3F">
        <w:rPr>
          <w:b/>
          <w:szCs w:val="24"/>
        </w:rPr>
        <w:t>v</w:t>
      </w:r>
      <w:r>
        <w:rPr>
          <w:b/>
          <w:szCs w:val="24"/>
        </w:rPr>
        <w:t>u une détention provisoire accordée de 8 jours)</w:t>
      </w:r>
    </w:p>
    <w:p w:rsidR="00782FED" w:rsidRDefault="00A178C1" w:rsidP="009C7F7A">
      <w:pPr>
        <w:pStyle w:val="Paragraphe"/>
        <w:tabs>
          <w:tab w:val="clear" w:pos="900"/>
          <w:tab w:val="left" w:pos="708"/>
        </w:tabs>
        <w:spacing w:line="240" w:lineRule="auto"/>
        <w:ind w:left="0" w:right="-90"/>
        <w:rPr>
          <w:szCs w:val="24"/>
        </w:rPr>
      </w:pPr>
      <w:r>
        <w:rPr>
          <w:b/>
          <w:szCs w:val="24"/>
        </w:rPr>
        <w:t xml:space="preserve">SURSEOIT </w:t>
      </w:r>
      <w:r>
        <w:rPr>
          <w:szCs w:val="24"/>
        </w:rPr>
        <w:t>au prononcé de la peine;</w:t>
      </w:r>
    </w:p>
    <w:p w:rsidR="00CB0D2C" w:rsidRDefault="00A178C1" w:rsidP="009C7F7A">
      <w:pPr>
        <w:pStyle w:val="Paragraphe"/>
        <w:tabs>
          <w:tab w:val="clear" w:pos="900"/>
          <w:tab w:val="left" w:pos="708"/>
        </w:tabs>
        <w:spacing w:line="240" w:lineRule="auto"/>
        <w:ind w:left="0" w:right="-90"/>
        <w:rPr>
          <w:szCs w:val="24"/>
        </w:rPr>
      </w:pPr>
      <w:r w:rsidRPr="00CB0D2C">
        <w:rPr>
          <w:b/>
          <w:szCs w:val="24"/>
        </w:rPr>
        <w:t>ORDONNE</w:t>
      </w:r>
      <w:r>
        <w:rPr>
          <w:szCs w:val="24"/>
        </w:rPr>
        <w:t xml:space="preserve"> que l’accusée so</w:t>
      </w:r>
      <w:r w:rsidR="00DE53ED">
        <w:rPr>
          <w:szCs w:val="24"/>
        </w:rPr>
        <w:t xml:space="preserve">it soumise à une ordonnance de </w:t>
      </w:r>
      <w:r>
        <w:rPr>
          <w:szCs w:val="24"/>
        </w:rPr>
        <w:t xml:space="preserve">probation aux seules conditions obligatoires prévues à l’article 732.1(2) du </w:t>
      </w:r>
      <w:r w:rsidRPr="00CB0D2C">
        <w:rPr>
          <w:i/>
          <w:szCs w:val="24"/>
        </w:rPr>
        <w:t>Code criminel</w:t>
      </w:r>
      <w:r>
        <w:rPr>
          <w:szCs w:val="24"/>
        </w:rPr>
        <w:t>.</w:t>
      </w:r>
    </w:p>
    <w:p w:rsidR="00EC0DF2" w:rsidRDefault="00EC0DF2" w:rsidP="009C7F7A">
      <w:pPr>
        <w:pStyle w:val="Citationenretrait"/>
        <w:ind w:right="-90"/>
        <w:rPr>
          <w:sz w:val="24"/>
          <w:lang w:eastAsia="fr-CA"/>
        </w:rPr>
      </w:pPr>
    </w:p>
    <w:tbl>
      <w:tblPr>
        <w:tblW w:w="9505" w:type="dxa"/>
        <w:tblLayout w:type="fixed"/>
        <w:tblCellMar>
          <w:left w:w="70" w:type="dxa"/>
          <w:right w:w="70" w:type="dxa"/>
        </w:tblCellMar>
        <w:tblLook w:val="04A0" w:firstRow="1" w:lastRow="0" w:firstColumn="1" w:lastColumn="0" w:noHBand="0" w:noVBand="1"/>
      </w:tblPr>
      <w:tblGrid>
        <w:gridCol w:w="2230"/>
        <w:gridCol w:w="2637"/>
        <w:gridCol w:w="4638"/>
      </w:tblGrid>
      <w:tr w:rsidR="0082241E" w:rsidTr="00173845">
        <w:trPr>
          <w:cantSplit/>
        </w:trPr>
        <w:tc>
          <w:tcPr>
            <w:tcW w:w="4867" w:type="dxa"/>
            <w:gridSpan w:val="2"/>
            <w:tcMar>
              <w:top w:w="0" w:type="dxa"/>
              <w:left w:w="0" w:type="dxa"/>
              <w:bottom w:w="0" w:type="dxa"/>
              <w:right w:w="0" w:type="dxa"/>
            </w:tcMar>
          </w:tcPr>
          <w:p w:rsidR="00E03816" w:rsidRDefault="00E03816" w:rsidP="009C7F7A">
            <w:pPr>
              <w:ind w:right="-90"/>
              <w:rPr>
                <w:b/>
              </w:rPr>
            </w:pPr>
          </w:p>
          <w:p w:rsidR="00EC0DF2" w:rsidRDefault="00EC0DF2" w:rsidP="009C7F7A">
            <w:pPr>
              <w:ind w:right="-90"/>
              <w:rPr>
                <w:b/>
              </w:rPr>
            </w:pPr>
          </w:p>
          <w:p w:rsidR="00EC0DF2" w:rsidRDefault="00EC0DF2" w:rsidP="009C7F7A">
            <w:pPr>
              <w:ind w:right="-90"/>
              <w:rPr>
                <w:b/>
              </w:rPr>
            </w:pPr>
          </w:p>
          <w:p w:rsidR="00BB75CA" w:rsidRPr="00876069" w:rsidRDefault="00BB75CA" w:rsidP="009C7F7A">
            <w:pPr>
              <w:ind w:right="-90"/>
              <w:rPr>
                <w:b/>
              </w:rPr>
            </w:pPr>
          </w:p>
        </w:tc>
        <w:tc>
          <w:tcPr>
            <w:tcW w:w="4638" w:type="dxa"/>
            <w:tcMar>
              <w:top w:w="0" w:type="dxa"/>
              <w:left w:w="0" w:type="dxa"/>
              <w:bottom w:w="0" w:type="dxa"/>
              <w:right w:w="0" w:type="dxa"/>
            </w:tcMar>
            <w:hideMark/>
          </w:tcPr>
          <w:p w:rsidR="00E03816" w:rsidRPr="00876069" w:rsidRDefault="00A178C1" w:rsidP="009C7F7A">
            <w:pPr>
              <w:pStyle w:val="zSoquijdatSignature3Juge"/>
              <w:ind w:right="-90"/>
              <w:rPr>
                <w:b/>
              </w:rPr>
            </w:pPr>
            <w:r w:rsidRPr="00876069">
              <w:rPr>
                <w:b/>
              </w:rPr>
              <w:t>__________________________________</w:t>
            </w:r>
          </w:p>
          <w:p w:rsidR="00E03816" w:rsidRPr="00876069" w:rsidRDefault="00A178C1" w:rsidP="009C7F7A">
            <w:pPr>
              <w:pStyle w:val="zSoquijdatSignature3Juge"/>
              <w:ind w:right="-90"/>
              <w:rPr>
                <w:b/>
              </w:rPr>
            </w:pPr>
            <w:r w:rsidRPr="00876069">
              <w:rPr>
                <w:b/>
              </w:rPr>
              <w:t>BERTRAND ST-ARNAUD, J.C.Q.</w:t>
            </w:r>
          </w:p>
          <w:p w:rsidR="00E03816" w:rsidRPr="00876069" w:rsidRDefault="00A178C1" w:rsidP="009C7F7A">
            <w:pPr>
              <w:pStyle w:val="zSoquijdatSignature3Juge"/>
              <w:ind w:right="-90"/>
              <w:rPr>
                <w:b/>
              </w:rPr>
            </w:pPr>
            <w:r w:rsidRPr="00876069">
              <w:rPr>
                <w:b/>
              </w:rPr>
              <w:t>JS 1525</w:t>
            </w:r>
          </w:p>
        </w:tc>
      </w:tr>
      <w:tr w:rsidR="0082241E" w:rsidTr="00173845">
        <w:tc>
          <w:tcPr>
            <w:tcW w:w="9505" w:type="dxa"/>
            <w:gridSpan w:val="3"/>
          </w:tcPr>
          <w:p w:rsidR="00E03816" w:rsidRDefault="00E03816" w:rsidP="00602640">
            <w:pPr>
              <w:ind w:right="-720"/>
            </w:pPr>
          </w:p>
        </w:tc>
      </w:tr>
      <w:tr w:rsidR="0082241E" w:rsidTr="00173845">
        <w:trPr>
          <w:cantSplit/>
        </w:trPr>
        <w:tc>
          <w:tcPr>
            <w:tcW w:w="9505" w:type="dxa"/>
            <w:gridSpan w:val="3"/>
            <w:hideMark/>
          </w:tcPr>
          <w:p w:rsidR="00E03816" w:rsidRDefault="00A178C1" w:rsidP="00E93440">
            <w:pPr>
              <w:pStyle w:val="zSoquijdatNomProcureurDem"/>
              <w:ind w:right="-720"/>
            </w:pPr>
            <w:r>
              <w:t>Me</w:t>
            </w:r>
            <w:r w:rsidR="005F1D98">
              <w:t xml:space="preserve"> Patrick Cardinal</w:t>
            </w:r>
            <w:r w:rsidR="00876069">
              <w:t>,</w:t>
            </w:r>
            <w:r>
              <w:t xml:space="preserve"> </w:t>
            </w:r>
            <w:r>
              <w:fldChar w:fldCharType="begin"/>
            </w:r>
            <w:r>
              <w:instrText xml:space="preserve"> </w:instrText>
            </w:r>
            <w:r>
              <w:fldChar w:fldCharType="end"/>
            </w:r>
          </w:p>
        </w:tc>
      </w:tr>
      <w:tr w:rsidR="0082241E" w:rsidTr="00173845">
        <w:trPr>
          <w:cantSplit/>
        </w:trPr>
        <w:tc>
          <w:tcPr>
            <w:tcW w:w="9505" w:type="dxa"/>
            <w:gridSpan w:val="3"/>
            <w:hideMark/>
          </w:tcPr>
          <w:p w:rsidR="00E03816" w:rsidRDefault="00A178C1" w:rsidP="00602640">
            <w:pPr>
              <w:pStyle w:val="zSoquijlblProcureurDem"/>
              <w:ind w:right="-720"/>
            </w:pPr>
            <w:r>
              <w:t xml:space="preserve">Procureur de la poursuivante </w:t>
            </w:r>
            <w:r>
              <w:fldChar w:fldCharType="begin"/>
            </w:r>
            <w:r>
              <w:instrText xml:space="preserve">  </w:instrText>
            </w:r>
            <w:r>
              <w:fldChar w:fldCharType="end"/>
            </w:r>
          </w:p>
        </w:tc>
      </w:tr>
      <w:tr w:rsidR="0082241E" w:rsidTr="00173845">
        <w:trPr>
          <w:cantSplit/>
        </w:trPr>
        <w:tc>
          <w:tcPr>
            <w:tcW w:w="9505" w:type="dxa"/>
            <w:gridSpan w:val="3"/>
          </w:tcPr>
          <w:p w:rsidR="00E03816" w:rsidRDefault="00E03816" w:rsidP="00602640">
            <w:pPr>
              <w:ind w:right="-720"/>
            </w:pPr>
          </w:p>
        </w:tc>
      </w:tr>
      <w:tr w:rsidR="0082241E" w:rsidTr="00173845">
        <w:trPr>
          <w:cantSplit/>
        </w:trPr>
        <w:tc>
          <w:tcPr>
            <w:tcW w:w="9505" w:type="dxa"/>
            <w:gridSpan w:val="3"/>
            <w:hideMark/>
          </w:tcPr>
          <w:p w:rsidR="00E03816" w:rsidRDefault="00A178C1" w:rsidP="00A1120F">
            <w:pPr>
              <w:pStyle w:val="zSoquijdatNomProcureurDef"/>
              <w:ind w:right="-720"/>
            </w:pPr>
            <w:r>
              <w:t xml:space="preserve">Me </w:t>
            </w:r>
            <w:r w:rsidR="006B075B" w:rsidRPr="006B075B">
              <w:t>Robert</w:t>
            </w:r>
            <w:r w:rsidR="007E4EFC">
              <w:t xml:space="preserve"> </w:t>
            </w:r>
            <w:r w:rsidR="00760B3F">
              <w:t>Taillefer</w:t>
            </w:r>
            <w:r w:rsidR="00876069">
              <w:t>,</w:t>
            </w:r>
            <w:r>
              <w:fldChar w:fldCharType="begin"/>
            </w:r>
            <w:r>
              <w:instrText xml:space="preserve">  </w:instrText>
            </w:r>
            <w:r>
              <w:fldChar w:fldCharType="end"/>
            </w:r>
          </w:p>
        </w:tc>
      </w:tr>
      <w:tr w:rsidR="0082241E" w:rsidTr="00173845">
        <w:trPr>
          <w:cantSplit/>
        </w:trPr>
        <w:tc>
          <w:tcPr>
            <w:tcW w:w="9505" w:type="dxa"/>
            <w:gridSpan w:val="3"/>
            <w:hideMark/>
          </w:tcPr>
          <w:p w:rsidR="00E93440" w:rsidRDefault="00A178C1" w:rsidP="00602640">
            <w:pPr>
              <w:pStyle w:val="zSoquijlblProcureurDef"/>
              <w:ind w:right="-720"/>
            </w:pPr>
            <w:r>
              <w:t>Procureur</w:t>
            </w:r>
            <w:r w:rsidR="00E03816">
              <w:t xml:space="preserve"> de l’accusé</w:t>
            </w:r>
          </w:p>
          <w:p w:rsidR="00E93440" w:rsidRDefault="00E93440" w:rsidP="00602640">
            <w:pPr>
              <w:pStyle w:val="zSoquijlblProcureurDef"/>
              <w:ind w:right="-720"/>
            </w:pPr>
          </w:p>
          <w:p w:rsidR="00E03816" w:rsidRDefault="00A178C1" w:rsidP="00760B3F">
            <w:pPr>
              <w:pStyle w:val="zSoquijlblProcureurDef"/>
              <w:ind w:right="-720"/>
            </w:pPr>
            <w:r>
              <w:t>Date</w:t>
            </w:r>
            <w:r w:rsidR="005F1D98">
              <w:t xml:space="preserve"> d’audience :  20 octobre 2021</w:t>
            </w:r>
            <w:r>
              <w:fldChar w:fldCharType="begin"/>
            </w:r>
            <w:r>
              <w:instrText xml:space="preserve">  </w:instrText>
            </w:r>
            <w:r>
              <w:fldChar w:fldCharType="end"/>
            </w:r>
          </w:p>
        </w:tc>
      </w:tr>
      <w:tr w:rsidR="0082241E" w:rsidTr="00173845">
        <w:tc>
          <w:tcPr>
            <w:tcW w:w="9505" w:type="dxa"/>
            <w:gridSpan w:val="3"/>
          </w:tcPr>
          <w:p w:rsidR="00E03816" w:rsidRDefault="00E03816" w:rsidP="00602640">
            <w:pPr>
              <w:ind w:right="-720"/>
            </w:pPr>
          </w:p>
        </w:tc>
      </w:tr>
      <w:tr w:rsidR="0082241E" w:rsidTr="00E93440">
        <w:tc>
          <w:tcPr>
            <w:tcW w:w="2230" w:type="dxa"/>
          </w:tcPr>
          <w:p w:rsidR="00E03816" w:rsidRDefault="00E03816" w:rsidP="00602640">
            <w:pPr>
              <w:pStyle w:val="zSoquijlblDateAudience"/>
              <w:ind w:right="-720"/>
            </w:pPr>
          </w:p>
        </w:tc>
        <w:tc>
          <w:tcPr>
            <w:tcW w:w="7275" w:type="dxa"/>
            <w:gridSpan w:val="2"/>
          </w:tcPr>
          <w:p w:rsidR="00E03816" w:rsidRDefault="00E03816" w:rsidP="00602640">
            <w:pPr>
              <w:pStyle w:val="zSoquijdatDateAudience"/>
              <w:ind w:right="-720"/>
            </w:pPr>
          </w:p>
        </w:tc>
      </w:tr>
    </w:tbl>
    <w:p w:rsidR="00612922" w:rsidRDefault="00612922" w:rsidP="005F1D98"/>
    <w:sectPr w:rsidR="00612922" w:rsidSect="0007345B">
      <w:headerReference w:type="default" r:id="rId9"/>
      <w:pgSz w:w="12240" w:h="15840"/>
      <w:pgMar w:top="1440" w:right="117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6FDD" w:rsidRDefault="00A178C1">
      <w:r>
        <w:separator/>
      </w:r>
    </w:p>
  </w:endnote>
  <w:endnote w:type="continuationSeparator" w:id="0">
    <w:p w:rsidR="00DB6FDD" w:rsidRDefault="00A17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2CE" w:rsidRDefault="00A178C1" w:rsidP="00E03816">
      <w:r>
        <w:separator/>
      </w:r>
    </w:p>
  </w:footnote>
  <w:footnote w:type="continuationSeparator" w:id="0">
    <w:p w:rsidR="009F02CE" w:rsidRDefault="00A178C1" w:rsidP="00E03816">
      <w:r>
        <w:continuationSeparator/>
      </w:r>
    </w:p>
  </w:footnote>
  <w:footnote w:id="1">
    <w:p w:rsidR="00F35980" w:rsidRDefault="00A178C1">
      <w:pPr>
        <w:pStyle w:val="Notedebasdepage"/>
      </w:pPr>
      <w:r>
        <w:rPr>
          <w:rStyle w:val="Appelnotedebasdep"/>
        </w:rPr>
        <w:footnoteRef/>
      </w:r>
      <w:r>
        <w:t xml:space="preserve"> Une trame factuelle de 12 pages signée par l’accusée fut déposée sous S-1.</w:t>
      </w:r>
    </w:p>
  </w:footnote>
  <w:footnote w:id="2">
    <w:p w:rsidR="003544CA" w:rsidRDefault="00A178C1" w:rsidP="003544CA">
      <w:pPr>
        <w:pStyle w:val="Notedebasdepage"/>
      </w:pPr>
      <w:r>
        <w:rPr>
          <w:rStyle w:val="Appelnotedebasdep"/>
        </w:rPr>
        <w:footnoteRef/>
      </w:r>
      <w:r>
        <w:t xml:space="preserve">  </w:t>
      </w:r>
      <w:r w:rsidRPr="00592537">
        <w:rPr>
          <w:i/>
        </w:rPr>
        <w:t xml:space="preserve">R. c. M.V. </w:t>
      </w:r>
      <w:r>
        <w:t>(2014) QCCA 878.</w:t>
      </w:r>
    </w:p>
  </w:footnote>
  <w:footnote w:id="3">
    <w:p w:rsidR="003544CA" w:rsidRDefault="00A178C1" w:rsidP="003544CA">
      <w:pPr>
        <w:pStyle w:val="Notedebasdepage"/>
      </w:pPr>
      <w:r>
        <w:rPr>
          <w:rStyle w:val="Appelnotedebasdep"/>
        </w:rPr>
        <w:footnoteRef/>
      </w:r>
      <w:r>
        <w:t xml:space="preserve">  </w:t>
      </w:r>
      <w:r w:rsidRPr="00592537">
        <w:rPr>
          <w:i/>
        </w:rPr>
        <w:t xml:space="preserve">R. c. Stevens </w:t>
      </w:r>
      <w:r>
        <w:t>(2014) QCCA 444, par. 35.</w:t>
      </w:r>
    </w:p>
  </w:footnote>
  <w:footnote w:id="4">
    <w:p w:rsidR="003544CA" w:rsidRDefault="00A178C1" w:rsidP="003544CA">
      <w:pPr>
        <w:pStyle w:val="Notedebasdepage"/>
      </w:pPr>
      <w:r>
        <w:rPr>
          <w:rStyle w:val="Appelnotedebasdep"/>
        </w:rPr>
        <w:footnoteRef/>
      </w:r>
      <w:r>
        <w:t xml:space="preserve">  </w:t>
      </w:r>
      <w:r w:rsidRPr="00592537">
        <w:rPr>
          <w:i/>
        </w:rPr>
        <w:t xml:space="preserve">R. c. Duhaime </w:t>
      </w:r>
      <w:r>
        <w:t>(2015) QCCA 685, par. 3.</w:t>
      </w:r>
    </w:p>
  </w:footnote>
  <w:footnote w:id="5">
    <w:p w:rsidR="003544CA" w:rsidRDefault="00A178C1" w:rsidP="003544CA">
      <w:pPr>
        <w:pStyle w:val="Notedebasdepage"/>
      </w:pPr>
      <w:r>
        <w:rPr>
          <w:rStyle w:val="Appelnotedebasdep"/>
        </w:rPr>
        <w:footnoteRef/>
      </w:r>
      <w:r>
        <w:t xml:space="preserve">  </w:t>
      </w:r>
      <w:r w:rsidRPr="00592537">
        <w:rPr>
          <w:i/>
        </w:rPr>
        <w:t xml:space="preserve">R. c. Bernier </w:t>
      </w:r>
      <w:r>
        <w:t>(2015) QCCA 963, par. 43.</w:t>
      </w:r>
    </w:p>
  </w:footnote>
  <w:footnote w:id="6">
    <w:p w:rsidR="003544CA" w:rsidRDefault="00A178C1" w:rsidP="003544CA">
      <w:pPr>
        <w:pStyle w:val="Notedebasdepage"/>
      </w:pPr>
      <w:r>
        <w:rPr>
          <w:rStyle w:val="Appelnotedebasdep"/>
        </w:rPr>
        <w:footnoteRef/>
      </w:r>
      <w:r w:rsidR="00435EC9">
        <w:t xml:space="preserve">  Précité, note 2</w:t>
      </w:r>
      <w:r>
        <w:t>, par. 9.</w:t>
      </w:r>
    </w:p>
  </w:footnote>
  <w:footnote w:id="7">
    <w:p w:rsidR="008665B1" w:rsidRDefault="00A178C1" w:rsidP="008665B1">
      <w:pPr>
        <w:pStyle w:val="Notedebasdepage"/>
      </w:pPr>
      <w:r>
        <w:rPr>
          <w:rStyle w:val="Appelnotedebasdep"/>
        </w:rPr>
        <w:footnoteRef/>
      </w:r>
      <w:r>
        <w:t xml:space="preserve"> </w:t>
      </w:r>
      <w:r w:rsidR="007A37F5">
        <w:t xml:space="preserve"> </w:t>
      </w:r>
      <w:r>
        <w:rPr>
          <w:i/>
        </w:rPr>
        <w:t xml:space="preserve">Code </w:t>
      </w:r>
      <w:r w:rsidRPr="00645CA1">
        <w:rPr>
          <w:i/>
        </w:rPr>
        <w:t>criminel</w:t>
      </w:r>
      <w:r>
        <w:t>, L.R.C. 1985, c. C-46, article 718.1.</w:t>
      </w:r>
    </w:p>
  </w:footnote>
  <w:footnote w:id="8">
    <w:p w:rsidR="007A37F5" w:rsidRDefault="00A178C1">
      <w:pPr>
        <w:pStyle w:val="Notedebasdepage"/>
      </w:pPr>
      <w:r>
        <w:rPr>
          <w:rStyle w:val="Appelnotedebasdep"/>
        </w:rPr>
        <w:footnoteRef/>
      </w:r>
      <w:r>
        <w:t xml:space="preserve">  </w:t>
      </w:r>
      <w:r w:rsidR="00A56B22">
        <w:rPr>
          <w:i/>
        </w:rPr>
        <w:t>R. c</w:t>
      </w:r>
      <w:r w:rsidRPr="007A37F5">
        <w:rPr>
          <w:i/>
        </w:rPr>
        <w:t>. Prokos</w:t>
      </w:r>
      <w:r w:rsidR="00A56B22">
        <w:t xml:space="preserve"> (1998) QCCA 12949</w:t>
      </w:r>
      <w:r>
        <w:t>.</w:t>
      </w:r>
    </w:p>
  </w:footnote>
  <w:footnote w:id="9">
    <w:p w:rsidR="00D4396D" w:rsidRDefault="00A178C1" w:rsidP="00D4396D">
      <w:pPr>
        <w:pStyle w:val="Notedebasdepage"/>
      </w:pPr>
      <w:r>
        <w:rPr>
          <w:rStyle w:val="Appelnotedebasdep"/>
        </w:rPr>
        <w:footnoteRef/>
      </w:r>
      <w:r>
        <w:t xml:space="preserve"> </w:t>
      </w:r>
      <w:r w:rsidR="007A37F5">
        <w:t xml:space="preserve"> </w:t>
      </w:r>
      <w:r w:rsidRPr="00592537">
        <w:rPr>
          <w:i/>
        </w:rPr>
        <w:t xml:space="preserve">R. c. Mantha </w:t>
      </w:r>
      <w:r>
        <w:t>(2001) QCCA 12056.</w:t>
      </w:r>
    </w:p>
  </w:footnote>
  <w:footnote w:id="10">
    <w:p w:rsidR="00D4396D" w:rsidRDefault="00A178C1" w:rsidP="00D4396D">
      <w:pPr>
        <w:pStyle w:val="Notedebasdepage"/>
      </w:pPr>
      <w:r>
        <w:rPr>
          <w:rStyle w:val="Appelnotedebasdep"/>
        </w:rPr>
        <w:footnoteRef/>
      </w:r>
      <w:r>
        <w:t xml:space="preserve"> </w:t>
      </w:r>
      <w:r w:rsidRPr="00592537">
        <w:rPr>
          <w:i/>
        </w:rPr>
        <w:t>R. c. Bonenfant</w:t>
      </w:r>
      <w:r>
        <w:t xml:space="preserve"> (1989) QCCA 925.</w:t>
      </w:r>
    </w:p>
  </w:footnote>
  <w:footnote w:id="11">
    <w:p w:rsidR="00D4396D" w:rsidRDefault="00A178C1" w:rsidP="00D4396D">
      <w:pPr>
        <w:pStyle w:val="Notedebasdepage"/>
      </w:pPr>
      <w:r>
        <w:rPr>
          <w:rStyle w:val="Appelnotedebasdep"/>
        </w:rPr>
        <w:footnoteRef/>
      </w:r>
      <w:r w:rsidR="007A37F5">
        <w:t xml:space="preserve"> Précité, note 8</w:t>
      </w:r>
      <w:r>
        <w:t>, par. 143.</w:t>
      </w:r>
    </w:p>
  </w:footnote>
  <w:footnote w:id="12">
    <w:p w:rsidR="00D4396D" w:rsidRDefault="00A178C1" w:rsidP="00D4396D">
      <w:pPr>
        <w:pStyle w:val="Notedebasdepage"/>
      </w:pPr>
      <w:r>
        <w:rPr>
          <w:rStyle w:val="Appelnotedebasdep"/>
        </w:rPr>
        <w:footnoteRef/>
      </w:r>
      <w:r>
        <w:t xml:space="preserve"> </w:t>
      </w:r>
      <w:r w:rsidRPr="00592537">
        <w:rPr>
          <w:i/>
        </w:rPr>
        <w:t>R. c. Armeni</w:t>
      </w:r>
      <w:r>
        <w:t xml:space="preserve"> (2011) QCCA 1574.</w:t>
      </w:r>
    </w:p>
  </w:footnote>
  <w:footnote w:id="13">
    <w:p w:rsidR="00D4396D" w:rsidRDefault="00A178C1" w:rsidP="00D4396D">
      <w:pPr>
        <w:pStyle w:val="Notedebasdepage"/>
      </w:pPr>
      <w:r>
        <w:rPr>
          <w:rStyle w:val="Appelnotedebasdep"/>
        </w:rPr>
        <w:footnoteRef/>
      </w:r>
      <w:r>
        <w:t xml:space="preserve"> </w:t>
      </w:r>
      <w:r w:rsidRPr="00592537">
        <w:rPr>
          <w:i/>
        </w:rPr>
        <w:t xml:space="preserve">R. c. Ricard </w:t>
      </w:r>
      <w:r>
        <w:t>(2014) QCCA 1160.</w:t>
      </w:r>
    </w:p>
  </w:footnote>
  <w:footnote w:id="14">
    <w:p w:rsidR="00D4396D" w:rsidRDefault="00A178C1" w:rsidP="00D4396D">
      <w:pPr>
        <w:pStyle w:val="Notedebasdepage"/>
      </w:pPr>
      <w:r>
        <w:rPr>
          <w:rStyle w:val="Appelnotedebasdep"/>
        </w:rPr>
        <w:footnoteRef/>
      </w:r>
      <w:r>
        <w:t xml:space="preserve"> Précité, note </w:t>
      </w:r>
      <w:r w:rsidRPr="001534FB">
        <w:t>18,</w:t>
      </w:r>
      <w:r>
        <w:t xml:space="preserve"> par. 4.</w:t>
      </w:r>
    </w:p>
  </w:footnote>
  <w:footnote w:id="15">
    <w:p w:rsidR="00B6476E" w:rsidRDefault="00A178C1">
      <w:pPr>
        <w:pStyle w:val="Notedebasdepage"/>
      </w:pPr>
      <w:r>
        <w:rPr>
          <w:rStyle w:val="Appelnotedebasdep"/>
        </w:rPr>
        <w:footnoteRef/>
      </w:r>
      <w:r>
        <w:t xml:space="preserve"> Notes sténographiques du 20 avril 2021, pp. 12 et 23.</w:t>
      </w:r>
    </w:p>
  </w:footnote>
  <w:footnote w:id="16">
    <w:p w:rsidR="004E7876" w:rsidRDefault="00A178C1">
      <w:pPr>
        <w:pStyle w:val="Notedebasdepage"/>
      </w:pPr>
      <w:r>
        <w:rPr>
          <w:rStyle w:val="Appelnotedebasdep"/>
        </w:rPr>
        <w:footnoteRef/>
      </w:r>
      <w:r>
        <w:t xml:space="preserve"> </w:t>
      </w:r>
      <w:r w:rsidRPr="00592537">
        <w:rPr>
          <w:i/>
        </w:rPr>
        <w:t>Id.,</w:t>
      </w:r>
      <w:r>
        <w:t xml:space="preserve"> p. 12.</w:t>
      </w:r>
    </w:p>
  </w:footnote>
  <w:footnote w:id="17">
    <w:p w:rsidR="00EC41A9" w:rsidRDefault="00A178C1" w:rsidP="00EC41A9">
      <w:pPr>
        <w:pStyle w:val="Notedebasdepage"/>
      </w:pPr>
      <w:r>
        <w:rPr>
          <w:rStyle w:val="Appelnotedebasdep"/>
        </w:rPr>
        <w:footnoteRef/>
      </w:r>
      <w:r>
        <w:t xml:space="preserve"> </w:t>
      </w:r>
      <w:r w:rsidRPr="00592537">
        <w:rPr>
          <w:i/>
        </w:rPr>
        <w:t>R. c. Leblanc</w:t>
      </w:r>
      <w:r>
        <w:t xml:space="preserve"> (2014) QCCA 1908, par. 26.</w:t>
      </w:r>
    </w:p>
  </w:footnote>
  <w:footnote w:id="18">
    <w:p w:rsidR="00EC41A9" w:rsidRDefault="00A178C1" w:rsidP="00EC41A9">
      <w:pPr>
        <w:pStyle w:val="Notedebasdepage"/>
      </w:pPr>
      <w:r>
        <w:rPr>
          <w:rStyle w:val="Appelnotedebasdep"/>
        </w:rPr>
        <w:footnoteRef/>
      </w:r>
      <w:r w:rsidR="006B075B">
        <w:t xml:space="preserve"> Précité, note 3</w:t>
      </w:r>
      <w:r>
        <w:t>, par. 34.</w:t>
      </w:r>
    </w:p>
  </w:footnote>
  <w:footnote w:id="19">
    <w:p w:rsidR="00EC41A9" w:rsidRDefault="00A178C1" w:rsidP="00EC41A9">
      <w:pPr>
        <w:pStyle w:val="Notedebasdepage"/>
      </w:pPr>
      <w:r>
        <w:rPr>
          <w:rStyle w:val="Appelnotedebasdep"/>
        </w:rPr>
        <w:footnoteRef/>
      </w:r>
      <w:r w:rsidR="006B075B">
        <w:t xml:space="preserve"> Précité, note 4</w:t>
      </w:r>
      <w:r>
        <w:t xml:space="preserve">, par.12. </w:t>
      </w:r>
    </w:p>
  </w:footnote>
  <w:footnote w:id="20">
    <w:p w:rsidR="00EC41A9" w:rsidRDefault="00A178C1" w:rsidP="00EC41A9">
      <w:pPr>
        <w:pStyle w:val="Notedebasdepage"/>
      </w:pPr>
      <w:r>
        <w:rPr>
          <w:rStyle w:val="Appelnotedebasdep"/>
        </w:rPr>
        <w:footnoteRef/>
      </w:r>
      <w:r>
        <w:t xml:space="preserve"> </w:t>
      </w:r>
      <w:r w:rsidRPr="00592537">
        <w:rPr>
          <w:i/>
        </w:rPr>
        <w:t>R. c. Nasogaluak</w:t>
      </w:r>
      <w:r>
        <w:t xml:space="preserve"> (2010) 1 R.C.S. 206, par. 43.</w:t>
      </w:r>
    </w:p>
  </w:footnote>
  <w:footnote w:id="21">
    <w:p w:rsidR="00EC41A9" w:rsidRDefault="00A178C1">
      <w:pPr>
        <w:pStyle w:val="Notedebasdepage"/>
      </w:pPr>
      <w:r>
        <w:rPr>
          <w:rStyle w:val="Appelnotedebasdep"/>
        </w:rPr>
        <w:footnoteRef/>
      </w:r>
      <w:r>
        <w:t xml:space="preserve"> Voir divers documents relatifs à ces condamnations déposées sous S-4.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2CE" w:rsidRDefault="009F02CE" w:rsidP="001A4D7D">
    <w:pPr>
      <w:pStyle w:val="En-tte"/>
      <w:rPr>
        <w:b/>
      </w:rPr>
    </w:pPr>
  </w:p>
  <w:p w:rsidR="009F02CE" w:rsidRPr="00AD7D2C" w:rsidRDefault="00A178C1" w:rsidP="00AD7D2C">
    <w:pPr>
      <w:pStyle w:val="En-tte"/>
      <w:tabs>
        <w:tab w:val="clear" w:pos="4320"/>
        <w:tab w:val="clear" w:pos="8640"/>
      </w:tabs>
      <w:ind w:right="-720"/>
    </w:pPr>
    <w:r>
      <w:rPr>
        <w:b/>
      </w:rPr>
      <w:t>760-01-094558-191 &amp;</w:t>
    </w:r>
    <w:r w:rsidRPr="00C60E6A">
      <w:rPr>
        <w:b/>
      </w:rPr>
      <w:t xml:space="preserve"> 760-01-102341-218</w:t>
    </w:r>
    <w:r>
      <w:t xml:space="preserve">     </w:t>
    </w:r>
    <w:r>
      <w:tab/>
    </w:r>
    <w:r>
      <w:tab/>
    </w:r>
    <w:r>
      <w:tab/>
    </w:r>
    <w:r>
      <w:tab/>
      <w:t xml:space="preserve">              </w:t>
    </w:r>
    <w:r w:rsidR="00826DAC">
      <w:t xml:space="preserve"> </w:t>
    </w:r>
    <w:r>
      <w:t xml:space="preserve">  </w:t>
    </w:r>
    <w:r w:rsidRPr="00C60E6A">
      <w:rPr>
        <w:b/>
      </w:rPr>
      <w:t xml:space="preserve">PAGE : </w:t>
    </w:r>
    <w:sdt>
      <w:sdtPr>
        <w:rPr>
          <w:b/>
        </w:rPr>
        <w:id w:val="1005631703"/>
        <w:docPartObj>
          <w:docPartGallery w:val="Page Numbers (Top of Page)"/>
          <w:docPartUnique/>
        </w:docPartObj>
      </w:sdtPr>
      <w:sdtEndPr/>
      <w:sdtContent>
        <w:r w:rsidRPr="00C60E6A">
          <w:rPr>
            <w:b/>
          </w:rPr>
          <w:fldChar w:fldCharType="begin"/>
        </w:r>
        <w:r w:rsidRPr="00C60E6A">
          <w:rPr>
            <w:b/>
          </w:rPr>
          <w:instrText>PAGE   \* MERGEFORMAT</w:instrText>
        </w:r>
        <w:r w:rsidRPr="00C60E6A">
          <w:rPr>
            <w:b/>
          </w:rPr>
          <w:fldChar w:fldCharType="separate"/>
        </w:r>
        <w:r w:rsidR="00A026DC" w:rsidRPr="00A026DC">
          <w:rPr>
            <w:b/>
            <w:noProof/>
            <w:lang w:val="fr-FR"/>
          </w:rPr>
          <w:t>11</w:t>
        </w:r>
        <w:r w:rsidRPr="00C60E6A">
          <w:rPr>
            <w:b/>
          </w:rPr>
          <w:fldChar w:fldCharType="end"/>
        </w:r>
      </w:sdtContent>
    </w:sdt>
  </w:p>
  <w:p w:rsidR="009F02CE" w:rsidRDefault="009F02C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65A0C"/>
    <w:multiLevelType w:val="hybridMultilevel"/>
    <w:tmpl w:val="89B0BD56"/>
    <w:lvl w:ilvl="0" w:tplc="0598FB8C">
      <w:start w:val="1"/>
      <w:numFmt w:val="bullet"/>
      <w:lvlText w:val=""/>
      <w:lvlJc w:val="left"/>
      <w:pPr>
        <w:tabs>
          <w:tab w:val="num" w:pos="720"/>
        </w:tabs>
        <w:ind w:left="720" w:hanging="360"/>
      </w:pPr>
      <w:rPr>
        <w:rFonts w:ascii="Symbol" w:hAnsi="Symbol" w:hint="default"/>
      </w:rPr>
    </w:lvl>
    <w:lvl w:ilvl="1" w:tplc="DD8493E2">
      <w:start w:val="1"/>
      <w:numFmt w:val="bullet"/>
      <w:lvlText w:val="o"/>
      <w:lvlJc w:val="left"/>
      <w:pPr>
        <w:tabs>
          <w:tab w:val="num" w:pos="1440"/>
        </w:tabs>
        <w:ind w:left="1440" w:hanging="360"/>
      </w:pPr>
      <w:rPr>
        <w:rFonts w:ascii="Courier New" w:hAnsi="Courier New" w:cs="Courier New" w:hint="default"/>
      </w:rPr>
    </w:lvl>
    <w:lvl w:ilvl="2" w:tplc="D1CE733E">
      <w:start w:val="1"/>
      <w:numFmt w:val="bullet"/>
      <w:lvlText w:val=""/>
      <w:lvlJc w:val="left"/>
      <w:pPr>
        <w:tabs>
          <w:tab w:val="num" w:pos="2160"/>
        </w:tabs>
        <w:ind w:left="2160" w:hanging="360"/>
      </w:pPr>
      <w:rPr>
        <w:rFonts w:ascii="Wingdings" w:hAnsi="Wingdings" w:hint="default"/>
      </w:rPr>
    </w:lvl>
    <w:lvl w:ilvl="3" w:tplc="A04CFD72">
      <w:start w:val="1"/>
      <w:numFmt w:val="bullet"/>
      <w:lvlText w:val=""/>
      <w:lvlJc w:val="left"/>
      <w:pPr>
        <w:tabs>
          <w:tab w:val="num" w:pos="2880"/>
        </w:tabs>
        <w:ind w:left="2880" w:hanging="360"/>
      </w:pPr>
      <w:rPr>
        <w:rFonts w:ascii="Symbol" w:hAnsi="Symbol" w:hint="default"/>
      </w:rPr>
    </w:lvl>
    <w:lvl w:ilvl="4" w:tplc="AAD4F294">
      <w:start w:val="1"/>
      <w:numFmt w:val="bullet"/>
      <w:lvlText w:val="o"/>
      <w:lvlJc w:val="left"/>
      <w:pPr>
        <w:tabs>
          <w:tab w:val="num" w:pos="3600"/>
        </w:tabs>
        <w:ind w:left="3600" w:hanging="360"/>
      </w:pPr>
      <w:rPr>
        <w:rFonts w:ascii="Courier New" w:hAnsi="Courier New" w:cs="Courier New" w:hint="default"/>
      </w:rPr>
    </w:lvl>
    <w:lvl w:ilvl="5" w:tplc="A8F4349C">
      <w:start w:val="1"/>
      <w:numFmt w:val="bullet"/>
      <w:lvlText w:val=""/>
      <w:lvlJc w:val="left"/>
      <w:pPr>
        <w:tabs>
          <w:tab w:val="num" w:pos="4320"/>
        </w:tabs>
        <w:ind w:left="4320" w:hanging="360"/>
      </w:pPr>
      <w:rPr>
        <w:rFonts w:ascii="Wingdings" w:hAnsi="Wingdings" w:hint="default"/>
      </w:rPr>
    </w:lvl>
    <w:lvl w:ilvl="6" w:tplc="9314011A">
      <w:start w:val="1"/>
      <w:numFmt w:val="bullet"/>
      <w:lvlText w:val=""/>
      <w:lvlJc w:val="left"/>
      <w:pPr>
        <w:tabs>
          <w:tab w:val="num" w:pos="5040"/>
        </w:tabs>
        <w:ind w:left="5040" w:hanging="360"/>
      </w:pPr>
      <w:rPr>
        <w:rFonts w:ascii="Symbol" w:hAnsi="Symbol" w:hint="default"/>
      </w:rPr>
    </w:lvl>
    <w:lvl w:ilvl="7" w:tplc="BD9CA576">
      <w:start w:val="1"/>
      <w:numFmt w:val="bullet"/>
      <w:lvlText w:val="o"/>
      <w:lvlJc w:val="left"/>
      <w:pPr>
        <w:tabs>
          <w:tab w:val="num" w:pos="5760"/>
        </w:tabs>
        <w:ind w:left="5760" w:hanging="360"/>
      </w:pPr>
      <w:rPr>
        <w:rFonts w:ascii="Courier New" w:hAnsi="Courier New" w:cs="Courier New" w:hint="default"/>
      </w:rPr>
    </w:lvl>
    <w:lvl w:ilvl="8" w:tplc="4180360C">
      <w:start w:val="1"/>
      <w:numFmt w:val="bullet"/>
      <w:lvlText w:val=""/>
      <w:lvlJc w:val="left"/>
      <w:pPr>
        <w:tabs>
          <w:tab w:val="num" w:pos="6480"/>
        </w:tabs>
        <w:ind w:left="6480" w:hanging="360"/>
      </w:pPr>
      <w:rPr>
        <w:rFonts w:ascii="Wingdings" w:hAnsi="Wingdings" w:hint="default"/>
      </w:rPr>
    </w:lvl>
  </w:abstractNum>
  <w:abstractNum w:abstractNumId="1">
    <w:nsid w:val="3FAA252C"/>
    <w:multiLevelType w:val="hybridMultilevel"/>
    <w:tmpl w:val="F78EB28C"/>
    <w:lvl w:ilvl="0" w:tplc="4676B42A">
      <w:numFmt w:val="bullet"/>
      <w:lvlText w:val="-"/>
      <w:lvlJc w:val="left"/>
      <w:pPr>
        <w:ind w:left="1065" w:hanging="360"/>
      </w:pPr>
      <w:rPr>
        <w:rFonts w:ascii="Arial" w:eastAsia="Times New Roman" w:hAnsi="Arial" w:cs="Arial" w:hint="default"/>
      </w:rPr>
    </w:lvl>
    <w:lvl w:ilvl="1" w:tplc="4CACD66A" w:tentative="1">
      <w:start w:val="1"/>
      <w:numFmt w:val="bullet"/>
      <w:lvlText w:val="o"/>
      <w:lvlJc w:val="left"/>
      <w:pPr>
        <w:ind w:left="1785" w:hanging="360"/>
      </w:pPr>
      <w:rPr>
        <w:rFonts w:ascii="Courier New" w:hAnsi="Courier New" w:cs="Courier New" w:hint="default"/>
      </w:rPr>
    </w:lvl>
    <w:lvl w:ilvl="2" w:tplc="42C4DE26" w:tentative="1">
      <w:start w:val="1"/>
      <w:numFmt w:val="bullet"/>
      <w:lvlText w:val=""/>
      <w:lvlJc w:val="left"/>
      <w:pPr>
        <w:ind w:left="2505" w:hanging="360"/>
      </w:pPr>
      <w:rPr>
        <w:rFonts w:ascii="Wingdings" w:hAnsi="Wingdings" w:hint="default"/>
      </w:rPr>
    </w:lvl>
    <w:lvl w:ilvl="3" w:tplc="0D46B976" w:tentative="1">
      <w:start w:val="1"/>
      <w:numFmt w:val="bullet"/>
      <w:lvlText w:val=""/>
      <w:lvlJc w:val="left"/>
      <w:pPr>
        <w:ind w:left="3225" w:hanging="360"/>
      </w:pPr>
      <w:rPr>
        <w:rFonts w:ascii="Symbol" w:hAnsi="Symbol" w:hint="default"/>
      </w:rPr>
    </w:lvl>
    <w:lvl w:ilvl="4" w:tplc="952EAC36" w:tentative="1">
      <w:start w:val="1"/>
      <w:numFmt w:val="bullet"/>
      <w:lvlText w:val="o"/>
      <w:lvlJc w:val="left"/>
      <w:pPr>
        <w:ind w:left="3945" w:hanging="360"/>
      </w:pPr>
      <w:rPr>
        <w:rFonts w:ascii="Courier New" w:hAnsi="Courier New" w:cs="Courier New" w:hint="default"/>
      </w:rPr>
    </w:lvl>
    <w:lvl w:ilvl="5" w:tplc="3FA61198" w:tentative="1">
      <w:start w:val="1"/>
      <w:numFmt w:val="bullet"/>
      <w:lvlText w:val=""/>
      <w:lvlJc w:val="left"/>
      <w:pPr>
        <w:ind w:left="4665" w:hanging="360"/>
      </w:pPr>
      <w:rPr>
        <w:rFonts w:ascii="Wingdings" w:hAnsi="Wingdings" w:hint="default"/>
      </w:rPr>
    </w:lvl>
    <w:lvl w:ilvl="6" w:tplc="7A70A766" w:tentative="1">
      <w:start w:val="1"/>
      <w:numFmt w:val="bullet"/>
      <w:lvlText w:val=""/>
      <w:lvlJc w:val="left"/>
      <w:pPr>
        <w:ind w:left="5385" w:hanging="360"/>
      </w:pPr>
      <w:rPr>
        <w:rFonts w:ascii="Symbol" w:hAnsi="Symbol" w:hint="default"/>
      </w:rPr>
    </w:lvl>
    <w:lvl w:ilvl="7" w:tplc="86CA6E22" w:tentative="1">
      <w:start w:val="1"/>
      <w:numFmt w:val="bullet"/>
      <w:lvlText w:val="o"/>
      <w:lvlJc w:val="left"/>
      <w:pPr>
        <w:ind w:left="6105" w:hanging="360"/>
      </w:pPr>
      <w:rPr>
        <w:rFonts w:ascii="Courier New" w:hAnsi="Courier New" w:cs="Courier New" w:hint="default"/>
      </w:rPr>
    </w:lvl>
    <w:lvl w:ilvl="8" w:tplc="A97CA4B0" w:tentative="1">
      <w:start w:val="1"/>
      <w:numFmt w:val="bullet"/>
      <w:lvlText w:val=""/>
      <w:lvlJc w:val="left"/>
      <w:pPr>
        <w:ind w:left="6825" w:hanging="360"/>
      </w:pPr>
      <w:rPr>
        <w:rFonts w:ascii="Wingdings" w:hAnsi="Wingdings" w:hint="default"/>
      </w:rPr>
    </w:lvl>
  </w:abstractNum>
  <w:abstractNum w:abstractNumId="2">
    <w:nsid w:val="609C0DCC"/>
    <w:multiLevelType w:val="multilevel"/>
    <w:tmpl w:val="C1848992"/>
    <w:lvl w:ilvl="0">
      <w:start w:val="1"/>
      <w:numFmt w:val="decimal"/>
      <w:pStyle w:val="Paragraphe"/>
      <w:lvlText w:val="[%1]"/>
      <w:lvlJc w:val="left"/>
      <w:pPr>
        <w:tabs>
          <w:tab w:val="num" w:pos="900"/>
        </w:tabs>
        <w:ind w:left="540" w:firstLine="0"/>
      </w:pPr>
      <w:rPr>
        <w:rFonts w:ascii="Arial" w:hAnsi="Arial" w:cs="Times New Roman" w:hint="default"/>
        <w:b w:val="0"/>
        <w:i w:val="0"/>
        <w:sz w:val="24"/>
      </w:rPr>
    </w:lvl>
    <w:lvl w:ilvl="1">
      <w:start w:val="1"/>
      <w:numFmt w:val="decimal"/>
      <w:pStyle w:val="Sous-paragraphe"/>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nsid w:val="6FD8099A"/>
    <w:multiLevelType w:val="hybridMultilevel"/>
    <w:tmpl w:val="0FB84222"/>
    <w:lvl w:ilvl="0" w:tplc="8C2A92A4">
      <w:numFmt w:val="bullet"/>
      <w:lvlText w:val="-"/>
      <w:lvlJc w:val="left"/>
      <w:pPr>
        <w:ind w:left="1425" w:hanging="360"/>
      </w:pPr>
      <w:rPr>
        <w:rFonts w:ascii="Arial" w:eastAsia="Times New Roman" w:hAnsi="Arial" w:cs="Arial" w:hint="default"/>
      </w:rPr>
    </w:lvl>
    <w:lvl w:ilvl="1" w:tplc="0D1A1A34" w:tentative="1">
      <w:start w:val="1"/>
      <w:numFmt w:val="bullet"/>
      <w:lvlText w:val="o"/>
      <w:lvlJc w:val="left"/>
      <w:pPr>
        <w:ind w:left="2145" w:hanging="360"/>
      </w:pPr>
      <w:rPr>
        <w:rFonts w:ascii="Courier New" w:hAnsi="Courier New" w:cs="Courier New" w:hint="default"/>
      </w:rPr>
    </w:lvl>
    <w:lvl w:ilvl="2" w:tplc="BE30E622" w:tentative="1">
      <w:start w:val="1"/>
      <w:numFmt w:val="bullet"/>
      <w:lvlText w:val=""/>
      <w:lvlJc w:val="left"/>
      <w:pPr>
        <w:ind w:left="2865" w:hanging="360"/>
      </w:pPr>
      <w:rPr>
        <w:rFonts w:ascii="Wingdings" w:hAnsi="Wingdings" w:hint="default"/>
      </w:rPr>
    </w:lvl>
    <w:lvl w:ilvl="3" w:tplc="24F41F44" w:tentative="1">
      <w:start w:val="1"/>
      <w:numFmt w:val="bullet"/>
      <w:lvlText w:val=""/>
      <w:lvlJc w:val="left"/>
      <w:pPr>
        <w:ind w:left="3585" w:hanging="360"/>
      </w:pPr>
      <w:rPr>
        <w:rFonts w:ascii="Symbol" w:hAnsi="Symbol" w:hint="default"/>
      </w:rPr>
    </w:lvl>
    <w:lvl w:ilvl="4" w:tplc="C382EE54" w:tentative="1">
      <w:start w:val="1"/>
      <w:numFmt w:val="bullet"/>
      <w:lvlText w:val="o"/>
      <w:lvlJc w:val="left"/>
      <w:pPr>
        <w:ind w:left="4305" w:hanging="360"/>
      </w:pPr>
      <w:rPr>
        <w:rFonts w:ascii="Courier New" w:hAnsi="Courier New" w:cs="Courier New" w:hint="default"/>
      </w:rPr>
    </w:lvl>
    <w:lvl w:ilvl="5" w:tplc="AF7243C4" w:tentative="1">
      <w:start w:val="1"/>
      <w:numFmt w:val="bullet"/>
      <w:lvlText w:val=""/>
      <w:lvlJc w:val="left"/>
      <w:pPr>
        <w:ind w:left="5025" w:hanging="360"/>
      </w:pPr>
      <w:rPr>
        <w:rFonts w:ascii="Wingdings" w:hAnsi="Wingdings" w:hint="default"/>
      </w:rPr>
    </w:lvl>
    <w:lvl w:ilvl="6" w:tplc="19FC1CEA" w:tentative="1">
      <w:start w:val="1"/>
      <w:numFmt w:val="bullet"/>
      <w:lvlText w:val=""/>
      <w:lvlJc w:val="left"/>
      <w:pPr>
        <w:ind w:left="5745" w:hanging="360"/>
      </w:pPr>
      <w:rPr>
        <w:rFonts w:ascii="Symbol" w:hAnsi="Symbol" w:hint="default"/>
      </w:rPr>
    </w:lvl>
    <w:lvl w:ilvl="7" w:tplc="9B2C805C" w:tentative="1">
      <w:start w:val="1"/>
      <w:numFmt w:val="bullet"/>
      <w:lvlText w:val="o"/>
      <w:lvlJc w:val="left"/>
      <w:pPr>
        <w:ind w:left="6465" w:hanging="360"/>
      </w:pPr>
      <w:rPr>
        <w:rFonts w:ascii="Courier New" w:hAnsi="Courier New" w:cs="Courier New" w:hint="default"/>
      </w:rPr>
    </w:lvl>
    <w:lvl w:ilvl="8" w:tplc="E7228ABC" w:tentative="1">
      <w:start w:val="1"/>
      <w:numFmt w:val="bullet"/>
      <w:lvlText w:val=""/>
      <w:lvlJc w:val="left"/>
      <w:pPr>
        <w:ind w:left="7185" w:hanging="360"/>
      </w:pPr>
      <w:rPr>
        <w:rFonts w:ascii="Wingdings" w:hAnsi="Wingdings" w:hint="default"/>
      </w:rPr>
    </w:lvl>
  </w:abstractNum>
  <w:num w:numId="1">
    <w:abstractNumId w:val="2"/>
  </w:num>
  <w:num w:numId="2">
    <w:abstractNumId w:val="0"/>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removePersonalInformation/>
  <w:removeDateAndTime/>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816"/>
    <w:rsid w:val="00000EBA"/>
    <w:rsid w:val="00006DE0"/>
    <w:rsid w:val="00007725"/>
    <w:rsid w:val="00024D73"/>
    <w:rsid w:val="00026C2C"/>
    <w:rsid w:val="00033C0B"/>
    <w:rsid w:val="000374CC"/>
    <w:rsid w:val="000421C4"/>
    <w:rsid w:val="000452F7"/>
    <w:rsid w:val="00050F7D"/>
    <w:rsid w:val="00056643"/>
    <w:rsid w:val="00062948"/>
    <w:rsid w:val="00071D02"/>
    <w:rsid w:val="0007345B"/>
    <w:rsid w:val="00092453"/>
    <w:rsid w:val="0009482C"/>
    <w:rsid w:val="000A1714"/>
    <w:rsid w:val="000A6F7D"/>
    <w:rsid w:val="000C2C25"/>
    <w:rsid w:val="000C3D0A"/>
    <w:rsid w:val="000D2FB2"/>
    <w:rsid w:val="000F5FAA"/>
    <w:rsid w:val="00102D40"/>
    <w:rsid w:val="00104351"/>
    <w:rsid w:val="001144B6"/>
    <w:rsid w:val="00115512"/>
    <w:rsid w:val="00115D99"/>
    <w:rsid w:val="001275CF"/>
    <w:rsid w:val="00144CDC"/>
    <w:rsid w:val="0014610F"/>
    <w:rsid w:val="001534FB"/>
    <w:rsid w:val="00153B91"/>
    <w:rsid w:val="00173845"/>
    <w:rsid w:val="00174E94"/>
    <w:rsid w:val="00182790"/>
    <w:rsid w:val="001A4D7D"/>
    <w:rsid w:val="001A4F8D"/>
    <w:rsid w:val="001A6EE0"/>
    <w:rsid w:val="001B2930"/>
    <w:rsid w:val="001D23BD"/>
    <w:rsid w:val="001D529B"/>
    <w:rsid w:val="00202D7D"/>
    <w:rsid w:val="002033B6"/>
    <w:rsid w:val="002044FD"/>
    <w:rsid w:val="00235EBE"/>
    <w:rsid w:val="00236A42"/>
    <w:rsid w:val="002629A1"/>
    <w:rsid w:val="00262A3B"/>
    <w:rsid w:val="0026311B"/>
    <w:rsid w:val="00284F90"/>
    <w:rsid w:val="00290407"/>
    <w:rsid w:val="002A7B24"/>
    <w:rsid w:val="002B3C91"/>
    <w:rsid w:val="002C2F4C"/>
    <w:rsid w:val="002D520B"/>
    <w:rsid w:val="002E7A2D"/>
    <w:rsid w:val="00304D0E"/>
    <w:rsid w:val="003205D9"/>
    <w:rsid w:val="00332065"/>
    <w:rsid w:val="003346ED"/>
    <w:rsid w:val="00343AEB"/>
    <w:rsid w:val="0035236C"/>
    <w:rsid w:val="003544CA"/>
    <w:rsid w:val="00366C9E"/>
    <w:rsid w:val="00375246"/>
    <w:rsid w:val="003856CF"/>
    <w:rsid w:val="00391965"/>
    <w:rsid w:val="003930D8"/>
    <w:rsid w:val="003A1B3F"/>
    <w:rsid w:val="003A3F02"/>
    <w:rsid w:val="003B10D8"/>
    <w:rsid w:val="003C7456"/>
    <w:rsid w:val="003E07D0"/>
    <w:rsid w:val="003E29A1"/>
    <w:rsid w:val="003F28AF"/>
    <w:rsid w:val="00401F4A"/>
    <w:rsid w:val="00404747"/>
    <w:rsid w:val="004069F9"/>
    <w:rsid w:val="00410A34"/>
    <w:rsid w:val="00411FF3"/>
    <w:rsid w:val="00435EC9"/>
    <w:rsid w:val="00444113"/>
    <w:rsid w:val="004654B4"/>
    <w:rsid w:val="0047049B"/>
    <w:rsid w:val="004A1B68"/>
    <w:rsid w:val="004B4B11"/>
    <w:rsid w:val="004B5368"/>
    <w:rsid w:val="004C48AF"/>
    <w:rsid w:val="004D152E"/>
    <w:rsid w:val="004D4082"/>
    <w:rsid w:val="004D76B4"/>
    <w:rsid w:val="004E21BD"/>
    <w:rsid w:val="004E7876"/>
    <w:rsid w:val="0050125E"/>
    <w:rsid w:val="0051212F"/>
    <w:rsid w:val="00517974"/>
    <w:rsid w:val="00524B13"/>
    <w:rsid w:val="005270AA"/>
    <w:rsid w:val="005322D5"/>
    <w:rsid w:val="0054149E"/>
    <w:rsid w:val="0054215A"/>
    <w:rsid w:val="005432C0"/>
    <w:rsid w:val="005708B2"/>
    <w:rsid w:val="005718B0"/>
    <w:rsid w:val="005727DF"/>
    <w:rsid w:val="00592537"/>
    <w:rsid w:val="005A1C30"/>
    <w:rsid w:val="005C7ADB"/>
    <w:rsid w:val="005E6DD0"/>
    <w:rsid w:val="005F1D98"/>
    <w:rsid w:val="00602640"/>
    <w:rsid w:val="00605952"/>
    <w:rsid w:val="0061111D"/>
    <w:rsid w:val="00612922"/>
    <w:rsid w:val="006167E0"/>
    <w:rsid w:val="0062252F"/>
    <w:rsid w:val="00625091"/>
    <w:rsid w:val="0064483C"/>
    <w:rsid w:val="00645CA1"/>
    <w:rsid w:val="00647440"/>
    <w:rsid w:val="0065180C"/>
    <w:rsid w:val="006529C7"/>
    <w:rsid w:val="00661AF3"/>
    <w:rsid w:val="00680854"/>
    <w:rsid w:val="00680EF7"/>
    <w:rsid w:val="00692A26"/>
    <w:rsid w:val="006A4D1C"/>
    <w:rsid w:val="006B075B"/>
    <w:rsid w:val="006C073D"/>
    <w:rsid w:val="006E31C8"/>
    <w:rsid w:val="006F0342"/>
    <w:rsid w:val="006F07A1"/>
    <w:rsid w:val="006F5505"/>
    <w:rsid w:val="00721FDD"/>
    <w:rsid w:val="00725582"/>
    <w:rsid w:val="00734AA8"/>
    <w:rsid w:val="007379B3"/>
    <w:rsid w:val="00743573"/>
    <w:rsid w:val="007512FA"/>
    <w:rsid w:val="00756C31"/>
    <w:rsid w:val="00760B3F"/>
    <w:rsid w:val="00771087"/>
    <w:rsid w:val="00772CEE"/>
    <w:rsid w:val="007765F2"/>
    <w:rsid w:val="00782FED"/>
    <w:rsid w:val="00787B60"/>
    <w:rsid w:val="007A37F5"/>
    <w:rsid w:val="007C79C9"/>
    <w:rsid w:val="007E0453"/>
    <w:rsid w:val="007E0884"/>
    <w:rsid w:val="007E4A0D"/>
    <w:rsid w:val="007E4EFC"/>
    <w:rsid w:val="007F5A1C"/>
    <w:rsid w:val="008009AC"/>
    <w:rsid w:val="008032A3"/>
    <w:rsid w:val="00814458"/>
    <w:rsid w:val="0082241E"/>
    <w:rsid w:val="00822F61"/>
    <w:rsid w:val="008258FE"/>
    <w:rsid w:val="00826DAC"/>
    <w:rsid w:val="00834708"/>
    <w:rsid w:val="0083576A"/>
    <w:rsid w:val="008469C3"/>
    <w:rsid w:val="00850587"/>
    <w:rsid w:val="008664C0"/>
    <w:rsid w:val="008665B1"/>
    <w:rsid w:val="00870923"/>
    <w:rsid w:val="00876069"/>
    <w:rsid w:val="00880478"/>
    <w:rsid w:val="0089331A"/>
    <w:rsid w:val="00896DD8"/>
    <w:rsid w:val="008A66FC"/>
    <w:rsid w:val="008B13EC"/>
    <w:rsid w:val="008C35E5"/>
    <w:rsid w:val="008D7ED2"/>
    <w:rsid w:val="008E0C2E"/>
    <w:rsid w:val="008E3A4E"/>
    <w:rsid w:val="008E5C1C"/>
    <w:rsid w:val="008F64FC"/>
    <w:rsid w:val="009017F6"/>
    <w:rsid w:val="009062FF"/>
    <w:rsid w:val="00911C03"/>
    <w:rsid w:val="00914806"/>
    <w:rsid w:val="009224AD"/>
    <w:rsid w:val="00922EAA"/>
    <w:rsid w:val="00924118"/>
    <w:rsid w:val="0092454D"/>
    <w:rsid w:val="00932DF6"/>
    <w:rsid w:val="00934B13"/>
    <w:rsid w:val="009645F6"/>
    <w:rsid w:val="009750E1"/>
    <w:rsid w:val="00994C03"/>
    <w:rsid w:val="009A1BFF"/>
    <w:rsid w:val="009A3155"/>
    <w:rsid w:val="009A3634"/>
    <w:rsid w:val="009A4475"/>
    <w:rsid w:val="009B3D33"/>
    <w:rsid w:val="009B5860"/>
    <w:rsid w:val="009C7F7A"/>
    <w:rsid w:val="009F02CE"/>
    <w:rsid w:val="009F4CE0"/>
    <w:rsid w:val="00A026DC"/>
    <w:rsid w:val="00A1120F"/>
    <w:rsid w:val="00A13F6A"/>
    <w:rsid w:val="00A178C1"/>
    <w:rsid w:val="00A17B86"/>
    <w:rsid w:val="00A23170"/>
    <w:rsid w:val="00A26195"/>
    <w:rsid w:val="00A30CE9"/>
    <w:rsid w:val="00A4363E"/>
    <w:rsid w:val="00A440A6"/>
    <w:rsid w:val="00A50939"/>
    <w:rsid w:val="00A50EB4"/>
    <w:rsid w:val="00A52DC3"/>
    <w:rsid w:val="00A56B22"/>
    <w:rsid w:val="00A63BDC"/>
    <w:rsid w:val="00A74EA6"/>
    <w:rsid w:val="00A7542E"/>
    <w:rsid w:val="00A85BEC"/>
    <w:rsid w:val="00A86D59"/>
    <w:rsid w:val="00A93D58"/>
    <w:rsid w:val="00AA3DA3"/>
    <w:rsid w:val="00AA5603"/>
    <w:rsid w:val="00AA6AB1"/>
    <w:rsid w:val="00AC3E8B"/>
    <w:rsid w:val="00AC5445"/>
    <w:rsid w:val="00AC5856"/>
    <w:rsid w:val="00AD0D6E"/>
    <w:rsid w:val="00AD7D2C"/>
    <w:rsid w:val="00AE2BEA"/>
    <w:rsid w:val="00AF4496"/>
    <w:rsid w:val="00B051EF"/>
    <w:rsid w:val="00B25860"/>
    <w:rsid w:val="00B268E2"/>
    <w:rsid w:val="00B34580"/>
    <w:rsid w:val="00B36117"/>
    <w:rsid w:val="00B37E81"/>
    <w:rsid w:val="00B47C47"/>
    <w:rsid w:val="00B55559"/>
    <w:rsid w:val="00B6476E"/>
    <w:rsid w:val="00B6555F"/>
    <w:rsid w:val="00B66AFD"/>
    <w:rsid w:val="00B76C60"/>
    <w:rsid w:val="00B81E62"/>
    <w:rsid w:val="00B85D80"/>
    <w:rsid w:val="00BB75CA"/>
    <w:rsid w:val="00BD3281"/>
    <w:rsid w:val="00BD5204"/>
    <w:rsid w:val="00BE1411"/>
    <w:rsid w:val="00BF30D2"/>
    <w:rsid w:val="00C1201F"/>
    <w:rsid w:val="00C17DEE"/>
    <w:rsid w:val="00C24810"/>
    <w:rsid w:val="00C24A52"/>
    <w:rsid w:val="00C26366"/>
    <w:rsid w:val="00C351EA"/>
    <w:rsid w:val="00C41A9E"/>
    <w:rsid w:val="00C441C2"/>
    <w:rsid w:val="00C60E6A"/>
    <w:rsid w:val="00C61C4F"/>
    <w:rsid w:val="00C62521"/>
    <w:rsid w:val="00C6290E"/>
    <w:rsid w:val="00C769C1"/>
    <w:rsid w:val="00C82224"/>
    <w:rsid w:val="00C8469D"/>
    <w:rsid w:val="00C90776"/>
    <w:rsid w:val="00C917A4"/>
    <w:rsid w:val="00C96551"/>
    <w:rsid w:val="00CA68B3"/>
    <w:rsid w:val="00CB0D2C"/>
    <w:rsid w:val="00CB5F65"/>
    <w:rsid w:val="00CB6277"/>
    <w:rsid w:val="00CF585D"/>
    <w:rsid w:val="00D13A60"/>
    <w:rsid w:val="00D16AA8"/>
    <w:rsid w:val="00D35C18"/>
    <w:rsid w:val="00D4396D"/>
    <w:rsid w:val="00D446DA"/>
    <w:rsid w:val="00D466D1"/>
    <w:rsid w:val="00D51B45"/>
    <w:rsid w:val="00D553DF"/>
    <w:rsid w:val="00D72F8A"/>
    <w:rsid w:val="00D82B88"/>
    <w:rsid w:val="00D9411E"/>
    <w:rsid w:val="00D94A8C"/>
    <w:rsid w:val="00DA56E8"/>
    <w:rsid w:val="00DB6FDD"/>
    <w:rsid w:val="00DC0381"/>
    <w:rsid w:val="00DE53ED"/>
    <w:rsid w:val="00DF2832"/>
    <w:rsid w:val="00E03816"/>
    <w:rsid w:val="00E05D2B"/>
    <w:rsid w:val="00E05EB4"/>
    <w:rsid w:val="00E228B2"/>
    <w:rsid w:val="00E35EA5"/>
    <w:rsid w:val="00E374EE"/>
    <w:rsid w:val="00E535D3"/>
    <w:rsid w:val="00E6017F"/>
    <w:rsid w:val="00E66CB9"/>
    <w:rsid w:val="00E93440"/>
    <w:rsid w:val="00E963A1"/>
    <w:rsid w:val="00EA1E7F"/>
    <w:rsid w:val="00EA542C"/>
    <w:rsid w:val="00EC0C10"/>
    <w:rsid w:val="00EC0DF2"/>
    <w:rsid w:val="00EC41A9"/>
    <w:rsid w:val="00ED2648"/>
    <w:rsid w:val="00EF3D12"/>
    <w:rsid w:val="00EF58CA"/>
    <w:rsid w:val="00F06C78"/>
    <w:rsid w:val="00F07DE3"/>
    <w:rsid w:val="00F11843"/>
    <w:rsid w:val="00F13A04"/>
    <w:rsid w:val="00F237D8"/>
    <w:rsid w:val="00F23872"/>
    <w:rsid w:val="00F35980"/>
    <w:rsid w:val="00F53F73"/>
    <w:rsid w:val="00F679FD"/>
    <w:rsid w:val="00F879E3"/>
    <w:rsid w:val="00F92A51"/>
    <w:rsid w:val="00FA6A23"/>
    <w:rsid w:val="00FA72D6"/>
    <w:rsid w:val="00FB2B4B"/>
    <w:rsid w:val="00FB52C9"/>
    <w:rsid w:val="00FC61AA"/>
    <w:rsid w:val="00FF440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816"/>
    <w:pPr>
      <w:spacing w:after="0" w:line="240" w:lineRule="auto"/>
    </w:pPr>
    <w:rPr>
      <w:rFonts w:ascii="Arial" w:eastAsia="Times New Roman" w:hAnsi="Arial" w:cs="Times New Roman"/>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semiHidden/>
    <w:unhideWhenUsed/>
    <w:rsid w:val="00E03816"/>
    <w:pPr>
      <w:ind w:left="360" w:hanging="360"/>
      <w:jc w:val="both"/>
    </w:pPr>
    <w:rPr>
      <w:sz w:val="20"/>
    </w:rPr>
  </w:style>
  <w:style w:type="character" w:customStyle="1" w:styleId="NotedebasdepageCar">
    <w:name w:val="Note de bas de page Car"/>
    <w:basedOn w:val="Policepardfaut"/>
    <w:link w:val="Notedebasdepage"/>
    <w:semiHidden/>
    <w:rsid w:val="00E03816"/>
    <w:rPr>
      <w:rFonts w:ascii="Arial" w:eastAsia="Times New Roman" w:hAnsi="Arial" w:cs="Times New Roman"/>
      <w:sz w:val="20"/>
      <w:szCs w:val="20"/>
      <w:lang w:eastAsia="fr-FR"/>
    </w:rPr>
  </w:style>
  <w:style w:type="paragraph" w:customStyle="1" w:styleId="Paragraphe">
    <w:name w:val="Paragraphe"/>
    <w:basedOn w:val="Normal"/>
    <w:rsid w:val="00E03816"/>
    <w:pPr>
      <w:numPr>
        <w:numId w:val="1"/>
      </w:numPr>
      <w:spacing w:before="120" w:after="120" w:line="500" w:lineRule="exact"/>
      <w:jc w:val="both"/>
    </w:pPr>
    <w:rPr>
      <w:kern w:val="28"/>
    </w:rPr>
  </w:style>
  <w:style w:type="paragraph" w:customStyle="1" w:styleId="Citationenretrait">
    <w:name w:val="Citation en retrait"/>
    <w:basedOn w:val="Normal"/>
    <w:rsid w:val="00E03816"/>
    <w:pPr>
      <w:spacing w:before="120" w:after="120"/>
      <w:ind w:left="720" w:right="720"/>
      <w:jc w:val="both"/>
    </w:pPr>
    <w:rPr>
      <w:kern w:val="24"/>
      <w:sz w:val="22"/>
    </w:rPr>
  </w:style>
  <w:style w:type="paragraph" w:customStyle="1" w:styleId="zSoquijlblCour">
    <w:name w:val="zSoquij_lblCour"/>
    <w:basedOn w:val="Normal"/>
    <w:rsid w:val="00E03816"/>
    <w:pPr>
      <w:jc w:val="center"/>
    </w:pPr>
    <w:rPr>
      <w:b/>
      <w:sz w:val="36"/>
    </w:rPr>
  </w:style>
  <w:style w:type="paragraph" w:customStyle="1" w:styleId="zSoquijlblPays">
    <w:name w:val="zSoquij_lblPays"/>
    <w:basedOn w:val="Normal"/>
    <w:rsid w:val="00E03816"/>
  </w:style>
  <w:style w:type="paragraph" w:customStyle="1" w:styleId="zSoquijlblProvince">
    <w:name w:val="zSoquij_lblProvince"/>
    <w:basedOn w:val="Normal"/>
    <w:rsid w:val="00E03816"/>
  </w:style>
  <w:style w:type="paragraph" w:customStyle="1" w:styleId="zSoquijlblGreffe">
    <w:name w:val="zSoquij_lblGreffe"/>
    <w:basedOn w:val="Normal"/>
    <w:rsid w:val="00E03816"/>
    <w:pPr>
      <w:ind w:left="70"/>
    </w:pPr>
  </w:style>
  <w:style w:type="paragraph" w:customStyle="1" w:styleId="zSoquijdatGreffe">
    <w:name w:val="zSoquij_datGreffe"/>
    <w:basedOn w:val="Normal"/>
    <w:rsid w:val="00E03816"/>
    <w:pPr>
      <w:ind w:left="29"/>
    </w:pPr>
  </w:style>
  <w:style w:type="paragraph" w:customStyle="1" w:styleId="zSoquijdatDivision">
    <w:name w:val="zSoquij_datDivision"/>
    <w:basedOn w:val="Normal"/>
    <w:rsid w:val="00E03816"/>
    <w:pPr>
      <w:jc w:val="center"/>
    </w:pPr>
    <w:rPr>
      <w:sz w:val="22"/>
    </w:rPr>
  </w:style>
  <w:style w:type="paragraph" w:customStyle="1" w:styleId="zSoquijlblNoDossier">
    <w:name w:val="zSoquij_lblNoDossier"/>
    <w:basedOn w:val="Normal"/>
    <w:rsid w:val="00E03816"/>
  </w:style>
  <w:style w:type="paragraph" w:customStyle="1" w:styleId="zSoquijdatNoDossier">
    <w:name w:val="zSoquij_datNoDossier"/>
    <w:basedOn w:val="Normal"/>
    <w:rsid w:val="00E03816"/>
  </w:style>
  <w:style w:type="paragraph" w:customStyle="1" w:styleId="zSoquijdatNoDossierAnt">
    <w:name w:val="zSoquij_datNoDossierAnt"/>
    <w:basedOn w:val="Normal"/>
    <w:rsid w:val="00E03816"/>
  </w:style>
  <w:style w:type="paragraph" w:customStyle="1" w:styleId="zSoquijdatDateJugement">
    <w:name w:val="zSoquij_datDateJugement"/>
    <w:basedOn w:val="Normal"/>
    <w:rsid w:val="00E03816"/>
  </w:style>
  <w:style w:type="paragraph" w:customStyle="1" w:styleId="zSoquijlblDateJugement">
    <w:name w:val="zSoquij_lblDateJugement"/>
    <w:basedOn w:val="Normal"/>
    <w:rsid w:val="00E03816"/>
  </w:style>
  <w:style w:type="paragraph" w:customStyle="1" w:styleId="zSoquijlblJuge">
    <w:name w:val="zSoquij_lblJuge"/>
    <w:basedOn w:val="Normal"/>
    <w:rsid w:val="00E03816"/>
    <w:pPr>
      <w:ind w:left="70"/>
    </w:pPr>
    <w:rPr>
      <w:b/>
    </w:rPr>
  </w:style>
  <w:style w:type="paragraph" w:customStyle="1" w:styleId="zSoquijdatQteJuge">
    <w:name w:val="zSoquij_datQteJuge"/>
    <w:basedOn w:val="Normal"/>
    <w:rsid w:val="00E03816"/>
    <w:pPr>
      <w:ind w:left="29"/>
    </w:pPr>
    <w:rPr>
      <w:b/>
    </w:rPr>
  </w:style>
  <w:style w:type="paragraph" w:customStyle="1" w:styleId="zSoquijdatJuge">
    <w:name w:val="zSoquij_datJuge"/>
    <w:basedOn w:val="Normal"/>
    <w:rsid w:val="00E03816"/>
    <w:pPr>
      <w:ind w:left="52"/>
    </w:pPr>
    <w:rPr>
      <w:b/>
    </w:rPr>
  </w:style>
  <w:style w:type="paragraph" w:customStyle="1" w:styleId="zSoquijdatNomPartieDem">
    <w:name w:val="zSoquij_datNomPartieDem"/>
    <w:basedOn w:val="Normal"/>
    <w:rsid w:val="00E03816"/>
    <w:rPr>
      <w:b/>
      <w:bCs/>
    </w:rPr>
  </w:style>
  <w:style w:type="paragraph" w:customStyle="1" w:styleId="zSoquijdatQtePartieDem">
    <w:name w:val="zSoquij_datQtePartieDem"/>
    <w:basedOn w:val="Normal"/>
    <w:rsid w:val="00E03816"/>
    <w:pPr>
      <w:ind w:left="708"/>
    </w:pPr>
  </w:style>
  <w:style w:type="paragraph" w:customStyle="1" w:styleId="zSoquijlblLienParties">
    <w:name w:val="zSoquij_lblLienParties"/>
    <w:basedOn w:val="Normal"/>
    <w:rsid w:val="00E03816"/>
  </w:style>
  <w:style w:type="paragraph" w:customStyle="1" w:styleId="zSoquijdatNomPartieDef">
    <w:name w:val="zSoquij_datNomPartieDef"/>
    <w:basedOn w:val="Normal"/>
    <w:rsid w:val="00E03816"/>
    <w:rPr>
      <w:b/>
      <w:bCs/>
    </w:rPr>
  </w:style>
  <w:style w:type="paragraph" w:customStyle="1" w:styleId="zSoquijdatQtePartieDef">
    <w:name w:val="zSoquij_datQtePartieDef"/>
    <w:basedOn w:val="Normal"/>
    <w:rsid w:val="00E03816"/>
    <w:pPr>
      <w:ind w:left="708"/>
    </w:pPr>
  </w:style>
  <w:style w:type="paragraph" w:customStyle="1" w:styleId="zSoquijlblTypeDocument">
    <w:name w:val="zSoquij_lblTypeDocument"/>
    <w:basedOn w:val="Normal"/>
    <w:rsid w:val="00E03816"/>
    <w:pPr>
      <w:jc w:val="center"/>
    </w:pPr>
  </w:style>
  <w:style w:type="paragraph" w:customStyle="1" w:styleId="zSoquijlblProcureurDem">
    <w:name w:val="zSoquij_lblProcureurDem"/>
    <w:basedOn w:val="Normal"/>
    <w:rsid w:val="00E03816"/>
  </w:style>
  <w:style w:type="paragraph" w:customStyle="1" w:styleId="zSoquijlblProcureurDef">
    <w:name w:val="zSoquij_lblProcureurDef"/>
    <w:basedOn w:val="Normal"/>
    <w:rsid w:val="00E03816"/>
  </w:style>
  <w:style w:type="paragraph" w:customStyle="1" w:styleId="zSoquijlblDateAudience">
    <w:name w:val="zSoquij_lblDateAudience"/>
    <w:basedOn w:val="Normal"/>
    <w:rsid w:val="00E03816"/>
  </w:style>
  <w:style w:type="paragraph" w:customStyle="1" w:styleId="zSoquijdatDateAudience">
    <w:name w:val="zSoquij_datDateAudience"/>
    <w:basedOn w:val="Normal"/>
    <w:rsid w:val="00E03816"/>
  </w:style>
  <w:style w:type="paragraph" w:customStyle="1" w:styleId="zSoquijlblNomChambre">
    <w:name w:val="zSoquij_lblNomChambre"/>
    <w:basedOn w:val="Normal"/>
    <w:rsid w:val="00E03816"/>
  </w:style>
  <w:style w:type="paragraph" w:customStyle="1" w:styleId="zSoquijlblTitrePartie">
    <w:name w:val="zSoquij_lblTitrePartie"/>
    <w:basedOn w:val="Normal"/>
    <w:rsid w:val="00E03816"/>
  </w:style>
  <w:style w:type="paragraph" w:customStyle="1" w:styleId="zSoquijdatSignature3Juge">
    <w:name w:val="zSoquij_datSignature3Juge"/>
    <w:basedOn w:val="Normal"/>
    <w:rsid w:val="00E03816"/>
  </w:style>
  <w:style w:type="paragraph" w:customStyle="1" w:styleId="zSoquijdatIdJuge">
    <w:name w:val="zSoquij_datIdJuge"/>
    <w:basedOn w:val="Normal"/>
    <w:rsid w:val="00E03816"/>
    <w:pPr>
      <w:jc w:val="center"/>
    </w:pPr>
    <w:rPr>
      <w:sz w:val="20"/>
    </w:rPr>
  </w:style>
  <w:style w:type="paragraph" w:customStyle="1" w:styleId="Sous-paragraphe">
    <w:name w:val="Sous-paragraphe"/>
    <w:basedOn w:val="Normal"/>
    <w:rsid w:val="00E03816"/>
    <w:pPr>
      <w:widowControl w:val="0"/>
      <w:numPr>
        <w:ilvl w:val="1"/>
        <w:numId w:val="1"/>
      </w:numPr>
      <w:spacing w:after="120"/>
      <w:jc w:val="both"/>
    </w:pPr>
    <w:rPr>
      <w:kern w:val="28"/>
    </w:rPr>
  </w:style>
  <w:style w:type="paragraph" w:customStyle="1" w:styleId="zSoquijdatNomProcureurDem">
    <w:name w:val="zSoquij_datNomProcureurDem"/>
    <w:basedOn w:val="zSoquijlblProcureurDem"/>
    <w:rsid w:val="00E03816"/>
  </w:style>
  <w:style w:type="paragraph" w:customStyle="1" w:styleId="zSoquijdatNomProcureurDef">
    <w:name w:val="zSoquij_datNomProcureurDef"/>
    <w:basedOn w:val="zSoquijlblProcureurDef"/>
    <w:rsid w:val="00E03816"/>
  </w:style>
  <w:style w:type="paragraph" w:customStyle="1" w:styleId="zSoquijdatRepertorie">
    <w:name w:val="zSoquij_datRepertorie"/>
    <w:basedOn w:val="zSoquijlblCour"/>
    <w:rsid w:val="00E03816"/>
    <w:pPr>
      <w:jc w:val="left"/>
    </w:pPr>
    <w:rPr>
      <w:noProof/>
      <w:sz w:val="22"/>
    </w:rPr>
  </w:style>
  <w:style w:type="paragraph" w:customStyle="1" w:styleId="zSoquijdatRefNeutre">
    <w:name w:val="zSoquij_datRefNeutre"/>
    <w:basedOn w:val="zSoquijlblCour"/>
    <w:rsid w:val="00E03816"/>
    <w:pPr>
      <w:jc w:val="left"/>
    </w:pPr>
    <w:rPr>
      <w:noProof/>
      <w:sz w:val="22"/>
    </w:rPr>
  </w:style>
  <w:style w:type="paragraph" w:customStyle="1" w:styleId="zSoquijlblLocalite">
    <w:name w:val="zSoquij_lblLocalite"/>
    <w:basedOn w:val="zSoquijlblGreffe"/>
    <w:rsid w:val="00E03816"/>
  </w:style>
  <w:style w:type="paragraph" w:customStyle="1" w:styleId="zSoquijdatLocalite">
    <w:name w:val="zSoquij_datLocalite"/>
    <w:basedOn w:val="zSoquijdatGreffe"/>
    <w:rsid w:val="00E03816"/>
  </w:style>
  <w:style w:type="character" w:styleId="Appelnotedebasdep">
    <w:name w:val="footnote reference"/>
    <w:uiPriority w:val="99"/>
    <w:semiHidden/>
    <w:unhideWhenUsed/>
    <w:rsid w:val="00E03816"/>
    <w:rPr>
      <w:noProof w:val="0"/>
      <w:vertAlign w:val="superscript"/>
      <w:lang w:val="fr-CA"/>
    </w:rPr>
  </w:style>
  <w:style w:type="table" w:styleId="Grilledutableau">
    <w:name w:val="Table Grid"/>
    <w:basedOn w:val="TableauNormal"/>
    <w:rsid w:val="00E03816"/>
    <w:pPr>
      <w:spacing w:after="0" w:line="240" w:lineRule="auto"/>
    </w:pPr>
    <w:rPr>
      <w:rFonts w:ascii="Times New Roman" w:eastAsia="Times New Roma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11843"/>
    <w:pPr>
      <w:tabs>
        <w:tab w:val="center" w:pos="4320"/>
        <w:tab w:val="right" w:pos="8640"/>
      </w:tabs>
    </w:pPr>
  </w:style>
  <w:style w:type="character" w:customStyle="1" w:styleId="En-tteCar">
    <w:name w:val="En-tête Car"/>
    <w:basedOn w:val="Policepardfaut"/>
    <w:link w:val="En-tte"/>
    <w:uiPriority w:val="99"/>
    <w:rsid w:val="00F11843"/>
    <w:rPr>
      <w:rFonts w:ascii="Arial" w:eastAsia="Times New Roman" w:hAnsi="Arial" w:cs="Times New Roman"/>
      <w:sz w:val="24"/>
      <w:szCs w:val="20"/>
      <w:lang w:eastAsia="fr-FR"/>
    </w:rPr>
  </w:style>
  <w:style w:type="paragraph" w:styleId="Pieddepage">
    <w:name w:val="footer"/>
    <w:basedOn w:val="Normal"/>
    <w:link w:val="PieddepageCar"/>
    <w:uiPriority w:val="99"/>
    <w:unhideWhenUsed/>
    <w:rsid w:val="00F11843"/>
    <w:pPr>
      <w:tabs>
        <w:tab w:val="center" w:pos="4320"/>
        <w:tab w:val="right" w:pos="8640"/>
      </w:tabs>
    </w:pPr>
  </w:style>
  <w:style w:type="character" w:customStyle="1" w:styleId="PieddepageCar">
    <w:name w:val="Pied de page Car"/>
    <w:basedOn w:val="Policepardfaut"/>
    <w:link w:val="Pieddepage"/>
    <w:uiPriority w:val="99"/>
    <w:rsid w:val="00F11843"/>
    <w:rPr>
      <w:rFonts w:ascii="Arial" w:eastAsia="Times New Roman" w:hAnsi="Arial" w:cs="Times New Roman"/>
      <w:sz w:val="24"/>
      <w:szCs w:val="20"/>
      <w:lang w:eastAsia="fr-FR"/>
    </w:rPr>
  </w:style>
  <w:style w:type="paragraph" w:styleId="Textedebulles">
    <w:name w:val="Balloon Text"/>
    <w:basedOn w:val="Normal"/>
    <w:link w:val="TextedebullesCar"/>
    <w:uiPriority w:val="99"/>
    <w:semiHidden/>
    <w:unhideWhenUsed/>
    <w:rsid w:val="001B2930"/>
    <w:rPr>
      <w:rFonts w:ascii="Segoe UI" w:hAnsi="Segoe UI" w:cs="Segoe UI"/>
      <w:sz w:val="18"/>
      <w:szCs w:val="18"/>
    </w:rPr>
  </w:style>
  <w:style w:type="character" w:customStyle="1" w:styleId="TextedebullesCar">
    <w:name w:val="Texte de bulles Car"/>
    <w:basedOn w:val="Policepardfaut"/>
    <w:link w:val="Textedebulles"/>
    <w:uiPriority w:val="99"/>
    <w:semiHidden/>
    <w:rsid w:val="001B2930"/>
    <w:rPr>
      <w:rFonts w:ascii="Segoe UI" w:eastAsia="Times New Roman" w:hAnsi="Segoe UI" w:cs="Segoe UI"/>
      <w:sz w:val="18"/>
      <w:szCs w:val="18"/>
      <w:lang w:eastAsia="fr-FR"/>
    </w:rPr>
  </w:style>
  <w:style w:type="character" w:customStyle="1" w:styleId="sectionlabel">
    <w:name w:val="sectionlabel"/>
    <w:rsid w:val="00E66CB9"/>
  </w:style>
  <w:style w:type="character" w:customStyle="1" w:styleId="lawlabel">
    <w:name w:val="lawlabel"/>
    <w:rsid w:val="00E66CB9"/>
  </w:style>
  <w:style w:type="character" w:styleId="Marquedecommentaire">
    <w:name w:val="annotation reference"/>
    <w:basedOn w:val="Policepardfaut"/>
    <w:uiPriority w:val="99"/>
    <w:semiHidden/>
    <w:unhideWhenUsed/>
    <w:rsid w:val="0007345B"/>
    <w:rPr>
      <w:sz w:val="16"/>
      <w:szCs w:val="16"/>
    </w:rPr>
  </w:style>
  <w:style w:type="paragraph" w:styleId="Commentaire">
    <w:name w:val="annotation text"/>
    <w:basedOn w:val="Normal"/>
    <w:link w:val="CommentaireCar"/>
    <w:uiPriority w:val="99"/>
    <w:semiHidden/>
    <w:unhideWhenUsed/>
    <w:rsid w:val="0007345B"/>
    <w:rPr>
      <w:sz w:val="20"/>
    </w:rPr>
  </w:style>
  <w:style w:type="character" w:customStyle="1" w:styleId="CommentaireCar">
    <w:name w:val="Commentaire Car"/>
    <w:basedOn w:val="Policepardfaut"/>
    <w:link w:val="Commentaire"/>
    <w:uiPriority w:val="99"/>
    <w:semiHidden/>
    <w:rsid w:val="0007345B"/>
    <w:rPr>
      <w:rFonts w:ascii="Arial" w:eastAsia="Times New Roman" w:hAnsi="Arial"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07345B"/>
    <w:rPr>
      <w:b/>
      <w:bCs/>
    </w:rPr>
  </w:style>
  <w:style w:type="character" w:customStyle="1" w:styleId="ObjetducommentaireCar">
    <w:name w:val="Objet du commentaire Car"/>
    <w:basedOn w:val="CommentaireCar"/>
    <w:link w:val="Objetducommentaire"/>
    <w:uiPriority w:val="99"/>
    <w:semiHidden/>
    <w:rsid w:val="0007345B"/>
    <w:rPr>
      <w:rFonts w:ascii="Arial" w:eastAsia="Times New Roman" w:hAnsi="Arial" w:cs="Times New Roman"/>
      <w:b/>
      <w:bCs/>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816"/>
    <w:pPr>
      <w:spacing w:after="0" w:line="240" w:lineRule="auto"/>
    </w:pPr>
    <w:rPr>
      <w:rFonts w:ascii="Arial" w:eastAsia="Times New Roman" w:hAnsi="Arial" w:cs="Times New Roman"/>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semiHidden/>
    <w:unhideWhenUsed/>
    <w:rsid w:val="00E03816"/>
    <w:pPr>
      <w:ind w:left="360" w:hanging="360"/>
      <w:jc w:val="both"/>
    </w:pPr>
    <w:rPr>
      <w:sz w:val="20"/>
    </w:rPr>
  </w:style>
  <w:style w:type="character" w:customStyle="1" w:styleId="NotedebasdepageCar">
    <w:name w:val="Note de bas de page Car"/>
    <w:basedOn w:val="Policepardfaut"/>
    <w:link w:val="Notedebasdepage"/>
    <w:semiHidden/>
    <w:rsid w:val="00E03816"/>
    <w:rPr>
      <w:rFonts w:ascii="Arial" w:eastAsia="Times New Roman" w:hAnsi="Arial" w:cs="Times New Roman"/>
      <w:sz w:val="20"/>
      <w:szCs w:val="20"/>
      <w:lang w:eastAsia="fr-FR"/>
    </w:rPr>
  </w:style>
  <w:style w:type="paragraph" w:customStyle="1" w:styleId="Paragraphe">
    <w:name w:val="Paragraphe"/>
    <w:basedOn w:val="Normal"/>
    <w:rsid w:val="00E03816"/>
    <w:pPr>
      <w:numPr>
        <w:numId w:val="1"/>
      </w:numPr>
      <w:spacing w:before="120" w:after="120" w:line="500" w:lineRule="exact"/>
      <w:jc w:val="both"/>
    </w:pPr>
    <w:rPr>
      <w:kern w:val="28"/>
    </w:rPr>
  </w:style>
  <w:style w:type="paragraph" w:customStyle="1" w:styleId="Citationenretrait">
    <w:name w:val="Citation en retrait"/>
    <w:basedOn w:val="Normal"/>
    <w:rsid w:val="00E03816"/>
    <w:pPr>
      <w:spacing w:before="120" w:after="120"/>
      <w:ind w:left="720" w:right="720"/>
      <w:jc w:val="both"/>
    </w:pPr>
    <w:rPr>
      <w:kern w:val="24"/>
      <w:sz w:val="22"/>
    </w:rPr>
  </w:style>
  <w:style w:type="paragraph" w:customStyle="1" w:styleId="zSoquijlblCour">
    <w:name w:val="zSoquij_lblCour"/>
    <w:basedOn w:val="Normal"/>
    <w:rsid w:val="00E03816"/>
    <w:pPr>
      <w:jc w:val="center"/>
    </w:pPr>
    <w:rPr>
      <w:b/>
      <w:sz w:val="36"/>
    </w:rPr>
  </w:style>
  <w:style w:type="paragraph" w:customStyle="1" w:styleId="zSoquijlblPays">
    <w:name w:val="zSoquij_lblPays"/>
    <w:basedOn w:val="Normal"/>
    <w:rsid w:val="00E03816"/>
  </w:style>
  <w:style w:type="paragraph" w:customStyle="1" w:styleId="zSoquijlblProvince">
    <w:name w:val="zSoquij_lblProvince"/>
    <w:basedOn w:val="Normal"/>
    <w:rsid w:val="00E03816"/>
  </w:style>
  <w:style w:type="paragraph" w:customStyle="1" w:styleId="zSoquijlblGreffe">
    <w:name w:val="zSoquij_lblGreffe"/>
    <w:basedOn w:val="Normal"/>
    <w:rsid w:val="00E03816"/>
    <w:pPr>
      <w:ind w:left="70"/>
    </w:pPr>
  </w:style>
  <w:style w:type="paragraph" w:customStyle="1" w:styleId="zSoquijdatGreffe">
    <w:name w:val="zSoquij_datGreffe"/>
    <w:basedOn w:val="Normal"/>
    <w:rsid w:val="00E03816"/>
    <w:pPr>
      <w:ind w:left="29"/>
    </w:pPr>
  </w:style>
  <w:style w:type="paragraph" w:customStyle="1" w:styleId="zSoquijdatDivision">
    <w:name w:val="zSoquij_datDivision"/>
    <w:basedOn w:val="Normal"/>
    <w:rsid w:val="00E03816"/>
    <w:pPr>
      <w:jc w:val="center"/>
    </w:pPr>
    <w:rPr>
      <w:sz w:val="22"/>
    </w:rPr>
  </w:style>
  <w:style w:type="paragraph" w:customStyle="1" w:styleId="zSoquijlblNoDossier">
    <w:name w:val="zSoquij_lblNoDossier"/>
    <w:basedOn w:val="Normal"/>
    <w:rsid w:val="00E03816"/>
  </w:style>
  <w:style w:type="paragraph" w:customStyle="1" w:styleId="zSoquijdatNoDossier">
    <w:name w:val="zSoquij_datNoDossier"/>
    <w:basedOn w:val="Normal"/>
    <w:rsid w:val="00E03816"/>
  </w:style>
  <w:style w:type="paragraph" w:customStyle="1" w:styleId="zSoquijdatNoDossierAnt">
    <w:name w:val="zSoquij_datNoDossierAnt"/>
    <w:basedOn w:val="Normal"/>
    <w:rsid w:val="00E03816"/>
  </w:style>
  <w:style w:type="paragraph" w:customStyle="1" w:styleId="zSoquijdatDateJugement">
    <w:name w:val="zSoquij_datDateJugement"/>
    <w:basedOn w:val="Normal"/>
    <w:rsid w:val="00E03816"/>
  </w:style>
  <w:style w:type="paragraph" w:customStyle="1" w:styleId="zSoquijlblDateJugement">
    <w:name w:val="zSoquij_lblDateJugement"/>
    <w:basedOn w:val="Normal"/>
    <w:rsid w:val="00E03816"/>
  </w:style>
  <w:style w:type="paragraph" w:customStyle="1" w:styleId="zSoquijlblJuge">
    <w:name w:val="zSoquij_lblJuge"/>
    <w:basedOn w:val="Normal"/>
    <w:rsid w:val="00E03816"/>
    <w:pPr>
      <w:ind w:left="70"/>
    </w:pPr>
    <w:rPr>
      <w:b/>
    </w:rPr>
  </w:style>
  <w:style w:type="paragraph" w:customStyle="1" w:styleId="zSoquijdatQteJuge">
    <w:name w:val="zSoquij_datQteJuge"/>
    <w:basedOn w:val="Normal"/>
    <w:rsid w:val="00E03816"/>
    <w:pPr>
      <w:ind w:left="29"/>
    </w:pPr>
    <w:rPr>
      <w:b/>
    </w:rPr>
  </w:style>
  <w:style w:type="paragraph" w:customStyle="1" w:styleId="zSoquijdatJuge">
    <w:name w:val="zSoquij_datJuge"/>
    <w:basedOn w:val="Normal"/>
    <w:rsid w:val="00E03816"/>
    <w:pPr>
      <w:ind w:left="52"/>
    </w:pPr>
    <w:rPr>
      <w:b/>
    </w:rPr>
  </w:style>
  <w:style w:type="paragraph" w:customStyle="1" w:styleId="zSoquijdatNomPartieDem">
    <w:name w:val="zSoquij_datNomPartieDem"/>
    <w:basedOn w:val="Normal"/>
    <w:rsid w:val="00E03816"/>
    <w:rPr>
      <w:b/>
      <w:bCs/>
    </w:rPr>
  </w:style>
  <w:style w:type="paragraph" w:customStyle="1" w:styleId="zSoquijdatQtePartieDem">
    <w:name w:val="zSoquij_datQtePartieDem"/>
    <w:basedOn w:val="Normal"/>
    <w:rsid w:val="00E03816"/>
    <w:pPr>
      <w:ind w:left="708"/>
    </w:pPr>
  </w:style>
  <w:style w:type="paragraph" w:customStyle="1" w:styleId="zSoquijlblLienParties">
    <w:name w:val="zSoquij_lblLienParties"/>
    <w:basedOn w:val="Normal"/>
    <w:rsid w:val="00E03816"/>
  </w:style>
  <w:style w:type="paragraph" w:customStyle="1" w:styleId="zSoquijdatNomPartieDef">
    <w:name w:val="zSoquij_datNomPartieDef"/>
    <w:basedOn w:val="Normal"/>
    <w:rsid w:val="00E03816"/>
    <w:rPr>
      <w:b/>
      <w:bCs/>
    </w:rPr>
  </w:style>
  <w:style w:type="paragraph" w:customStyle="1" w:styleId="zSoquijdatQtePartieDef">
    <w:name w:val="zSoquij_datQtePartieDef"/>
    <w:basedOn w:val="Normal"/>
    <w:rsid w:val="00E03816"/>
    <w:pPr>
      <w:ind w:left="708"/>
    </w:pPr>
  </w:style>
  <w:style w:type="paragraph" w:customStyle="1" w:styleId="zSoquijlblTypeDocument">
    <w:name w:val="zSoquij_lblTypeDocument"/>
    <w:basedOn w:val="Normal"/>
    <w:rsid w:val="00E03816"/>
    <w:pPr>
      <w:jc w:val="center"/>
    </w:pPr>
  </w:style>
  <w:style w:type="paragraph" w:customStyle="1" w:styleId="zSoquijlblProcureurDem">
    <w:name w:val="zSoquij_lblProcureurDem"/>
    <w:basedOn w:val="Normal"/>
    <w:rsid w:val="00E03816"/>
  </w:style>
  <w:style w:type="paragraph" w:customStyle="1" w:styleId="zSoquijlblProcureurDef">
    <w:name w:val="zSoquij_lblProcureurDef"/>
    <w:basedOn w:val="Normal"/>
    <w:rsid w:val="00E03816"/>
  </w:style>
  <w:style w:type="paragraph" w:customStyle="1" w:styleId="zSoquijlblDateAudience">
    <w:name w:val="zSoquij_lblDateAudience"/>
    <w:basedOn w:val="Normal"/>
    <w:rsid w:val="00E03816"/>
  </w:style>
  <w:style w:type="paragraph" w:customStyle="1" w:styleId="zSoquijdatDateAudience">
    <w:name w:val="zSoquij_datDateAudience"/>
    <w:basedOn w:val="Normal"/>
    <w:rsid w:val="00E03816"/>
  </w:style>
  <w:style w:type="paragraph" w:customStyle="1" w:styleId="zSoquijlblNomChambre">
    <w:name w:val="zSoquij_lblNomChambre"/>
    <w:basedOn w:val="Normal"/>
    <w:rsid w:val="00E03816"/>
  </w:style>
  <w:style w:type="paragraph" w:customStyle="1" w:styleId="zSoquijlblTitrePartie">
    <w:name w:val="zSoquij_lblTitrePartie"/>
    <w:basedOn w:val="Normal"/>
    <w:rsid w:val="00E03816"/>
  </w:style>
  <w:style w:type="paragraph" w:customStyle="1" w:styleId="zSoquijdatSignature3Juge">
    <w:name w:val="zSoquij_datSignature3Juge"/>
    <w:basedOn w:val="Normal"/>
    <w:rsid w:val="00E03816"/>
  </w:style>
  <w:style w:type="paragraph" w:customStyle="1" w:styleId="zSoquijdatIdJuge">
    <w:name w:val="zSoquij_datIdJuge"/>
    <w:basedOn w:val="Normal"/>
    <w:rsid w:val="00E03816"/>
    <w:pPr>
      <w:jc w:val="center"/>
    </w:pPr>
    <w:rPr>
      <w:sz w:val="20"/>
    </w:rPr>
  </w:style>
  <w:style w:type="paragraph" w:customStyle="1" w:styleId="Sous-paragraphe">
    <w:name w:val="Sous-paragraphe"/>
    <w:basedOn w:val="Normal"/>
    <w:rsid w:val="00E03816"/>
    <w:pPr>
      <w:widowControl w:val="0"/>
      <w:numPr>
        <w:ilvl w:val="1"/>
        <w:numId w:val="1"/>
      </w:numPr>
      <w:spacing w:after="120"/>
      <w:jc w:val="both"/>
    </w:pPr>
    <w:rPr>
      <w:kern w:val="28"/>
    </w:rPr>
  </w:style>
  <w:style w:type="paragraph" w:customStyle="1" w:styleId="zSoquijdatNomProcureurDem">
    <w:name w:val="zSoquij_datNomProcureurDem"/>
    <w:basedOn w:val="zSoquijlblProcureurDem"/>
    <w:rsid w:val="00E03816"/>
  </w:style>
  <w:style w:type="paragraph" w:customStyle="1" w:styleId="zSoquijdatNomProcureurDef">
    <w:name w:val="zSoquij_datNomProcureurDef"/>
    <w:basedOn w:val="zSoquijlblProcureurDef"/>
    <w:rsid w:val="00E03816"/>
  </w:style>
  <w:style w:type="paragraph" w:customStyle="1" w:styleId="zSoquijdatRepertorie">
    <w:name w:val="zSoquij_datRepertorie"/>
    <w:basedOn w:val="zSoquijlblCour"/>
    <w:rsid w:val="00E03816"/>
    <w:pPr>
      <w:jc w:val="left"/>
    </w:pPr>
    <w:rPr>
      <w:noProof/>
      <w:sz w:val="22"/>
    </w:rPr>
  </w:style>
  <w:style w:type="paragraph" w:customStyle="1" w:styleId="zSoquijdatRefNeutre">
    <w:name w:val="zSoquij_datRefNeutre"/>
    <w:basedOn w:val="zSoquijlblCour"/>
    <w:rsid w:val="00E03816"/>
    <w:pPr>
      <w:jc w:val="left"/>
    </w:pPr>
    <w:rPr>
      <w:noProof/>
      <w:sz w:val="22"/>
    </w:rPr>
  </w:style>
  <w:style w:type="paragraph" w:customStyle="1" w:styleId="zSoquijlblLocalite">
    <w:name w:val="zSoquij_lblLocalite"/>
    <w:basedOn w:val="zSoquijlblGreffe"/>
    <w:rsid w:val="00E03816"/>
  </w:style>
  <w:style w:type="paragraph" w:customStyle="1" w:styleId="zSoquijdatLocalite">
    <w:name w:val="zSoquij_datLocalite"/>
    <w:basedOn w:val="zSoquijdatGreffe"/>
    <w:rsid w:val="00E03816"/>
  </w:style>
  <w:style w:type="character" w:styleId="Appelnotedebasdep">
    <w:name w:val="footnote reference"/>
    <w:uiPriority w:val="99"/>
    <w:semiHidden/>
    <w:unhideWhenUsed/>
    <w:rsid w:val="00E03816"/>
    <w:rPr>
      <w:noProof w:val="0"/>
      <w:vertAlign w:val="superscript"/>
      <w:lang w:val="fr-CA"/>
    </w:rPr>
  </w:style>
  <w:style w:type="table" w:styleId="Grilledutableau">
    <w:name w:val="Table Grid"/>
    <w:basedOn w:val="TableauNormal"/>
    <w:rsid w:val="00E03816"/>
    <w:pPr>
      <w:spacing w:after="0" w:line="240" w:lineRule="auto"/>
    </w:pPr>
    <w:rPr>
      <w:rFonts w:ascii="Times New Roman" w:eastAsia="Times New Roma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11843"/>
    <w:pPr>
      <w:tabs>
        <w:tab w:val="center" w:pos="4320"/>
        <w:tab w:val="right" w:pos="8640"/>
      </w:tabs>
    </w:pPr>
  </w:style>
  <w:style w:type="character" w:customStyle="1" w:styleId="En-tteCar">
    <w:name w:val="En-tête Car"/>
    <w:basedOn w:val="Policepardfaut"/>
    <w:link w:val="En-tte"/>
    <w:uiPriority w:val="99"/>
    <w:rsid w:val="00F11843"/>
    <w:rPr>
      <w:rFonts w:ascii="Arial" w:eastAsia="Times New Roman" w:hAnsi="Arial" w:cs="Times New Roman"/>
      <w:sz w:val="24"/>
      <w:szCs w:val="20"/>
      <w:lang w:eastAsia="fr-FR"/>
    </w:rPr>
  </w:style>
  <w:style w:type="paragraph" w:styleId="Pieddepage">
    <w:name w:val="footer"/>
    <w:basedOn w:val="Normal"/>
    <w:link w:val="PieddepageCar"/>
    <w:uiPriority w:val="99"/>
    <w:unhideWhenUsed/>
    <w:rsid w:val="00F11843"/>
    <w:pPr>
      <w:tabs>
        <w:tab w:val="center" w:pos="4320"/>
        <w:tab w:val="right" w:pos="8640"/>
      </w:tabs>
    </w:pPr>
  </w:style>
  <w:style w:type="character" w:customStyle="1" w:styleId="PieddepageCar">
    <w:name w:val="Pied de page Car"/>
    <w:basedOn w:val="Policepardfaut"/>
    <w:link w:val="Pieddepage"/>
    <w:uiPriority w:val="99"/>
    <w:rsid w:val="00F11843"/>
    <w:rPr>
      <w:rFonts w:ascii="Arial" w:eastAsia="Times New Roman" w:hAnsi="Arial" w:cs="Times New Roman"/>
      <w:sz w:val="24"/>
      <w:szCs w:val="20"/>
      <w:lang w:eastAsia="fr-FR"/>
    </w:rPr>
  </w:style>
  <w:style w:type="paragraph" w:styleId="Textedebulles">
    <w:name w:val="Balloon Text"/>
    <w:basedOn w:val="Normal"/>
    <w:link w:val="TextedebullesCar"/>
    <w:uiPriority w:val="99"/>
    <w:semiHidden/>
    <w:unhideWhenUsed/>
    <w:rsid w:val="001B2930"/>
    <w:rPr>
      <w:rFonts w:ascii="Segoe UI" w:hAnsi="Segoe UI" w:cs="Segoe UI"/>
      <w:sz w:val="18"/>
      <w:szCs w:val="18"/>
    </w:rPr>
  </w:style>
  <w:style w:type="character" w:customStyle="1" w:styleId="TextedebullesCar">
    <w:name w:val="Texte de bulles Car"/>
    <w:basedOn w:val="Policepardfaut"/>
    <w:link w:val="Textedebulles"/>
    <w:uiPriority w:val="99"/>
    <w:semiHidden/>
    <w:rsid w:val="001B2930"/>
    <w:rPr>
      <w:rFonts w:ascii="Segoe UI" w:eastAsia="Times New Roman" w:hAnsi="Segoe UI" w:cs="Segoe UI"/>
      <w:sz w:val="18"/>
      <w:szCs w:val="18"/>
      <w:lang w:eastAsia="fr-FR"/>
    </w:rPr>
  </w:style>
  <w:style w:type="character" w:customStyle="1" w:styleId="sectionlabel">
    <w:name w:val="sectionlabel"/>
    <w:rsid w:val="00E66CB9"/>
  </w:style>
  <w:style w:type="character" w:customStyle="1" w:styleId="lawlabel">
    <w:name w:val="lawlabel"/>
    <w:rsid w:val="00E66CB9"/>
  </w:style>
  <w:style w:type="character" w:styleId="Marquedecommentaire">
    <w:name w:val="annotation reference"/>
    <w:basedOn w:val="Policepardfaut"/>
    <w:uiPriority w:val="99"/>
    <w:semiHidden/>
    <w:unhideWhenUsed/>
    <w:rsid w:val="0007345B"/>
    <w:rPr>
      <w:sz w:val="16"/>
      <w:szCs w:val="16"/>
    </w:rPr>
  </w:style>
  <w:style w:type="paragraph" w:styleId="Commentaire">
    <w:name w:val="annotation text"/>
    <w:basedOn w:val="Normal"/>
    <w:link w:val="CommentaireCar"/>
    <w:uiPriority w:val="99"/>
    <w:semiHidden/>
    <w:unhideWhenUsed/>
    <w:rsid w:val="0007345B"/>
    <w:rPr>
      <w:sz w:val="20"/>
    </w:rPr>
  </w:style>
  <w:style w:type="character" w:customStyle="1" w:styleId="CommentaireCar">
    <w:name w:val="Commentaire Car"/>
    <w:basedOn w:val="Policepardfaut"/>
    <w:link w:val="Commentaire"/>
    <w:uiPriority w:val="99"/>
    <w:semiHidden/>
    <w:rsid w:val="0007345B"/>
    <w:rPr>
      <w:rFonts w:ascii="Arial" w:eastAsia="Times New Roman" w:hAnsi="Arial"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07345B"/>
    <w:rPr>
      <w:b/>
      <w:bCs/>
    </w:rPr>
  </w:style>
  <w:style w:type="character" w:customStyle="1" w:styleId="ObjetducommentaireCar">
    <w:name w:val="Objet du commentaire Car"/>
    <w:basedOn w:val="CommentaireCar"/>
    <w:link w:val="Objetducommentaire"/>
    <w:uiPriority w:val="99"/>
    <w:semiHidden/>
    <w:rsid w:val="0007345B"/>
    <w:rPr>
      <w:rFonts w:ascii="Arial" w:eastAsia="Times New Roman" w:hAnsi="Arial" w:cs="Times New Roman"/>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0EA1D-C21D-4014-8B94-14BA4DB44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4084</Words>
  <Characters>22465</Characters>
  <Application>Microsoft Office Word</Application>
  <DocSecurity>0</DocSecurity>
  <Lines>187</Lines>
  <Paragraphs>52</Paragraphs>
  <ScaleCrop>false</ScaleCrop>
  <Company/>
  <LinksUpToDate>false</LinksUpToDate>
  <CharactersWithSpaces>26497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2021-11-16T17:01:00Z</dcterms:created>
  <dcterms:modified xsi:type="dcterms:W3CDTF">2021-11-16T17:01:00Z</dcterms:modified>
</cp:coreProperties>
</file>