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DBA8" w14:textId="77777777" w:rsidR="00FD6300" w:rsidRPr="00FD6300" w:rsidRDefault="00FD6300" w:rsidP="00FD6300">
      <w:pPr>
        <w:widowControl/>
        <w:spacing w:line="540" w:lineRule="exact"/>
        <w:jc w:val="center"/>
        <w:rPr>
          <w:rFonts w:ascii="Garamond" w:hAnsi="Garamond" w:cs="Times New Roman"/>
          <w:sz w:val="36"/>
          <w:szCs w:val="36"/>
        </w:rPr>
      </w:pPr>
      <w:r w:rsidRPr="00FD6300">
        <w:rPr>
          <w:rFonts w:ascii="Garamond" w:hAnsi="Garamond" w:cs="Times New Roman"/>
          <w:sz w:val="36"/>
          <w:szCs w:val="36"/>
        </w:rPr>
        <w:t>Informazioni per gli autori</w:t>
      </w:r>
    </w:p>
    <w:p w14:paraId="6F82AE5F" w14:textId="77777777" w:rsidR="00FD6300" w:rsidRPr="00FD6300" w:rsidRDefault="00FD6300" w:rsidP="00FD6300">
      <w:pPr>
        <w:widowControl/>
        <w:spacing w:line="360" w:lineRule="exact"/>
        <w:jc w:val="center"/>
        <w:rPr>
          <w:rFonts w:ascii="Garamond" w:hAnsi="Garamond" w:cs="Times New Roman"/>
        </w:rPr>
      </w:pPr>
    </w:p>
    <w:p w14:paraId="03686A67" w14:textId="77777777" w:rsidR="00FD6300" w:rsidRPr="00FD6300" w:rsidRDefault="00FD6300" w:rsidP="00FD6300">
      <w:pPr>
        <w:widowControl/>
        <w:spacing w:line="360" w:lineRule="exact"/>
        <w:jc w:val="center"/>
        <w:rPr>
          <w:rFonts w:ascii="Garamond" w:hAnsi="Garamond" w:cs="Times New Roman"/>
        </w:rPr>
      </w:pPr>
    </w:p>
    <w:p w14:paraId="57C69682" w14:textId="77777777" w:rsidR="00FD6300" w:rsidRPr="00FD6300" w:rsidRDefault="00FD6300" w:rsidP="00FD6300">
      <w:pPr>
        <w:widowControl/>
        <w:spacing w:line="360" w:lineRule="exact"/>
        <w:jc w:val="center"/>
        <w:rPr>
          <w:rFonts w:ascii="Garamond" w:hAnsi="Garamond" w:cs="Times New Roman"/>
        </w:rPr>
      </w:pPr>
    </w:p>
    <w:p w14:paraId="7888CFB1" w14:textId="5286A414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</w:rPr>
        <w:t>Recercare</w:t>
      </w:r>
      <w:r w:rsidR="00D02195">
        <w:rPr>
          <w:rFonts w:ascii="Garamond" w:hAnsi="Garamond" w:cs="Times New Roman"/>
          <w:i/>
        </w:rPr>
        <w:t>. Rivista per lo studio della pratica della musica antica</w:t>
      </w:r>
      <w:r w:rsidR="00D02195">
        <w:rPr>
          <w:rFonts w:ascii="Garamond" w:hAnsi="Garamond" w:cs="Times New Roman"/>
          <w:iCs/>
        </w:rPr>
        <w:t xml:space="preserve"> della Fondazione Italiana per la Musica Antica, periodico a cadenza annuale,</w:t>
      </w:r>
      <w:r w:rsidRPr="00FD6300">
        <w:rPr>
          <w:rFonts w:ascii="Garamond" w:hAnsi="Garamond" w:cs="Times New Roman"/>
        </w:rPr>
        <w:t xml:space="preserve"> pubblica articoli sulla musica e la cultura musicale italiane o sulle relazioni musicali intercorse fra l’Italia e gli altri paesi, nel periodo compreso fra il quattordicesimo secolo e il primo Ottocento. </w:t>
      </w:r>
      <w:r w:rsidR="00D02195">
        <w:rPr>
          <w:rFonts w:ascii="Garamond" w:hAnsi="Garamond" w:cs="Times New Roman"/>
        </w:rPr>
        <w:t>Vengono</w:t>
      </w:r>
      <w:r w:rsidRPr="00FD6300">
        <w:rPr>
          <w:rFonts w:ascii="Garamond" w:hAnsi="Garamond" w:cs="Times New Roman"/>
        </w:rPr>
        <w:t xml:space="preserve"> presi in considerazione contributi in italiano</w:t>
      </w:r>
      <w:r w:rsidR="00D02195">
        <w:rPr>
          <w:rFonts w:ascii="Garamond" w:hAnsi="Garamond" w:cs="Times New Roman"/>
        </w:rPr>
        <w:t xml:space="preserve"> e</w:t>
      </w:r>
      <w:r w:rsidRPr="00FD6300">
        <w:rPr>
          <w:rFonts w:ascii="Garamond" w:hAnsi="Garamond" w:cs="Times New Roman"/>
        </w:rPr>
        <w:t xml:space="preserve"> inglese. Le proposte di pubblicazione vanno inviate in allegato a </w:t>
      </w:r>
      <w:r w:rsidR="00D02195">
        <w:rPr>
          <w:rFonts w:ascii="Garamond" w:hAnsi="Garamond" w:cs="Times New Roman"/>
        </w:rPr>
        <w:t xml:space="preserve">una </w:t>
      </w:r>
      <w:r w:rsidRPr="00FD6300">
        <w:rPr>
          <w:rFonts w:ascii="Garamond" w:hAnsi="Garamond" w:cs="Times New Roman"/>
        </w:rPr>
        <w:t xml:space="preserve">mail a: </w:t>
      </w:r>
      <w:r w:rsidRPr="00FD6300">
        <w:rPr>
          <w:rFonts w:ascii="Garamond" w:hAnsi="Garamond" w:cs="Times New Roman"/>
          <w:b/>
        </w:rPr>
        <w:t>recercare@libero.it</w:t>
      </w:r>
    </w:p>
    <w:p w14:paraId="2F0C7C95" w14:textId="7B433936" w:rsidR="00D02195" w:rsidRPr="00F700C6" w:rsidRDefault="00D02195" w:rsidP="00D02195">
      <w:pPr>
        <w:spacing w:line="360" w:lineRule="exact"/>
        <w:jc w:val="both"/>
        <w:rPr>
          <w:rFonts w:ascii="Garamond" w:hAnsi="Garamond"/>
        </w:rPr>
      </w:pPr>
      <w:r w:rsidRPr="00F700C6">
        <w:rPr>
          <w:rFonts w:ascii="Garamond" w:hAnsi="Garamond"/>
        </w:rPr>
        <w:t>La rivista non impone un limite all’estensione degli articoli</w:t>
      </w:r>
      <w:r w:rsidR="004B11E0" w:rsidRPr="00F700C6">
        <w:rPr>
          <w:rFonts w:ascii="Garamond" w:hAnsi="Garamond"/>
        </w:rPr>
        <w:t>, ma normalmente questi sono compresi fra un minimo di 6000 e un massimo di 10000 parole</w:t>
      </w:r>
      <w:r w:rsidRPr="00F700C6">
        <w:rPr>
          <w:rFonts w:ascii="Garamond" w:hAnsi="Garamond"/>
        </w:rPr>
        <w:t>.</w:t>
      </w:r>
    </w:p>
    <w:p w14:paraId="0D142D15" w14:textId="4E39D7FF" w:rsidR="00D02195" w:rsidRPr="00F700C6" w:rsidRDefault="004B11E0" w:rsidP="00D02195">
      <w:pPr>
        <w:spacing w:line="360" w:lineRule="exact"/>
        <w:jc w:val="both"/>
        <w:rPr>
          <w:rFonts w:ascii="Garamond" w:hAnsi="Garamond"/>
        </w:rPr>
      </w:pPr>
      <w:r w:rsidRPr="00F700C6">
        <w:rPr>
          <w:rFonts w:ascii="Garamond" w:hAnsi="Garamond"/>
        </w:rPr>
        <w:t xml:space="preserve">Il testo dell’articolo dovrà essere inviato in formato </w:t>
      </w:r>
      <w:r w:rsidR="00D02195" w:rsidRPr="00F700C6">
        <w:rPr>
          <w:rFonts w:ascii="Garamond" w:hAnsi="Garamond"/>
        </w:rPr>
        <w:t>Word file (.doc or .docx), complet</w:t>
      </w:r>
      <w:r w:rsidRPr="00F700C6">
        <w:rPr>
          <w:rFonts w:ascii="Garamond" w:hAnsi="Garamond"/>
        </w:rPr>
        <w:t>o delle note a piè di pagina, rispettando scrupolosamente le norme editoriali qui di seguito riportate</w:t>
      </w:r>
      <w:r w:rsidR="00D02195" w:rsidRPr="00F700C6">
        <w:rPr>
          <w:rFonts w:ascii="Garamond" w:hAnsi="Garamond"/>
        </w:rPr>
        <w:t xml:space="preserve">. </w:t>
      </w:r>
    </w:p>
    <w:p w14:paraId="277D1DED" w14:textId="671A9011" w:rsidR="00D02195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Gli articoli dovranno essere corredati d</w:t>
      </w:r>
      <w:r w:rsidR="004B11E0">
        <w:rPr>
          <w:rFonts w:ascii="Garamond" w:hAnsi="Garamond" w:cs="Times New Roman"/>
        </w:rPr>
        <w:t>a</w:t>
      </w:r>
      <w:r w:rsidRPr="00FD6300">
        <w:rPr>
          <w:rFonts w:ascii="Garamond" w:hAnsi="Garamond" w:cs="Times New Roman"/>
        </w:rPr>
        <w:t xml:space="preserve"> un sommario di estensione </w:t>
      </w:r>
      <w:r w:rsidR="00D02195">
        <w:rPr>
          <w:rFonts w:ascii="Garamond" w:hAnsi="Garamond" w:cs="Times New Roman"/>
        </w:rPr>
        <w:t>massima di circa 300 parole</w:t>
      </w:r>
      <w:r w:rsidRPr="00FD6300">
        <w:rPr>
          <w:rFonts w:ascii="Garamond" w:hAnsi="Garamond" w:cs="Times New Roman"/>
        </w:rPr>
        <w:t>, e d</w:t>
      </w:r>
      <w:r w:rsidR="004B11E0">
        <w:rPr>
          <w:rFonts w:ascii="Garamond" w:hAnsi="Garamond" w:cs="Times New Roman"/>
        </w:rPr>
        <w:t>a</w:t>
      </w:r>
      <w:r w:rsidRPr="00FD6300">
        <w:rPr>
          <w:rFonts w:ascii="Garamond" w:hAnsi="Garamond" w:cs="Times New Roman"/>
        </w:rPr>
        <w:t xml:space="preserve"> un profilo biografico dell’autore (massimo 150 parole)</w:t>
      </w:r>
      <w:r w:rsidR="004B11E0">
        <w:rPr>
          <w:rFonts w:ascii="Garamond" w:hAnsi="Garamond" w:cs="Times New Roman"/>
        </w:rPr>
        <w:t>. Se l’articolo è in italiano, anche in inglese</w:t>
      </w:r>
      <w:r w:rsidRPr="00FD6300">
        <w:rPr>
          <w:rFonts w:ascii="Garamond" w:hAnsi="Garamond" w:cs="Times New Roman"/>
        </w:rPr>
        <w:t xml:space="preserve">. </w:t>
      </w:r>
    </w:p>
    <w:p w14:paraId="3394AAAB" w14:textId="6500E29A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 xml:space="preserve">Tabelle, grafici, didascalie, esempi musicali (formato </w:t>
      </w:r>
      <w:r w:rsidRPr="00FD6300">
        <w:rPr>
          <w:rFonts w:ascii="Garamond" w:hAnsi="Garamond" w:cs="Times New Roman"/>
          <w:smallCaps/>
        </w:rPr>
        <w:t>pdf</w:t>
      </w:r>
      <w:r w:rsidRPr="00FD6300">
        <w:rPr>
          <w:rFonts w:ascii="Garamond" w:hAnsi="Garamond" w:cs="Times New Roman"/>
        </w:rPr>
        <w:t xml:space="preserve"> o </w:t>
      </w:r>
      <w:r w:rsidRPr="00FD6300">
        <w:rPr>
          <w:rFonts w:ascii="Garamond" w:hAnsi="Garamond"/>
          <w:smallCaps/>
        </w:rPr>
        <w:t>.</w:t>
      </w:r>
      <w:r w:rsidRPr="00FD6300">
        <w:rPr>
          <w:rFonts w:ascii="Garamond" w:hAnsi="Garamond"/>
        </w:rPr>
        <w:t xml:space="preserve">tiff e </w:t>
      </w:r>
      <w:r w:rsidRPr="00FD6300">
        <w:rPr>
          <w:rFonts w:ascii="Garamond" w:hAnsi="Garamond" w:cs="Times New Roman"/>
        </w:rPr>
        <w:t>Finale o Sibelius o MuseScore) e illustrazioni ad alta risoluzione vanno copiati su file a parte. Materiali di grandi dimensioni potranno essere inviati attraverso un comune sistema di file</w:t>
      </w:r>
      <w:r w:rsidR="004B11E0">
        <w:rPr>
          <w:rFonts w:ascii="Garamond" w:hAnsi="Garamond" w:cs="Times New Roman"/>
        </w:rPr>
        <w:t>-transfer.</w:t>
      </w:r>
    </w:p>
    <w:p w14:paraId="69643537" w14:textId="17AEBF2C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 xml:space="preserve">Si noti che la rivista adotta norme redazionali diverse per gli articoli scritti in lingua inglese. Per la redazione di questi ultimi si veda </w:t>
      </w:r>
      <w:r w:rsidR="002433A4">
        <w:rPr>
          <w:rFonts w:ascii="Garamond" w:hAnsi="Garamond" w:cs="Times New Roman"/>
        </w:rPr>
        <w:t xml:space="preserve">la versione inglese delle norme </w:t>
      </w:r>
      <w:r w:rsidR="00C85CC3">
        <w:rPr>
          <w:rFonts w:ascii="Garamond" w:hAnsi="Garamond" w:cs="Times New Roman"/>
        </w:rPr>
        <w:t xml:space="preserve">alla pagina web </w:t>
      </w:r>
      <w:r w:rsidR="00C85CC3" w:rsidRPr="00C85CC3">
        <w:rPr>
          <w:rFonts w:ascii="Garamond" w:hAnsi="Garamond" w:cs="Times New Roman"/>
        </w:rPr>
        <w:t>https://www.fimamusicaantica.com/recercare-eng</w:t>
      </w:r>
      <w:r w:rsidRPr="00FD6300">
        <w:rPr>
          <w:rFonts w:ascii="Garamond" w:hAnsi="Garamond" w:cs="Times New Roman"/>
        </w:rPr>
        <w:t xml:space="preserve"> </w:t>
      </w:r>
    </w:p>
    <w:p w14:paraId="445A69AE" w14:textId="77777777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5B9504DC" w14:textId="2077E6A7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Ogni articolo è valutato in forma anonima da due revisori scelti dal direttore. Nel caso che i due revisori esprimano un giudizio divergente, il direttore può sentire il parere di un terzo revisore. Di norma la valutazione si conclude con uno dei seguenti esiti</w:t>
      </w:r>
    </w:p>
    <w:p w14:paraId="7EE86527" w14:textId="77777777" w:rsidR="00FD6300" w:rsidRPr="00FD6300" w:rsidRDefault="00FD6300" w:rsidP="00FD6300">
      <w:pPr>
        <w:widowControl/>
        <w:tabs>
          <w:tab w:val="left" w:pos="284"/>
        </w:tabs>
        <w:spacing w:line="360" w:lineRule="exact"/>
        <w:ind w:left="426" w:hanging="66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 xml:space="preserve"> (a) l’articolo è accettato (eventualmente con revisioni di modesta entità raccomandate dal direttore e dai revisori); </w:t>
      </w:r>
    </w:p>
    <w:p w14:paraId="347D8553" w14:textId="77777777" w:rsidR="00FD6300" w:rsidRPr="00FD6300" w:rsidRDefault="00FD6300" w:rsidP="00FD6300">
      <w:pPr>
        <w:widowControl/>
        <w:tabs>
          <w:tab w:val="left" w:pos="284"/>
        </w:tabs>
        <w:spacing w:line="360" w:lineRule="exact"/>
        <w:ind w:left="426" w:hanging="66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(b) l’articolo non è accettato ma l’autore è invitato a riproporlo dopo averlo sostanzialmente rivisto alla luce delle indicazioni fornitegli dal direttore e dai revisori;</w:t>
      </w:r>
    </w:p>
    <w:p w14:paraId="4E709A3E" w14:textId="77777777" w:rsidR="00FD6300" w:rsidRPr="00FD6300" w:rsidRDefault="00FD6300" w:rsidP="00FD6300">
      <w:pPr>
        <w:widowControl/>
        <w:tabs>
          <w:tab w:val="left" w:pos="284"/>
        </w:tabs>
        <w:spacing w:line="360" w:lineRule="exact"/>
        <w:ind w:left="426" w:hanging="66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(c) l’articolo non è accettato.</w:t>
      </w:r>
    </w:p>
    <w:p w14:paraId="50DA153D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596DA165" w14:textId="77777777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5DD59088" w14:textId="77777777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Classificazione A</w:t>
      </w:r>
      <w:r w:rsidRPr="00FD6300">
        <w:rPr>
          <w:rFonts w:ascii="Garamond" w:hAnsi="Garamond" w:cs="Times New Roman"/>
          <w:smallCaps/>
        </w:rPr>
        <w:t>nvur</w:t>
      </w:r>
      <w:r w:rsidRPr="00FD6300">
        <w:rPr>
          <w:rFonts w:ascii="Garamond" w:hAnsi="Garamond" w:cs="Times New Roman"/>
        </w:rPr>
        <w:t>: fascia A (10/C1)</w:t>
      </w:r>
    </w:p>
    <w:p w14:paraId="6516A060" w14:textId="77777777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Classificazione E</w:t>
      </w:r>
      <w:r w:rsidRPr="00FD6300">
        <w:rPr>
          <w:rFonts w:ascii="Garamond" w:hAnsi="Garamond" w:cs="Times New Roman"/>
          <w:smallCaps/>
        </w:rPr>
        <w:t>rih</w:t>
      </w:r>
      <w:r w:rsidRPr="00FD6300">
        <w:rPr>
          <w:rFonts w:ascii="Garamond" w:hAnsi="Garamond" w:cs="Times New Roman"/>
        </w:rPr>
        <w:t xml:space="preserve"> Plus: INT2 </w:t>
      </w:r>
    </w:p>
    <w:p w14:paraId="30135D17" w14:textId="664D8771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</w:rPr>
        <w:t>Recercare</w:t>
      </w:r>
      <w:r w:rsidRPr="00FD6300">
        <w:rPr>
          <w:rFonts w:ascii="Garamond" w:hAnsi="Garamond" w:cs="Times New Roman"/>
        </w:rPr>
        <w:t xml:space="preserve"> è disponibile nell’archivio digitale </w:t>
      </w:r>
      <w:r w:rsidRPr="00FD6300">
        <w:rPr>
          <w:rFonts w:ascii="Garamond" w:hAnsi="Garamond" w:cs="Times New Roman"/>
          <w:smallCaps/>
        </w:rPr>
        <w:t>Jstor</w:t>
      </w:r>
    </w:p>
    <w:p w14:paraId="71E70981" w14:textId="77777777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407332ED" w14:textId="77777777" w:rsidR="00F700C6" w:rsidRDefault="00F700C6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1BD63761" w14:textId="77777777" w:rsidR="00F700C6" w:rsidRDefault="00F700C6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0E1F66D9" w14:textId="77777777" w:rsidR="00F700C6" w:rsidRDefault="00F700C6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65FA95AF" w14:textId="041754DD" w:rsidR="00FD6300" w:rsidRP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lastRenderedPageBreak/>
        <w:t>Norme editoriali</w:t>
      </w:r>
    </w:p>
    <w:p w14:paraId="594D50E3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Presentazione.</w:t>
      </w:r>
      <w:r w:rsidRPr="00FD6300">
        <w:rPr>
          <w:rFonts w:ascii="Garamond" w:hAnsi="Garamond" w:cs="Times New Roman"/>
        </w:rPr>
        <w:t xml:space="preserve"> Tabelle, grafici, didascalie, esempi musicali e illustrazioni vanno copiati  su file a parte. Gli articoli dovranno essere corredati di un sommario, di estensione corrispondente all’incirca al dieci per cento del testo, e di un profilo biografico dell’autore, di 3–6 righe</w:t>
      </w:r>
    </w:p>
    <w:p w14:paraId="0624E70A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50C0248D" w14:textId="6C3093C6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Maiuscole e minuscole.</w:t>
      </w:r>
      <w:r w:rsidRPr="00FD6300">
        <w:rPr>
          <w:rFonts w:ascii="Garamond" w:hAnsi="Garamond" w:cs="Times New Roman"/>
        </w:rPr>
        <w:t xml:space="preserve"> Quando l’iniziale maiuscola non sia strettamente obbligatoria, si prediliga sempre il minuscolo (per esempio: i fiamminghi, papa Urbano </w:t>
      </w:r>
      <w:r w:rsidRPr="00FD6300">
        <w:rPr>
          <w:rFonts w:ascii="Garamond" w:hAnsi="Garamond" w:cs="Times New Roman"/>
          <w:smallCaps/>
        </w:rPr>
        <w:t>viii</w:t>
      </w:r>
      <w:r w:rsidRPr="00FD6300">
        <w:rPr>
          <w:rFonts w:ascii="Garamond" w:hAnsi="Garamond" w:cs="Times New Roman"/>
        </w:rPr>
        <w:t xml:space="preserve">, il professor Rossi, </w:t>
      </w:r>
      <w:r w:rsidR="008A013D">
        <w:rPr>
          <w:rFonts w:ascii="Garamond" w:hAnsi="Garamond" w:cs="Times New Roman"/>
        </w:rPr>
        <w:t xml:space="preserve">il </w:t>
      </w:r>
      <w:r w:rsidR="007072C2">
        <w:rPr>
          <w:rFonts w:ascii="Garamond" w:hAnsi="Garamond" w:cs="Times New Roman"/>
        </w:rPr>
        <w:t>margravio</w:t>
      </w:r>
      <w:r w:rsidR="008A013D">
        <w:rPr>
          <w:rFonts w:ascii="Garamond" w:hAnsi="Garamond" w:cs="Times New Roman"/>
        </w:rPr>
        <w:t xml:space="preserve"> di </w:t>
      </w:r>
      <w:r w:rsidR="007072C2">
        <w:rPr>
          <w:rFonts w:ascii="Garamond" w:hAnsi="Garamond" w:cs="Times New Roman"/>
        </w:rPr>
        <w:t>Brandeburgo</w:t>
      </w:r>
      <w:r w:rsidR="008A013D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</w:rPr>
        <w:t>i procuratori di palazzo, via dei Cordari, la chiesa di San Francesco,</w:t>
      </w:r>
      <w:r w:rsidR="008A013D">
        <w:rPr>
          <w:rFonts w:ascii="Garamond" w:hAnsi="Garamond" w:cs="Times New Roman"/>
        </w:rPr>
        <w:t xml:space="preserve"> l</w:t>
      </w:r>
      <w:r w:rsidR="007072C2">
        <w:rPr>
          <w:rFonts w:ascii="Garamond" w:hAnsi="Garamond" w:cs="Times New Roman"/>
        </w:rPr>
        <w:t>a regola di san Benedetto,</w:t>
      </w:r>
      <w:r w:rsidRPr="00FD6300">
        <w:rPr>
          <w:rFonts w:ascii="Garamond" w:hAnsi="Garamond" w:cs="Times New Roman"/>
        </w:rPr>
        <w:t xml:space="preserve"> il palazzo Barberini). I titoli di libri, articoli, periodici e composizioni musicali in qualsiasi lingua vanno trattati come testi correnti (per esempio: </w:t>
      </w:r>
      <w:r w:rsidRPr="00FD6300">
        <w:rPr>
          <w:rFonts w:ascii="Garamond" w:hAnsi="Garamond" w:cs="Times New Roman"/>
          <w:i/>
          <w:iCs/>
        </w:rPr>
        <w:t>Venetian opera in the seventeenth century</w:t>
      </w:r>
      <w:r w:rsidRPr="00FD6300">
        <w:rPr>
          <w:rFonts w:ascii="Garamond" w:hAnsi="Garamond" w:cs="Times New Roman"/>
        </w:rPr>
        <w:t xml:space="preserve">, «Note d’archivio per la storia musicale», </w:t>
      </w:r>
      <w:r w:rsidRPr="00FD6300">
        <w:rPr>
          <w:rFonts w:ascii="Garamond" w:hAnsi="Garamond" w:cs="Times New Roman"/>
          <w:i/>
          <w:iCs/>
        </w:rPr>
        <w:t>Il bianco e dolce cigno</w:t>
      </w:r>
      <w:r w:rsidRPr="00FD6300">
        <w:rPr>
          <w:rFonts w:ascii="Garamond" w:hAnsi="Garamond" w:cs="Times New Roman"/>
        </w:rPr>
        <w:t>). Recano le iniziali maiuscole le parole principali costituenti le denominazioni di istituzioni (per esempio: Istituto Italiano per la Storia della Musica, «Galpin Society journal»).</w:t>
      </w:r>
    </w:p>
    <w:p w14:paraId="76471EB8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21726F75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Numeri.</w:t>
      </w:r>
      <w:r w:rsidRPr="00FD6300">
        <w:rPr>
          <w:rFonts w:ascii="Garamond" w:hAnsi="Garamond" w:cs="Times New Roman"/>
        </w:rPr>
        <w:t xml:space="preserve"> Si scrivono in lettere i numeri fino al cento, facendo eccezione per le somme di denaro, le quantità specifiche e i dati bibliografici (per esempio: 20 scudi, 15 mm, battuta 36, vol. </w:t>
      </w:r>
      <w:r w:rsidRPr="00FD6300">
        <w:rPr>
          <w:rFonts w:ascii="Garamond" w:hAnsi="Garamond" w:cs="Times New Roman"/>
          <w:smallCaps/>
        </w:rPr>
        <w:t>iv</w:t>
      </w:r>
      <w:r w:rsidRPr="00FD6300">
        <w:rPr>
          <w:rFonts w:ascii="Garamond" w:hAnsi="Garamond" w:cs="Times New Roman"/>
        </w:rPr>
        <w:t xml:space="preserve">, p. 14). </w:t>
      </w:r>
    </w:p>
    <w:p w14:paraId="3E2AA3A9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04D5612A" w14:textId="0FE5C882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Date e epoche.</w:t>
      </w:r>
      <w:r w:rsidRPr="00FD6300">
        <w:rPr>
          <w:rFonts w:ascii="Garamond" w:hAnsi="Garamond" w:cs="Times New Roman"/>
        </w:rPr>
        <w:t xml:space="preserve"> Nell’esprimere date e ambiti temporali, si tengano presenti gli esempi che seguono: 1° gennaio 1580, 27 settembre 1720, 15–16 ottobre, il Quarantotto, il sedicesimo secolo, l’Ottocento. Le forme 1</w:t>
      </w:r>
      <w:r w:rsidR="008A013D">
        <w:rPr>
          <w:rFonts w:ascii="Garamond" w:hAnsi="Garamond" w:cs="Times New Roman"/>
        </w:rPr>
        <w:t>.</w:t>
      </w:r>
      <w:r w:rsidRPr="00FD6300">
        <w:rPr>
          <w:rFonts w:ascii="Garamond" w:hAnsi="Garamond" w:cs="Times New Roman"/>
        </w:rPr>
        <w:t>1</w:t>
      </w:r>
      <w:r w:rsidR="008A013D">
        <w:rPr>
          <w:rFonts w:ascii="Garamond" w:hAnsi="Garamond" w:cs="Times New Roman"/>
        </w:rPr>
        <w:t>.</w:t>
      </w:r>
      <w:r w:rsidRPr="00FD6300">
        <w:rPr>
          <w:rFonts w:ascii="Garamond" w:hAnsi="Garamond" w:cs="Times New Roman"/>
        </w:rPr>
        <w:t>1580, 27 sett. e 16° sec. sono ammesse esclusivamente nelle tabelle e negli elenchi.</w:t>
      </w:r>
    </w:p>
    <w:p w14:paraId="732DC97D" w14:textId="610A923C" w:rsidR="00F849D8" w:rsidRDefault="00F849D8" w:rsidP="00F849D8">
      <w:pPr>
        <w:widowControl/>
        <w:spacing w:line="360" w:lineRule="exact"/>
        <w:ind w:firstLine="426"/>
        <w:jc w:val="both"/>
        <w:rPr>
          <w:rFonts w:ascii="Garamond" w:hAnsi="Garamond" w:cs="Times New Roman"/>
        </w:rPr>
      </w:pPr>
      <w:r w:rsidRPr="00F849D8">
        <w:rPr>
          <w:rFonts w:ascii="Garamond" w:hAnsi="Garamond" w:cs="Times New Roman"/>
          <w:i/>
          <w:iCs/>
        </w:rPr>
        <w:t>Nomi</w:t>
      </w:r>
      <w:r>
        <w:rPr>
          <w:rFonts w:ascii="Garamond" w:hAnsi="Garamond" w:cs="Times New Roman"/>
        </w:rPr>
        <w:t xml:space="preserve">. Nomi e cognomi propri citati nel corso del testo, la cui ortografia è molto variabile nelle fonti originali, vanno normalizzati all’uso corrente prendendo come riferimento dizionari o enciclopedie di carattere scientifico della stessa lingua. Per l’italiano si fa riferimento al </w:t>
      </w:r>
      <w:r w:rsidRPr="0070237B">
        <w:rPr>
          <w:rFonts w:ascii="Garamond" w:hAnsi="Garamond" w:cs="Times New Roman"/>
          <w:i/>
          <w:iCs/>
        </w:rPr>
        <w:t xml:space="preserve">Dizionario </w:t>
      </w:r>
      <w:r w:rsidR="00D37280" w:rsidRPr="0070237B">
        <w:rPr>
          <w:rFonts w:ascii="Garamond" w:hAnsi="Garamond" w:cs="Times New Roman"/>
          <w:i/>
          <w:iCs/>
        </w:rPr>
        <w:t>biografico degli italiani</w:t>
      </w:r>
      <w:r w:rsidR="00D37280">
        <w:rPr>
          <w:rFonts w:ascii="Garamond" w:hAnsi="Garamond" w:cs="Times New Roman"/>
        </w:rPr>
        <w:t xml:space="preserve"> </w:t>
      </w:r>
      <w:r>
        <w:rPr>
          <w:rFonts w:ascii="Garamond" w:hAnsi="Garamond" w:cs="Times New Roman"/>
        </w:rPr>
        <w:t xml:space="preserve">(per esempio: “Hieronimo / Geronimo / Girolimo”, “Jacomo”, “Horatio”, </w:t>
      </w:r>
      <w:bookmarkStart w:id="0" w:name="_Hlk156149719"/>
      <w:r>
        <w:rPr>
          <w:rFonts w:ascii="Garamond" w:hAnsi="Garamond" w:cs="Times New Roman"/>
        </w:rPr>
        <w:t xml:space="preserve">“Madalena”, </w:t>
      </w:r>
      <w:bookmarkEnd w:id="0"/>
      <w:r>
        <w:rPr>
          <w:rFonts w:ascii="Garamond" w:hAnsi="Garamond" w:cs="Times New Roman"/>
        </w:rPr>
        <w:t>“Theodora”, “Beneuolo” “Mihi”, “Monteuerde”, “Mutij”, “Vincentij” vanno menzionati</w:t>
      </w:r>
      <w:r w:rsidR="00F700C6">
        <w:rPr>
          <w:rFonts w:ascii="Garamond" w:hAnsi="Garamond" w:cs="Times New Roman"/>
        </w:rPr>
        <w:t xml:space="preserve"> rispettivamente</w:t>
      </w:r>
      <w:r>
        <w:rPr>
          <w:rFonts w:ascii="Garamond" w:hAnsi="Garamond" w:cs="Times New Roman"/>
        </w:rPr>
        <w:t xml:space="preserve"> come “Girolamo”, “Giacomo”, “Orazio”, “Maddalena”, “Teodora”, “Benevoli”, “Michi”, “Monteverdi”, “Muzi”, “Vincenzi”).</w:t>
      </w:r>
    </w:p>
    <w:p w14:paraId="08FD48C6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77DD9677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Abbreviazioni.</w:t>
      </w:r>
      <w:r w:rsidRPr="00FD6300">
        <w:rPr>
          <w:rFonts w:ascii="Garamond" w:hAnsi="Garamond" w:cs="Times New Roman"/>
        </w:rPr>
        <w:t xml:space="preserve"> Alle abbreviazioni si ricorra con estrema parsimonia, a eccezione dei casi seguenti, di uso comune: p./pp. = pagina/e, c./cc. = carta/e, r = recto, v = verso, vol./voll. = volume/i, a c. di = a cura di.</w:t>
      </w:r>
    </w:p>
    <w:p w14:paraId="0AE23876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239CC9A1" w14:textId="38C43596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Citazioni.</w:t>
      </w:r>
      <w:r w:rsidRPr="00FD6300">
        <w:rPr>
          <w:rFonts w:ascii="Garamond" w:hAnsi="Garamond" w:cs="Times New Roman"/>
        </w:rPr>
        <w:t xml:space="preserve"> </w:t>
      </w:r>
      <w:r w:rsidR="004042C5">
        <w:rPr>
          <w:rFonts w:ascii="Garamond" w:hAnsi="Garamond" w:cs="Times New Roman"/>
        </w:rPr>
        <w:t>Una citazione</w:t>
      </w:r>
      <w:r w:rsidR="0044005A">
        <w:rPr>
          <w:rFonts w:ascii="Garamond" w:hAnsi="Garamond" w:cs="Times New Roman"/>
        </w:rPr>
        <w:t xml:space="preserve"> nel</w:t>
      </w:r>
      <w:r w:rsidRPr="00FD6300">
        <w:rPr>
          <w:rFonts w:ascii="Garamond" w:hAnsi="Garamond" w:cs="Times New Roman"/>
        </w:rPr>
        <w:t xml:space="preserve"> testo</w:t>
      </w:r>
      <w:r w:rsidR="0044005A">
        <w:rPr>
          <w:rFonts w:ascii="Garamond" w:hAnsi="Garamond" w:cs="Times New Roman"/>
        </w:rPr>
        <w:t xml:space="preserve"> corrente</w:t>
      </w:r>
      <w:r w:rsidR="004042C5">
        <w:rPr>
          <w:rFonts w:ascii="Garamond" w:hAnsi="Garamond" w:cs="Times New Roman"/>
        </w:rPr>
        <w:t xml:space="preserve"> va posta</w:t>
      </w:r>
      <w:r w:rsidRPr="00FD6300">
        <w:rPr>
          <w:rFonts w:ascii="Garamond" w:hAnsi="Garamond" w:cs="Times New Roman"/>
        </w:rPr>
        <w:t xml:space="preserve"> fra virgolette doppie basse (« »)</w:t>
      </w:r>
      <w:r w:rsidR="004042C5">
        <w:rPr>
          <w:rFonts w:ascii="Garamond" w:hAnsi="Garamond" w:cs="Times New Roman"/>
        </w:rPr>
        <w:t>;</w:t>
      </w:r>
      <w:r w:rsidR="0044005A">
        <w:rPr>
          <w:rFonts w:ascii="Garamond" w:hAnsi="Garamond" w:cs="Times New Roman"/>
        </w:rPr>
        <w:t xml:space="preserve"> se superior</w:t>
      </w:r>
      <w:r w:rsidR="004042C5">
        <w:rPr>
          <w:rFonts w:ascii="Garamond" w:hAnsi="Garamond" w:cs="Times New Roman"/>
        </w:rPr>
        <w:t>ie</w:t>
      </w:r>
      <w:r w:rsidR="0044005A">
        <w:rPr>
          <w:rFonts w:ascii="Garamond" w:hAnsi="Garamond" w:cs="Times New Roman"/>
        </w:rPr>
        <w:t xml:space="preserve"> a </w:t>
      </w:r>
      <w:r w:rsidR="004042C5">
        <w:rPr>
          <w:rFonts w:ascii="Garamond" w:hAnsi="Garamond" w:cs="Times New Roman"/>
        </w:rPr>
        <w:t>sessanta parole circa</w:t>
      </w:r>
      <w:r w:rsidR="0044005A">
        <w:rPr>
          <w:rFonts w:ascii="Garamond" w:hAnsi="Garamond" w:cs="Times New Roman"/>
        </w:rPr>
        <w:t>,</w:t>
      </w:r>
      <w:r w:rsidRPr="00FD6300">
        <w:rPr>
          <w:rFonts w:ascii="Garamond" w:hAnsi="Garamond" w:cs="Times New Roman"/>
        </w:rPr>
        <w:t xml:space="preserve"> </w:t>
      </w:r>
      <w:r w:rsidR="0044005A">
        <w:rPr>
          <w:rFonts w:ascii="Garamond" w:hAnsi="Garamond" w:cs="Times New Roman"/>
        </w:rPr>
        <w:t>andr</w:t>
      </w:r>
      <w:r w:rsidR="004042C5">
        <w:rPr>
          <w:rFonts w:ascii="Garamond" w:hAnsi="Garamond" w:cs="Times New Roman"/>
        </w:rPr>
        <w:t>à</w:t>
      </w:r>
      <w:r w:rsidR="0044005A">
        <w:rPr>
          <w:rFonts w:ascii="Garamond" w:hAnsi="Garamond" w:cs="Times New Roman"/>
        </w:rPr>
        <w:t xml:space="preserve"> posta in un paragrafo rientrato a</w:t>
      </w:r>
      <w:r w:rsidRPr="00FD6300">
        <w:rPr>
          <w:rFonts w:ascii="Garamond" w:hAnsi="Garamond" w:cs="Times New Roman"/>
        </w:rPr>
        <w:t xml:space="preserve"> sinistr</w:t>
      </w:r>
      <w:r w:rsidR="0044005A">
        <w:rPr>
          <w:rFonts w:ascii="Garamond" w:hAnsi="Garamond" w:cs="Times New Roman"/>
        </w:rPr>
        <w:t>a di 1 cm</w:t>
      </w:r>
      <w:r w:rsidRPr="00FD6300">
        <w:rPr>
          <w:rFonts w:ascii="Garamond" w:hAnsi="Garamond" w:cs="Times New Roman"/>
        </w:rPr>
        <w:t xml:space="preserve">, una riga bianca prima e dopo, ma non le virgolette. Le citazioni si esprimono sempre nella lingua originale, riportando di seguito la traduzione nella lingua dell’articolo. Le interpolazioni </w:t>
      </w:r>
      <w:r w:rsidR="0044005A">
        <w:rPr>
          <w:rFonts w:ascii="Garamond" w:hAnsi="Garamond" w:cs="Times New Roman"/>
        </w:rPr>
        <w:t xml:space="preserve">di parole mancanti o chiarificanti </w:t>
      </w:r>
      <w:r w:rsidRPr="00FD6300">
        <w:rPr>
          <w:rFonts w:ascii="Garamond" w:hAnsi="Garamond" w:cs="Times New Roman"/>
        </w:rPr>
        <w:t>vanno incluse fra parentesi quadre.</w:t>
      </w:r>
    </w:p>
    <w:p w14:paraId="50EFF942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213A35AA" w14:textId="31D20320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lastRenderedPageBreak/>
        <w:t>Note al testo.</w:t>
      </w:r>
      <w:r w:rsidRPr="00FD6300">
        <w:rPr>
          <w:rFonts w:ascii="Garamond" w:hAnsi="Garamond" w:cs="Times New Roman"/>
        </w:rPr>
        <w:t xml:space="preserve"> Si raccomanda di ricorrere alle note </w:t>
      </w:r>
      <w:r w:rsidR="00F700C6">
        <w:rPr>
          <w:rFonts w:ascii="Garamond" w:hAnsi="Garamond" w:cs="Times New Roman"/>
        </w:rPr>
        <w:t>soltanto</w:t>
      </w:r>
      <w:r w:rsidRPr="00FD6300">
        <w:rPr>
          <w:rFonts w:ascii="Garamond" w:hAnsi="Garamond" w:cs="Times New Roman"/>
        </w:rPr>
        <w:t xml:space="preserve"> per i riferimenti bibliografici e brevi trattazioni ancillari. Le note saranno numerate progressivamente in cifre arabe poste a esponente</w:t>
      </w:r>
      <w:r w:rsidR="004414B5">
        <w:rPr>
          <w:rFonts w:ascii="Garamond" w:hAnsi="Garamond" w:cs="Times New Roman"/>
        </w:rPr>
        <w:t>, poste</w:t>
      </w:r>
      <w:r w:rsidRPr="007E11E5">
        <w:rPr>
          <w:rFonts w:ascii="Garamond" w:hAnsi="Garamond" w:cs="Times New Roman"/>
        </w:rPr>
        <w:t xml:space="preserve"> sempre dopo l’eventuale </w:t>
      </w:r>
      <w:r w:rsidR="004414B5">
        <w:rPr>
          <w:rFonts w:ascii="Garamond" w:hAnsi="Garamond" w:cs="Times New Roman"/>
        </w:rPr>
        <w:t xml:space="preserve">segno di </w:t>
      </w:r>
      <w:r w:rsidRPr="007E11E5">
        <w:rPr>
          <w:rFonts w:ascii="Garamond" w:hAnsi="Garamond" w:cs="Times New Roman"/>
        </w:rPr>
        <w:t>punteggiatura</w:t>
      </w:r>
      <w:r w:rsidRPr="00FD6300">
        <w:rPr>
          <w:rFonts w:ascii="Garamond" w:hAnsi="Garamond" w:cs="Times New Roman"/>
        </w:rPr>
        <w:t>.</w:t>
      </w:r>
      <w:r w:rsidR="007E11E5">
        <w:rPr>
          <w:rFonts w:ascii="Garamond" w:hAnsi="Garamond" w:cs="Times New Roman"/>
        </w:rPr>
        <w:t xml:space="preserve"> La nota iniziale con i ringraziamenti ed altre informazioni</w:t>
      </w:r>
      <w:r w:rsidR="004414B5">
        <w:rPr>
          <w:rFonts w:ascii="Garamond" w:hAnsi="Garamond" w:cs="Times New Roman"/>
        </w:rPr>
        <w:t xml:space="preserve"> generali sull’articolo</w:t>
      </w:r>
      <w:r w:rsidR="007E11E5">
        <w:rPr>
          <w:rFonts w:ascii="Garamond" w:hAnsi="Garamond" w:cs="Times New Roman"/>
        </w:rPr>
        <w:t xml:space="preserve"> non ha numerazione né</w:t>
      </w:r>
      <w:r w:rsidR="00887469">
        <w:rPr>
          <w:rFonts w:ascii="Garamond" w:hAnsi="Garamond" w:cs="Times New Roman"/>
        </w:rPr>
        <w:t xml:space="preserve"> è richiamata da un asterisco</w:t>
      </w:r>
      <w:r w:rsidR="004414B5">
        <w:rPr>
          <w:rFonts w:ascii="Garamond" w:hAnsi="Garamond" w:cs="Times New Roman"/>
        </w:rPr>
        <w:t>, e va inserita nel campo note prima della nota 1.</w:t>
      </w:r>
    </w:p>
    <w:p w14:paraId="512988AF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416D77D1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Denominazione delle note musicali.</w:t>
      </w:r>
      <w:r w:rsidRPr="00FD6300">
        <w:rPr>
          <w:rFonts w:ascii="Garamond" w:hAnsi="Garamond" w:cs="Times New Roman"/>
        </w:rPr>
        <w:t xml:space="preserve"> I nomi delle note si scrivono in tondo con iniziale maiuscola. Il Do centrale corrisponde a Do</w:t>
      </w:r>
      <w:r w:rsidRPr="00FD6300">
        <w:rPr>
          <w:rFonts w:ascii="Garamond" w:hAnsi="Garamond" w:cs="Times New Roman"/>
          <w:position w:val="-4"/>
          <w:sz w:val="20"/>
          <w:szCs w:val="20"/>
        </w:rPr>
        <w:t>3</w:t>
      </w:r>
      <w:r w:rsidRPr="00FD6300">
        <w:rPr>
          <w:rFonts w:ascii="Garamond" w:hAnsi="Garamond" w:cs="Times New Roman"/>
        </w:rPr>
        <w:t>; salendo all’acuto o scendendo al grave, le ottave aumentano o diminuiscono il numero in pedice; scendendo, a do</w:t>
      </w:r>
      <w:r w:rsidRPr="00FD6300">
        <w:rPr>
          <w:rFonts w:ascii="Garamond" w:hAnsi="Garamond" w:cs="Times New Roman"/>
          <w:position w:val="-4"/>
          <w:sz w:val="20"/>
          <w:szCs w:val="20"/>
        </w:rPr>
        <w:t>1</w:t>
      </w:r>
      <w:r w:rsidRPr="00FD6300">
        <w:rPr>
          <w:rFonts w:ascii="Garamond" w:hAnsi="Garamond" w:cs="Times New Roman"/>
        </w:rPr>
        <w:t xml:space="preserve"> fanno seguito Do</w:t>
      </w:r>
      <w:r w:rsidRPr="00FD6300">
        <w:rPr>
          <w:rFonts w:ascii="Garamond" w:hAnsi="Garamond" w:cs="Times New Roman"/>
          <w:position w:val="-4"/>
          <w:sz w:val="20"/>
          <w:szCs w:val="20"/>
        </w:rPr>
        <w:t>0</w:t>
      </w:r>
      <w:r w:rsidRPr="00FD6300">
        <w:rPr>
          <w:rFonts w:ascii="Garamond" w:hAnsi="Garamond" w:cs="Times New Roman"/>
        </w:rPr>
        <w:t xml:space="preserve"> e quindi Do</w:t>
      </w:r>
      <w:r w:rsidRPr="00FD6300">
        <w:rPr>
          <w:rFonts w:ascii="Garamond" w:hAnsi="Garamond" w:cs="Times New Roman"/>
          <w:position w:val="-4"/>
          <w:sz w:val="20"/>
          <w:szCs w:val="20"/>
        </w:rPr>
        <w:t>–1</w:t>
      </w:r>
      <w:r w:rsidRPr="00FD6300">
        <w:rPr>
          <w:rFonts w:ascii="Garamond" w:hAnsi="Garamond" w:cs="Times New Roman"/>
        </w:rPr>
        <w:t>.</w:t>
      </w:r>
    </w:p>
    <w:p w14:paraId="1F9A6964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01C9DA5A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Bibliografia.</w:t>
      </w:r>
      <w:r w:rsidRPr="00FD6300">
        <w:rPr>
          <w:rFonts w:ascii="Garamond" w:hAnsi="Garamond" w:cs="Times New Roman"/>
        </w:rPr>
        <w:t xml:space="preserve"> Per i riferimenti bibliografici ci si attenga ai seguenti esempi:</w:t>
      </w:r>
    </w:p>
    <w:p w14:paraId="37CA6AF0" w14:textId="77777777" w:rsidR="00FD6300" w:rsidRPr="00FD6300" w:rsidRDefault="00FD6300" w:rsidP="00FD6300">
      <w:pPr>
        <w:widowControl/>
        <w:spacing w:line="360" w:lineRule="exact"/>
        <w:ind w:left="426" w:hanging="426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nino pirrotta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</w:rPr>
        <w:t>Li due Orfei. Da Poliziano a Monteverdi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bCs/>
        </w:rPr>
        <w:t xml:space="preserve">con un saggio critico sulla scenografia di Elena Povoledo, </w:t>
      </w:r>
      <w:r w:rsidRPr="00FD6300">
        <w:rPr>
          <w:rFonts w:ascii="Garamond" w:hAnsi="Garamond" w:cs="Times New Roman"/>
        </w:rPr>
        <w:t>Torino, Einaudi, 1975</w:t>
      </w:r>
      <w:r w:rsidRPr="00FD6300">
        <w:rPr>
          <w:rFonts w:ascii="Garamond" w:hAnsi="Garamond" w:cs="Times New Roman"/>
          <w:vertAlign w:val="superscript"/>
        </w:rPr>
        <w:t>2</w:t>
      </w:r>
      <w:r w:rsidRPr="00FD6300">
        <w:rPr>
          <w:rFonts w:ascii="Garamond" w:hAnsi="Garamond" w:cs="Times New Roman"/>
        </w:rPr>
        <w:t>.</w:t>
      </w:r>
    </w:p>
    <w:p w14:paraId="6B755486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  <w:lang w:val="en-GB"/>
        </w:rPr>
      </w:pPr>
      <w:r w:rsidRPr="00FD6300">
        <w:rPr>
          <w:rFonts w:ascii="Garamond" w:hAnsi="Garamond" w:cs="Times New Roman"/>
          <w:smallCaps/>
          <w:lang w:val="en-GB"/>
        </w:rPr>
        <w:t>alexander silbiger</w:t>
      </w:r>
      <w:r w:rsidRPr="00FD6300">
        <w:rPr>
          <w:rFonts w:ascii="Garamond" w:hAnsi="Garamond" w:cs="Times New Roman"/>
          <w:lang w:val="en-GB"/>
        </w:rPr>
        <w:t xml:space="preserve">, </w:t>
      </w:r>
      <w:r w:rsidRPr="00FD6300">
        <w:rPr>
          <w:rFonts w:ascii="Garamond" w:hAnsi="Garamond" w:cs="Times New Roman"/>
          <w:i/>
          <w:iCs/>
          <w:lang w:val="en-GB"/>
        </w:rPr>
        <w:t>Is the Italian keyboard «intavolatura» a tablature?</w:t>
      </w:r>
      <w:r w:rsidRPr="00FD6300">
        <w:rPr>
          <w:rFonts w:ascii="Garamond" w:hAnsi="Garamond" w:cs="Times New Roman"/>
          <w:lang w:val="en-GB"/>
        </w:rPr>
        <w:t xml:space="preserve">, «Recercare», </w:t>
      </w:r>
      <w:r w:rsidRPr="00FD6300">
        <w:rPr>
          <w:rFonts w:ascii="Garamond" w:hAnsi="Garamond" w:cs="Times New Roman"/>
          <w:smallCaps/>
          <w:lang w:val="en-GB"/>
        </w:rPr>
        <w:t>iii,</w:t>
      </w:r>
      <w:r w:rsidRPr="00FD6300">
        <w:rPr>
          <w:rFonts w:ascii="Garamond" w:hAnsi="Garamond" w:cs="Times New Roman"/>
          <w:lang w:val="en-GB"/>
        </w:rPr>
        <w:t xml:space="preserve"> 1991, pp. 81–103: 97.</w:t>
      </w:r>
    </w:p>
    <w:p w14:paraId="0F3899A2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  <w:lang w:val="en-GB"/>
        </w:rPr>
      </w:pPr>
      <w:r w:rsidRPr="00FD6300">
        <w:rPr>
          <w:rFonts w:ascii="Garamond" w:hAnsi="Garamond" w:cs="Times New Roman"/>
          <w:i/>
          <w:iCs/>
          <w:lang w:val="en-GB"/>
        </w:rPr>
        <w:t>The new Monteverdi companion</w:t>
      </w:r>
      <w:r w:rsidRPr="00FD6300">
        <w:rPr>
          <w:rFonts w:ascii="Garamond" w:hAnsi="Garamond" w:cs="Times New Roman"/>
          <w:lang w:val="en-GB"/>
        </w:rPr>
        <w:t>, ed. by Denis Arnold – Nigel Fortune, London, Faber, 1985;</w:t>
      </w:r>
    </w:p>
    <w:p w14:paraId="096AA68F" w14:textId="77777777" w:rsidR="00FD6300" w:rsidRPr="00FD6300" w:rsidRDefault="00FD6300" w:rsidP="00FD6300">
      <w:pPr>
        <w:widowControl/>
        <w:spacing w:line="360" w:lineRule="exact"/>
        <w:ind w:left="426" w:hanging="426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marin sanudo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</w:rPr>
        <w:t>I diarii</w:t>
      </w:r>
      <w:r w:rsidRPr="00FD6300">
        <w:rPr>
          <w:rFonts w:ascii="Garamond" w:hAnsi="Garamond" w:cs="Times New Roman"/>
        </w:rPr>
        <w:t xml:space="preserve">, a c. di Rinaldo Fulin </w:t>
      </w:r>
      <w:r w:rsidRPr="00FD6300">
        <w:rPr>
          <w:rFonts w:ascii="Garamond" w:hAnsi="Garamond" w:cs="Times New Roman"/>
          <w:i/>
        </w:rPr>
        <w:t>et al.</w:t>
      </w:r>
      <w:r w:rsidRPr="00FD6300">
        <w:rPr>
          <w:rFonts w:ascii="Garamond" w:hAnsi="Garamond" w:cs="Times New Roman"/>
        </w:rPr>
        <w:t xml:space="preserve">, 58 voll., Venezia, Visentini, 1879–1902, </w:t>
      </w:r>
      <w:r w:rsidRPr="00FD6300">
        <w:rPr>
          <w:rFonts w:ascii="Garamond" w:hAnsi="Garamond" w:cs="Times New Roman"/>
          <w:smallCaps/>
        </w:rPr>
        <w:t>xlvi</w:t>
      </w:r>
      <w:r w:rsidRPr="00FD6300">
        <w:rPr>
          <w:rFonts w:ascii="Garamond" w:hAnsi="Garamond" w:cs="Times New Roman"/>
        </w:rPr>
        <w:t>, col. 463.</w:t>
      </w:r>
    </w:p>
    <w:p w14:paraId="5B847318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Cs/>
          <w:smallCaps/>
        </w:rPr>
        <w:t>carl dahlhaus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  <w:iCs/>
        </w:rPr>
        <w:t>Drammaturgia dell’opera italiana</w:t>
      </w:r>
      <w:r w:rsidRPr="00FD6300">
        <w:rPr>
          <w:rFonts w:ascii="Garamond" w:hAnsi="Garamond" w:cs="Times New Roman"/>
        </w:rPr>
        <w:t xml:space="preserve">, in </w:t>
      </w:r>
      <w:r w:rsidRPr="00FD6300">
        <w:rPr>
          <w:rFonts w:ascii="Garamond" w:hAnsi="Garamond" w:cs="Times New Roman"/>
          <w:i/>
          <w:iCs/>
        </w:rPr>
        <w:t>Storia dell’opera italiana</w:t>
      </w:r>
      <w:r w:rsidRPr="00FD6300">
        <w:rPr>
          <w:rFonts w:ascii="Garamond" w:hAnsi="Garamond" w:cs="Times New Roman"/>
        </w:rPr>
        <w:t xml:space="preserve">, a c. di Lorenzo Bianconi – Giorgio Pestelli, parte </w:t>
      </w:r>
      <w:r w:rsidRPr="00FD6300">
        <w:rPr>
          <w:rFonts w:ascii="Garamond" w:hAnsi="Garamond" w:cs="Times New Roman"/>
          <w:smallCaps/>
        </w:rPr>
        <w:t>ii</w:t>
      </w:r>
      <w:r w:rsidRPr="00FD6300">
        <w:rPr>
          <w:rFonts w:ascii="Garamond" w:hAnsi="Garamond" w:cs="Times New Roman"/>
        </w:rPr>
        <w:t xml:space="preserve"> «I sistemi», vol. </w:t>
      </w:r>
      <w:r w:rsidRPr="00FD6300">
        <w:rPr>
          <w:rFonts w:ascii="Garamond" w:hAnsi="Garamond" w:cs="Times New Roman"/>
          <w:smallCaps/>
        </w:rPr>
        <w:t>vi</w:t>
      </w:r>
      <w:r w:rsidRPr="00FD6300">
        <w:rPr>
          <w:rFonts w:ascii="Garamond" w:hAnsi="Garamond" w:cs="Times New Roman"/>
        </w:rPr>
        <w:t xml:space="preserve"> </w:t>
      </w:r>
      <w:r w:rsidRPr="00FD6300">
        <w:rPr>
          <w:rFonts w:ascii="Garamond" w:hAnsi="Garamond" w:cs="Times New Roman"/>
          <w:i/>
          <w:iCs/>
        </w:rPr>
        <w:t>Teorie e tecniche: immagini e fantasmi</w:t>
      </w:r>
      <w:r w:rsidRPr="00FD6300">
        <w:rPr>
          <w:rFonts w:ascii="Garamond" w:hAnsi="Garamond" w:cs="Times New Roman"/>
        </w:rPr>
        <w:t xml:space="preserve">, Torino, </w:t>
      </w:r>
      <w:r w:rsidRPr="00FD6300">
        <w:rPr>
          <w:rFonts w:ascii="Garamond" w:hAnsi="Garamond" w:cs="Times New Roman"/>
          <w:smallCaps/>
        </w:rPr>
        <w:t>edt</w:t>
      </w:r>
      <w:r w:rsidRPr="00FD6300">
        <w:rPr>
          <w:rFonts w:ascii="Garamond" w:hAnsi="Garamond" w:cs="Times New Roman"/>
        </w:rPr>
        <w:t>, 1988, pp. 77–162: 107–108.</w:t>
      </w:r>
    </w:p>
    <w:p w14:paraId="034053F0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  <w:lang w:val="en-GB"/>
        </w:rPr>
      </w:pPr>
      <w:r w:rsidRPr="00FD6300">
        <w:rPr>
          <w:rFonts w:ascii="Garamond" w:hAnsi="Garamond" w:cs="Times New Roman"/>
          <w:iCs/>
          <w:smallCaps/>
          <w:lang w:val="en-GB"/>
        </w:rPr>
        <w:t>claude palisca</w:t>
      </w:r>
      <w:r w:rsidRPr="00FD6300">
        <w:rPr>
          <w:rFonts w:ascii="Garamond" w:hAnsi="Garamond" w:cs="Times New Roman"/>
          <w:lang w:val="en-GB"/>
        </w:rPr>
        <w:t xml:space="preserve">, </w:t>
      </w:r>
      <w:r w:rsidRPr="00FD6300">
        <w:rPr>
          <w:rFonts w:ascii="Garamond" w:hAnsi="Garamond" w:cs="Times New Roman"/>
          <w:i/>
          <w:lang w:val="en-GB"/>
        </w:rPr>
        <w:t>Bernardino Cirillo’s critique of polyphonic church music of 1549: its background and resonance</w:t>
      </w:r>
      <w:r w:rsidRPr="00FD6300">
        <w:rPr>
          <w:rFonts w:ascii="Garamond" w:hAnsi="Garamond" w:cs="Times New Roman"/>
          <w:lang w:val="en-GB"/>
        </w:rPr>
        <w:t>, in</w:t>
      </w:r>
      <w:r w:rsidRPr="00FD6300">
        <w:rPr>
          <w:rFonts w:ascii="Garamond" w:hAnsi="Garamond" w:cs="Times New Roman"/>
          <w:i/>
          <w:lang w:val="en-GB"/>
        </w:rPr>
        <w:t xml:space="preserve"> Music in Renaissance cities and courts. Studies in honor of Lewis Lockwood</w:t>
      </w:r>
      <w:r w:rsidRPr="00FD6300">
        <w:rPr>
          <w:rFonts w:ascii="Garamond" w:hAnsi="Garamond" w:cs="Times New Roman"/>
          <w:lang w:val="en-GB"/>
        </w:rPr>
        <w:t>, ed. Jessie Ann Owens – Anthony M. Cummings, Warren,</w:t>
      </w:r>
      <w:r w:rsidRPr="00FD6300">
        <w:rPr>
          <w:rFonts w:ascii="Garamond" w:hAnsi="Garamond" w:cs="Times New Roman"/>
          <w:smallCaps/>
          <w:lang w:val="en-GB"/>
        </w:rPr>
        <w:t xml:space="preserve"> mi</w:t>
      </w:r>
      <w:r w:rsidRPr="00FD6300">
        <w:rPr>
          <w:rFonts w:ascii="Garamond" w:hAnsi="Garamond" w:cs="Times New Roman"/>
          <w:lang w:val="en-GB"/>
        </w:rPr>
        <w:t>, Harmonie Park Press, 1996, pp. 281–292: 287–288.</w:t>
      </w:r>
    </w:p>
    <w:p w14:paraId="55E0C719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La figura e l’opera di Ranieri de’ Calzabigi</w:t>
      </w:r>
      <w:r w:rsidRPr="00FD6300">
        <w:rPr>
          <w:rFonts w:ascii="Garamond" w:hAnsi="Garamond" w:cs="Times New Roman"/>
        </w:rPr>
        <w:t>, atti del convegno (Livorno 14–15 giugno 1987), a c. di Federico Marri, Firenze, Olschki, 1989.</w:t>
      </w:r>
    </w:p>
    <w:p w14:paraId="2B42EAAB" w14:textId="77777777" w:rsidR="00FD6300" w:rsidRPr="00FD6300" w:rsidRDefault="00FD6300" w:rsidP="00FD6300">
      <w:pPr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gioseffo zarlino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</w:rPr>
        <w:t>Sopplimenti musicali</w:t>
      </w:r>
      <w:r w:rsidRPr="00FD6300">
        <w:rPr>
          <w:rFonts w:ascii="Garamond" w:hAnsi="Garamond" w:cs="Times New Roman"/>
        </w:rPr>
        <w:t xml:space="preserve">, Venezia, Francesco de’ Franceschi, 1588 (facs. Ridgewood, </w:t>
      </w:r>
      <w:r w:rsidRPr="00FD6300">
        <w:rPr>
          <w:rFonts w:ascii="Garamond" w:hAnsi="Garamond" w:cs="Times New Roman"/>
          <w:smallCaps/>
        </w:rPr>
        <w:t>nj</w:t>
      </w:r>
      <w:r w:rsidRPr="00FD6300">
        <w:rPr>
          <w:rFonts w:ascii="Garamond" w:hAnsi="Garamond" w:cs="Times New Roman"/>
        </w:rPr>
        <w:t xml:space="preserve">, Gregg, 1966), libro </w:t>
      </w:r>
      <w:r w:rsidRPr="00FD6300">
        <w:rPr>
          <w:rFonts w:ascii="Garamond" w:hAnsi="Garamond" w:cs="Times New Roman"/>
          <w:smallCaps/>
        </w:rPr>
        <w:t>i</w:t>
      </w:r>
      <w:r w:rsidRPr="00FD6300">
        <w:rPr>
          <w:rFonts w:ascii="Garamond" w:hAnsi="Garamond" w:cs="Times New Roman"/>
        </w:rPr>
        <w:t xml:space="preserve">, cap. </w:t>
      </w:r>
      <w:r w:rsidRPr="00FD6300">
        <w:rPr>
          <w:rFonts w:ascii="Garamond" w:hAnsi="Garamond" w:cs="Times New Roman"/>
          <w:smallCaps/>
        </w:rPr>
        <w:t>xii</w:t>
      </w:r>
      <w:r w:rsidRPr="00FD6300">
        <w:rPr>
          <w:rFonts w:ascii="Garamond" w:hAnsi="Garamond" w:cs="Times New Roman"/>
        </w:rPr>
        <w:t>, pp. 35–36.</w:t>
      </w:r>
    </w:p>
    <w:p w14:paraId="413171C5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dario castello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  <w:iCs/>
        </w:rPr>
        <w:t>Duodecima sonata, a 3, due violini e trombon over violetta</w:t>
      </w:r>
      <w:r w:rsidRPr="00FD6300">
        <w:rPr>
          <w:rFonts w:ascii="Garamond" w:hAnsi="Garamond" w:cs="Times New Roman"/>
        </w:rPr>
        <w:t xml:space="preserve">, in </w:t>
      </w:r>
      <w:r w:rsidRPr="00FD6300">
        <w:rPr>
          <w:rFonts w:ascii="Garamond" w:hAnsi="Garamond" w:cs="Times New Roman"/>
          <w:smallCaps/>
        </w:rPr>
        <w:t>idem</w:t>
      </w:r>
      <w:r w:rsidRPr="00FD6300">
        <w:rPr>
          <w:rFonts w:ascii="Garamond" w:hAnsi="Garamond" w:cs="Times New Roman"/>
        </w:rPr>
        <w:t xml:space="preserve">: </w:t>
      </w:r>
      <w:r w:rsidRPr="00FD6300">
        <w:rPr>
          <w:rFonts w:ascii="Garamond" w:hAnsi="Garamond" w:cs="Times New Roman"/>
          <w:i/>
          <w:iCs/>
        </w:rPr>
        <w:t>Sonate concertate in stil moderno</w:t>
      </w:r>
      <w:r w:rsidRPr="00FD6300">
        <w:rPr>
          <w:rFonts w:ascii="Garamond" w:hAnsi="Garamond" w:cs="Times New Roman"/>
        </w:rPr>
        <w:t xml:space="preserve"> […]</w:t>
      </w:r>
      <w:r w:rsidRPr="00FD6300">
        <w:rPr>
          <w:rFonts w:ascii="Garamond" w:hAnsi="Garamond" w:cs="Times New Roman"/>
          <w:i/>
          <w:iCs/>
        </w:rPr>
        <w:t>. Libro primo</w:t>
      </w:r>
      <w:r w:rsidRPr="00FD6300">
        <w:rPr>
          <w:rFonts w:ascii="Garamond" w:hAnsi="Garamond" w:cs="Times New Roman"/>
        </w:rPr>
        <w:t>, Venezia, Francesco Magni, 1658 (f</w:t>
      </w:r>
      <w:r>
        <w:rPr>
          <w:rFonts w:ascii="Garamond" w:hAnsi="Garamond" w:cs="Times New Roman"/>
        </w:rPr>
        <w:t>acs.</w:t>
      </w:r>
      <w:r w:rsidRPr="00FD6300">
        <w:rPr>
          <w:rFonts w:ascii="Garamond" w:hAnsi="Garamond" w:cs="Times New Roman"/>
        </w:rPr>
        <w:t xml:space="preserve"> a c. di Marcello Castellani, Firenze, </w:t>
      </w:r>
      <w:r w:rsidRPr="00FD6300">
        <w:rPr>
          <w:rFonts w:ascii="Garamond" w:hAnsi="Garamond" w:cs="Times New Roman"/>
          <w:smallCaps/>
        </w:rPr>
        <w:t>spes</w:t>
      </w:r>
      <w:r w:rsidRPr="00FD6300">
        <w:rPr>
          <w:rFonts w:ascii="Garamond" w:hAnsi="Garamond" w:cs="Times New Roman"/>
        </w:rPr>
        <w:t>, 1979).</w:t>
      </w:r>
    </w:p>
    <w:p w14:paraId="20E66FA1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francesco foggia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  <w:iCs/>
        </w:rPr>
        <w:t>O ignis qui semper ardes</w:t>
      </w:r>
      <w:r w:rsidRPr="00FD6300">
        <w:rPr>
          <w:rFonts w:ascii="Garamond" w:hAnsi="Garamond" w:cs="Times New Roman"/>
        </w:rPr>
        <w:t xml:space="preserve">, misure 16–19, in </w:t>
      </w:r>
      <w:r w:rsidRPr="00FD6300">
        <w:rPr>
          <w:rFonts w:ascii="Garamond" w:hAnsi="Garamond" w:cs="Times New Roman"/>
          <w:smallCaps/>
        </w:rPr>
        <w:t>idem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  <w:iCs/>
        </w:rPr>
        <w:t>Mottetti</w:t>
      </w:r>
      <w:r w:rsidRPr="00FD6300">
        <w:rPr>
          <w:rFonts w:ascii="Garamond" w:hAnsi="Garamond" w:cs="Times New Roman"/>
        </w:rPr>
        <w:t>, a c. di Gunther Morche, Palestrina, Fondazione Giovanni Pierluigi da Palestrina, 1988, p. 45.</w:t>
      </w:r>
    </w:p>
    <w:p w14:paraId="43553DE4" w14:textId="77777777" w:rsidR="00FD6300" w:rsidRPr="00FD6300" w:rsidRDefault="00FD6300" w:rsidP="00FD6300">
      <w:pPr>
        <w:widowControl/>
        <w:spacing w:line="180" w:lineRule="exact"/>
        <w:ind w:firstLine="360"/>
        <w:jc w:val="both"/>
        <w:rPr>
          <w:rFonts w:ascii="Garamond" w:hAnsi="Garamond" w:cs="Times New Roman"/>
        </w:rPr>
      </w:pPr>
    </w:p>
    <w:p w14:paraId="38343BD4" w14:textId="77777777" w:rsid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In particolare, si presti attenzione a quanto segue:</w:t>
      </w:r>
    </w:p>
    <w:p w14:paraId="46E8125A" w14:textId="2C35C2A3" w:rsidR="00FD6300" w:rsidRPr="00FD6300" w:rsidRDefault="00AF4915" w:rsidP="00AF4915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–</w:t>
      </w:r>
      <w:r w:rsidRPr="00FD6300">
        <w:rPr>
          <w:rFonts w:ascii="Garamond" w:hAnsi="Garamond" w:cs="Times New Roman"/>
        </w:rPr>
        <w:tab/>
      </w:r>
      <w:r>
        <w:rPr>
          <w:rFonts w:ascii="Garamond" w:hAnsi="Garamond" w:cs="Times New Roman"/>
        </w:rPr>
        <w:t xml:space="preserve"> nomi e cognomi degli autori vanno in maiuscoletto tutto basso</w:t>
      </w:r>
    </w:p>
    <w:p w14:paraId="5014D478" w14:textId="560D1C7B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bookmarkStart w:id="1" w:name="_Hlk156136655"/>
      <w:r w:rsidRPr="00FD6300">
        <w:rPr>
          <w:rFonts w:ascii="Garamond" w:hAnsi="Garamond" w:cs="Times New Roman"/>
        </w:rPr>
        <w:t>–</w:t>
      </w:r>
      <w:r w:rsidRPr="00FD6300">
        <w:rPr>
          <w:rFonts w:ascii="Garamond" w:hAnsi="Garamond" w:cs="Times New Roman"/>
        </w:rPr>
        <w:tab/>
      </w:r>
      <w:r w:rsidR="00AF4915">
        <w:rPr>
          <w:rFonts w:ascii="Garamond" w:hAnsi="Garamond" w:cs="Times New Roman"/>
        </w:rPr>
        <w:t xml:space="preserve"> </w:t>
      </w:r>
      <w:bookmarkEnd w:id="1"/>
      <w:r w:rsidRPr="00FD6300">
        <w:rPr>
          <w:rFonts w:ascii="Garamond" w:hAnsi="Garamond" w:cs="Times New Roman"/>
        </w:rPr>
        <w:t>i nomi di autori e curatori sono sempre espressi per esteso, in maiuscoletto tutto basso;</w:t>
      </w:r>
    </w:p>
    <w:p w14:paraId="4A27EE43" w14:textId="500A9052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–</w:t>
      </w:r>
      <w:r w:rsidRPr="00FD6300">
        <w:rPr>
          <w:rFonts w:ascii="Garamond" w:hAnsi="Garamond" w:cs="Times New Roman"/>
        </w:rPr>
        <w:tab/>
      </w:r>
      <w:r w:rsidR="00AF4915">
        <w:rPr>
          <w:rFonts w:ascii="Garamond" w:hAnsi="Garamond" w:cs="Times New Roman"/>
        </w:rPr>
        <w:t xml:space="preserve"> </w:t>
      </w:r>
      <w:r w:rsidRPr="00FD6300">
        <w:rPr>
          <w:rFonts w:ascii="Garamond" w:hAnsi="Garamond" w:cs="Times New Roman"/>
        </w:rPr>
        <w:t>è sempre richiesta l’indicazione dei curatori e dell’editore o stampatore;</w:t>
      </w:r>
    </w:p>
    <w:p w14:paraId="78EC650A" w14:textId="404F7A5F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–</w:t>
      </w:r>
      <w:r w:rsidRPr="00FD6300">
        <w:rPr>
          <w:rFonts w:ascii="Garamond" w:hAnsi="Garamond" w:cs="Times New Roman"/>
        </w:rPr>
        <w:tab/>
      </w:r>
      <w:r w:rsidR="00AF4915">
        <w:rPr>
          <w:rFonts w:ascii="Garamond" w:hAnsi="Garamond" w:cs="Times New Roman"/>
        </w:rPr>
        <w:t xml:space="preserve"> </w:t>
      </w:r>
      <w:r w:rsidRPr="00FD6300">
        <w:rPr>
          <w:rFonts w:ascii="Garamond" w:hAnsi="Garamond" w:cs="Times New Roman"/>
        </w:rPr>
        <w:t>le indicazioni di cura, traduzione, edizione e luogo compaiono nella lingua dell’oggetto bibliografico citato (ed., hrsg.);</w:t>
      </w:r>
    </w:p>
    <w:p w14:paraId="1FED35A2" w14:textId="77777777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–</w:t>
      </w:r>
      <w:r w:rsidRPr="00FD6300">
        <w:rPr>
          <w:rFonts w:ascii="Garamond" w:hAnsi="Garamond" w:cs="Times New Roman"/>
        </w:rPr>
        <w:tab/>
        <w:t>non sono ammessi i riferimenti generici del tipo loc. cit., op. cit., ibid., pp. 33 ss.;</w:t>
      </w:r>
    </w:p>
    <w:p w14:paraId="6A2F4B36" w14:textId="77777777" w:rsidR="00FD6300" w:rsidRPr="00FD6300" w:rsidRDefault="00FD6300" w:rsidP="00AF4915">
      <w:pPr>
        <w:widowControl/>
        <w:numPr>
          <w:ilvl w:val="0"/>
          <w:numId w:val="1"/>
        </w:numPr>
        <w:tabs>
          <w:tab w:val="clear" w:pos="720"/>
        </w:tabs>
        <w:spacing w:line="360" w:lineRule="exact"/>
        <w:ind w:left="284" w:hanging="295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lastRenderedPageBreak/>
        <w:t>la prima citazione di una voce bibliografica deve includere tutte le informazioni, mentre nelle citazioni successive si forniscono i soli dati essenziali; per esempio:</w:t>
      </w:r>
    </w:p>
    <w:p w14:paraId="33653BC5" w14:textId="77777777" w:rsidR="00FD6300" w:rsidRPr="00FD6300" w:rsidRDefault="00FD6300" w:rsidP="00FD6300">
      <w:pPr>
        <w:widowControl/>
        <w:spacing w:line="360" w:lineRule="exact"/>
        <w:ind w:left="360"/>
        <w:jc w:val="both"/>
        <w:rPr>
          <w:rFonts w:ascii="Garamond" w:hAnsi="Garamond" w:cs="Times New Roman"/>
        </w:rPr>
      </w:pPr>
    </w:p>
    <w:p w14:paraId="4DB2D6A6" w14:textId="77777777" w:rsidR="00FD6300" w:rsidRPr="00FD6300" w:rsidRDefault="00FD6300" w:rsidP="00FD6300">
      <w:pPr>
        <w:widowControl/>
        <w:ind w:firstLine="357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pirrotta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</w:rPr>
        <w:t>Li due Orfei</w:t>
      </w:r>
      <w:r w:rsidRPr="00FD6300">
        <w:rPr>
          <w:rFonts w:ascii="Garamond" w:hAnsi="Garamond" w:cs="Times New Roman"/>
        </w:rPr>
        <w:t>; pp. 210–211.</w:t>
      </w:r>
    </w:p>
    <w:p w14:paraId="60E16F3A" w14:textId="77777777" w:rsidR="00FD6300" w:rsidRPr="00FD6300" w:rsidRDefault="00FD6300" w:rsidP="00FD6300">
      <w:pPr>
        <w:widowControl/>
        <w:spacing w:line="360" w:lineRule="exact"/>
        <w:ind w:left="720" w:hanging="360"/>
        <w:jc w:val="both"/>
        <w:rPr>
          <w:rFonts w:ascii="Garamond" w:hAnsi="Garamond" w:cs="Times New Roman"/>
          <w:lang w:val="en-GB"/>
        </w:rPr>
      </w:pPr>
      <w:r w:rsidRPr="00FD6300">
        <w:rPr>
          <w:rFonts w:ascii="Garamond" w:hAnsi="Garamond" w:cs="Times New Roman"/>
          <w:smallCaps/>
          <w:lang w:val="en-GB"/>
        </w:rPr>
        <w:t>silbiger</w:t>
      </w:r>
      <w:r w:rsidRPr="00FD6300">
        <w:rPr>
          <w:rFonts w:ascii="Garamond" w:hAnsi="Garamond" w:cs="Times New Roman"/>
          <w:lang w:val="en-GB"/>
        </w:rPr>
        <w:t xml:space="preserve">, </w:t>
      </w:r>
      <w:r w:rsidRPr="00FD6300">
        <w:rPr>
          <w:rFonts w:ascii="Garamond" w:hAnsi="Garamond" w:cs="Times New Roman"/>
          <w:i/>
          <w:iCs/>
          <w:lang w:val="en-GB"/>
        </w:rPr>
        <w:t>Is the Italian keyboard «intavolatura» a tablature?</w:t>
      </w:r>
      <w:r w:rsidRPr="00FD6300">
        <w:rPr>
          <w:rFonts w:ascii="Garamond" w:hAnsi="Garamond" w:cs="Times New Roman"/>
          <w:lang w:val="en-GB"/>
        </w:rPr>
        <w:t>, p. 97.</w:t>
      </w:r>
    </w:p>
    <w:p w14:paraId="4374E481" w14:textId="77777777" w:rsidR="00FD6300" w:rsidRPr="00FD6300" w:rsidRDefault="00FD6300" w:rsidP="00FD6300">
      <w:pPr>
        <w:widowControl/>
        <w:spacing w:line="360" w:lineRule="exact"/>
        <w:ind w:left="720" w:hanging="360"/>
        <w:jc w:val="both"/>
        <w:rPr>
          <w:rFonts w:ascii="Garamond" w:hAnsi="Garamond" w:cs="Times New Roman"/>
          <w:lang w:val="en-GB"/>
        </w:rPr>
      </w:pPr>
      <w:r w:rsidRPr="00FD6300">
        <w:rPr>
          <w:rFonts w:ascii="Garamond" w:hAnsi="Garamond" w:cs="Times New Roman"/>
          <w:i/>
          <w:iCs/>
          <w:lang w:val="en-GB"/>
        </w:rPr>
        <w:t>The new Monteverdi companion</w:t>
      </w:r>
      <w:r w:rsidRPr="00FD6300">
        <w:rPr>
          <w:rFonts w:ascii="Garamond" w:hAnsi="Garamond" w:cs="Times New Roman"/>
          <w:lang w:val="en-GB"/>
        </w:rPr>
        <w:t>, p. 45.</w:t>
      </w:r>
    </w:p>
    <w:p w14:paraId="766EF9EF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sanudo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</w:rPr>
        <w:t>I diarii</w:t>
      </w:r>
      <w:r w:rsidRPr="00FD6300">
        <w:rPr>
          <w:rFonts w:ascii="Garamond" w:hAnsi="Garamond" w:cs="Times New Roman"/>
        </w:rPr>
        <w:t xml:space="preserve">, vol. </w:t>
      </w:r>
      <w:r w:rsidRPr="00FD6300">
        <w:rPr>
          <w:rFonts w:ascii="Garamond" w:hAnsi="Garamond" w:cs="Times New Roman"/>
          <w:smallCaps/>
        </w:rPr>
        <w:t>xlvi</w:t>
      </w:r>
      <w:r w:rsidRPr="00FD6300">
        <w:rPr>
          <w:rFonts w:ascii="Garamond" w:hAnsi="Garamond" w:cs="Times New Roman"/>
        </w:rPr>
        <w:t>, col. 463.</w:t>
      </w:r>
    </w:p>
    <w:p w14:paraId="1A773432" w14:textId="77777777" w:rsidR="00FD6300" w:rsidRPr="00FD6300" w:rsidRDefault="00FD6300" w:rsidP="00FD6300">
      <w:pPr>
        <w:widowControl/>
        <w:spacing w:line="360" w:lineRule="exact"/>
        <w:ind w:left="72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dahlhaus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  <w:iCs/>
        </w:rPr>
        <w:t>Drammaturgia dell’opera italiana</w:t>
      </w:r>
      <w:r w:rsidRPr="00FD6300">
        <w:rPr>
          <w:rFonts w:ascii="Garamond" w:hAnsi="Garamond" w:cs="Times New Roman"/>
        </w:rPr>
        <w:t>, pp. 111–122.</w:t>
      </w:r>
    </w:p>
    <w:p w14:paraId="6A1A2B11" w14:textId="77777777" w:rsidR="00FD6300" w:rsidRPr="00FD6300" w:rsidRDefault="00FD6300" w:rsidP="00FD6300">
      <w:pPr>
        <w:widowControl/>
        <w:spacing w:line="360" w:lineRule="exact"/>
        <w:ind w:left="720" w:hanging="360"/>
        <w:jc w:val="both"/>
        <w:rPr>
          <w:rFonts w:ascii="Garamond" w:hAnsi="Garamond" w:cs="Times New Roman"/>
          <w:i/>
          <w:lang w:val="en-GB"/>
        </w:rPr>
      </w:pPr>
      <w:r w:rsidRPr="00FD6300">
        <w:rPr>
          <w:rFonts w:ascii="Garamond" w:hAnsi="Garamond" w:cs="Times New Roman"/>
          <w:iCs/>
          <w:smallCaps/>
          <w:lang w:val="en-GB"/>
        </w:rPr>
        <w:t>palisca</w:t>
      </w:r>
      <w:r w:rsidRPr="00FD6300">
        <w:rPr>
          <w:rFonts w:ascii="Garamond" w:hAnsi="Garamond" w:cs="Times New Roman"/>
          <w:lang w:val="en-GB"/>
        </w:rPr>
        <w:t xml:space="preserve">, </w:t>
      </w:r>
      <w:r w:rsidRPr="00FD6300">
        <w:rPr>
          <w:rFonts w:ascii="Garamond" w:hAnsi="Garamond" w:cs="Times New Roman"/>
          <w:i/>
          <w:lang w:val="en-GB"/>
        </w:rPr>
        <w:t>Bernardino Cirillo’s critique of polyphonic church music</w:t>
      </w:r>
      <w:r w:rsidRPr="00FD6300">
        <w:rPr>
          <w:rFonts w:ascii="Garamond" w:hAnsi="Garamond" w:cs="Times New Roman"/>
          <w:lang w:val="en-GB"/>
        </w:rPr>
        <w:t>, pp. 281–282.</w:t>
      </w:r>
      <w:r w:rsidRPr="00FD6300">
        <w:rPr>
          <w:rFonts w:ascii="Garamond" w:hAnsi="Garamond" w:cs="Times New Roman"/>
          <w:i/>
          <w:lang w:val="en-GB"/>
        </w:rPr>
        <w:t xml:space="preserve"> </w:t>
      </w:r>
    </w:p>
    <w:p w14:paraId="08F32144" w14:textId="77777777" w:rsidR="00FD6300" w:rsidRPr="00FD6300" w:rsidRDefault="00FD6300" w:rsidP="00FD6300">
      <w:pPr>
        <w:widowControl/>
        <w:spacing w:line="360" w:lineRule="exact"/>
        <w:ind w:left="72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zarlino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</w:rPr>
        <w:t>Sopplimenti musicali</w:t>
      </w:r>
      <w:r w:rsidRPr="00FD6300">
        <w:rPr>
          <w:rFonts w:ascii="Garamond" w:hAnsi="Garamond" w:cs="Times New Roman"/>
        </w:rPr>
        <w:t xml:space="preserve">, libro </w:t>
      </w:r>
      <w:r w:rsidRPr="00FD6300">
        <w:rPr>
          <w:rFonts w:ascii="Garamond" w:hAnsi="Garamond" w:cs="Times New Roman"/>
          <w:smallCaps/>
        </w:rPr>
        <w:t>i</w:t>
      </w:r>
      <w:r w:rsidRPr="00FD6300">
        <w:rPr>
          <w:rFonts w:ascii="Garamond" w:hAnsi="Garamond" w:cs="Times New Roman"/>
        </w:rPr>
        <w:t xml:space="preserve">, cap. </w:t>
      </w:r>
      <w:r w:rsidRPr="00FD6300">
        <w:rPr>
          <w:rFonts w:ascii="Garamond" w:hAnsi="Garamond" w:cs="Times New Roman"/>
          <w:smallCaps/>
        </w:rPr>
        <w:t>xii</w:t>
      </w:r>
      <w:r w:rsidRPr="00FD6300">
        <w:rPr>
          <w:rFonts w:ascii="Garamond" w:hAnsi="Garamond" w:cs="Times New Roman"/>
        </w:rPr>
        <w:t>, pp. 35–36.</w:t>
      </w:r>
    </w:p>
    <w:p w14:paraId="724FEB5E" w14:textId="77777777" w:rsidR="00FD6300" w:rsidRDefault="00FD6300" w:rsidP="00FD6300">
      <w:pPr>
        <w:widowControl/>
        <w:spacing w:line="360" w:lineRule="exact"/>
        <w:ind w:left="72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smallCaps/>
        </w:rPr>
        <w:t>castello</w:t>
      </w:r>
      <w:r w:rsidRPr="00FD6300">
        <w:rPr>
          <w:rFonts w:ascii="Garamond" w:hAnsi="Garamond" w:cs="Times New Roman"/>
        </w:rPr>
        <w:t xml:space="preserve">, </w:t>
      </w:r>
      <w:r w:rsidRPr="00FD6300">
        <w:rPr>
          <w:rFonts w:ascii="Garamond" w:hAnsi="Garamond" w:cs="Times New Roman"/>
          <w:i/>
          <w:iCs/>
        </w:rPr>
        <w:t>Duodecima sonata a 3</w:t>
      </w:r>
      <w:r w:rsidRPr="00FD6300">
        <w:rPr>
          <w:rFonts w:ascii="Garamond" w:hAnsi="Garamond" w:cs="Times New Roman"/>
        </w:rPr>
        <w:t>.</w:t>
      </w:r>
    </w:p>
    <w:p w14:paraId="1C4EE06B" w14:textId="77777777" w:rsidR="00F849D8" w:rsidRPr="00FD6300" w:rsidRDefault="00F849D8" w:rsidP="00FD6300">
      <w:pPr>
        <w:widowControl/>
        <w:spacing w:line="360" w:lineRule="exact"/>
        <w:ind w:left="720" w:hanging="360"/>
        <w:jc w:val="both"/>
        <w:rPr>
          <w:rFonts w:ascii="Garamond" w:hAnsi="Garamond" w:cs="Times New Roman"/>
        </w:rPr>
      </w:pPr>
    </w:p>
    <w:p w14:paraId="7F0561CA" w14:textId="59776384" w:rsidR="00FD6300" w:rsidRDefault="00F849D8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091611">
        <w:rPr>
          <w:rFonts w:ascii="Garamond" w:hAnsi="Garamond" w:cs="Times New Roman"/>
          <w:i/>
          <w:iCs/>
        </w:rPr>
        <w:t>Risorse online</w:t>
      </w:r>
      <w:r>
        <w:rPr>
          <w:rFonts w:ascii="Garamond" w:hAnsi="Garamond" w:cs="Times New Roman"/>
        </w:rPr>
        <w:t>. N</w:t>
      </w:r>
      <w:r w:rsidRPr="00F849D8">
        <w:rPr>
          <w:rFonts w:ascii="Garamond" w:hAnsi="Garamond" w:cs="Times New Roman"/>
        </w:rPr>
        <w:t xml:space="preserve">el caso di rinvio a </w:t>
      </w:r>
      <w:r w:rsidR="00E64835">
        <w:rPr>
          <w:rFonts w:ascii="Garamond" w:hAnsi="Garamond" w:cs="Times New Roman"/>
        </w:rPr>
        <w:t>pubblicazioni</w:t>
      </w:r>
      <w:r>
        <w:rPr>
          <w:rFonts w:ascii="Garamond" w:hAnsi="Garamond" w:cs="Times New Roman"/>
        </w:rPr>
        <w:t xml:space="preserve"> online</w:t>
      </w:r>
      <w:r w:rsidRPr="00F849D8">
        <w:rPr>
          <w:rFonts w:ascii="Garamond" w:hAnsi="Garamond" w:cs="Times New Roman"/>
        </w:rPr>
        <w:t xml:space="preserve">, occorre specificare </w:t>
      </w:r>
      <w:r>
        <w:rPr>
          <w:rFonts w:ascii="Garamond" w:hAnsi="Garamond" w:cs="Times New Roman"/>
        </w:rPr>
        <w:t>autore, titolo, nome della rivista o altra pubblicazione</w:t>
      </w:r>
      <w:r w:rsidR="00BC7DFE">
        <w:rPr>
          <w:rFonts w:ascii="Garamond" w:hAnsi="Garamond" w:cs="Times New Roman"/>
        </w:rPr>
        <w:t xml:space="preserve">, </w:t>
      </w:r>
      <w:r w:rsidR="00AE44F5">
        <w:rPr>
          <w:rFonts w:ascii="Garamond" w:hAnsi="Garamond" w:cs="Times New Roman"/>
        </w:rPr>
        <w:t>anno/</w:t>
      </w:r>
      <w:r w:rsidR="00BC7DFE">
        <w:rPr>
          <w:rFonts w:ascii="Garamond" w:hAnsi="Garamond" w:cs="Times New Roman"/>
        </w:rPr>
        <w:t>annata</w:t>
      </w:r>
      <w:r>
        <w:rPr>
          <w:rFonts w:ascii="Garamond" w:hAnsi="Garamond" w:cs="Times New Roman"/>
        </w:rPr>
        <w:t xml:space="preserve">, </w:t>
      </w:r>
      <w:r w:rsidR="00EE40A3">
        <w:rPr>
          <w:rFonts w:ascii="Garamond" w:hAnsi="Garamond" w:cs="Times New Roman"/>
        </w:rPr>
        <w:t xml:space="preserve">paragrafo, </w:t>
      </w:r>
      <w:r w:rsidR="00E64835">
        <w:rPr>
          <w:rFonts w:ascii="Garamond" w:hAnsi="Garamond" w:cs="Times New Roman"/>
        </w:rPr>
        <w:t xml:space="preserve">completo di </w:t>
      </w:r>
      <w:r w:rsidR="00AE44F5" w:rsidRPr="00AE44F5">
        <w:rPr>
          <w:rFonts w:ascii="Garamond" w:hAnsi="Garamond" w:cs="Times New Roman"/>
          <w:smallCaps/>
        </w:rPr>
        <w:t>url</w:t>
      </w:r>
      <w:r w:rsidR="00AE44F5">
        <w:rPr>
          <w:rFonts w:ascii="Garamond" w:hAnsi="Garamond" w:cs="Times New Roman"/>
        </w:rPr>
        <w:t xml:space="preserve"> </w:t>
      </w:r>
      <w:r w:rsidR="00E64835">
        <w:rPr>
          <w:rFonts w:ascii="Garamond" w:hAnsi="Garamond" w:cs="Times New Roman"/>
        </w:rPr>
        <w:t xml:space="preserve">o </w:t>
      </w:r>
      <w:r w:rsidR="00AE44F5" w:rsidRPr="00AE44F5">
        <w:rPr>
          <w:rFonts w:ascii="Garamond" w:hAnsi="Garamond" w:cs="Times New Roman"/>
          <w:smallCaps/>
        </w:rPr>
        <w:t>doi</w:t>
      </w:r>
      <w:r w:rsidR="00E64835" w:rsidRPr="00F849D8">
        <w:rPr>
          <w:rFonts w:ascii="Garamond" w:hAnsi="Garamond" w:cs="Times New Roman"/>
        </w:rPr>
        <w:t>; tra parentesi, va indicata la data di ultima consultazione</w:t>
      </w:r>
      <w:r w:rsidR="00E64835">
        <w:rPr>
          <w:rFonts w:ascii="Garamond" w:hAnsi="Garamond" w:cs="Times New Roman"/>
        </w:rPr>
        <w:t>. Nel caso di risorse su piattaforme online specificare autore</w:t>
      </w:r>
      <w:r w:rsidR="00B13040">
        <w:rPr>
          <w:rFonts w:ascii="Garamond" w:hAnsi="Garamond" w:cs="Times New Roman"/>
        </w:rPr>
        <w:t xml:space="preserve"> e</w:t>
      </w:r>
      <w:r w:rsidR="00AE44F5">
        <w:rPr>
          <w:rFonts w:ascii="Garamond" w:hAnsi="Garamond" w:cs="Times New Roman"/>
        </w:rPr>
        <w:t>/</w:t>
      </w:r>
      <w:r w:rsidR="00B13040">
        <w:rPr>
          <w:rFonts w:ascii="Garamond" w:hAnsi="Garamond" w:cs="Times New Roman"/>
        </w:rPr>
        <w:t xml:space="preserve">o </w:t>
      </w:r>
      <w:r w:rsidR="00AE44F5">
        <w:rPr>
          <w:rFonts w:ascii="Garamond" w:hAnsi="Garamond" w:cs="Times New Roman"/>
        </w:rPr>
        <w:t>curatore</w:t>
      </w:r>
      <w:r w:rsidR="00B13040">
        <w:rPr>
          <w:rFonts w:ascii="Garamond" w:hAnsi="Garamond" w:cs="Times New Roman"/>
        </w:rPr>
        <w:t>,</w:t>
      </w:r>
      <w:r w:rsidR="00E64835">
        <w:rPr>
          <w:rFonts w:ascii="Garamond" w:hAnsi="Garamond" w:cs="Times New Roman"/>
        </w:rPr>
        <w:t>e titolo della scheda</w:t>
      </w:r>
      <w:r w:rsidR="00EE40A3">
        <w:rPr>
          <w:rFonts w:ascii="Garamond" w:hAnsi="Garamond" w:cs="Times New Roman"/>
        </w:rPr>
        <w:t xml:space="preserve">, </w:t>
      </w:r>
      <w:r w:rsidRPr="00F849D8">
        <w:rPr>
          <w:rFonts w:ascii="Garamond" w:hAnsi="Garamond" w:cs="Times New Roman"/>
        </w:rPr>
        <w:t xml:space="preserve">denominazione </w:t>
      </w:r>
      <w:r w:rsidR="00091611">
        <w:rPr>
          <w:rFonts w:ascii="Garamond" w:hAnsi="Garamond" w:cs="Times New Roman"/>
        </w:rPr>
        <w:t xml:space="preserve">del database o </w:t>
      </w:r>
      <w:r w:rsidR="00E64835">
        <w:rPr>
          <w:rFonts w:ascii="Garamond" w:hAnsi="Garamond" w:cs="Times New Roman"/>
        </w:rPr>
        <w:t xml:space="preserve">del </w:t>
      </w:r>
      <w:r w:rsidR="00091611">
        <w:rPr>
          <w:rFonts w:ascii="Garamond" w:hAnsi="Garamond" w:cs="Times New Roman"/>
        </w:rPr>
        <w:t>sitoweb consultato</w:t>
      </w:r>
      <w:r w:rsidR="00E64835">
        <w:rPr>
          <w:rFonts w:ascii="Garamond" w:hAnsi="Garamond" w:cs="Times New Roman"/>
        </w:rPr>
        <w:t xml:space="preserve">, completo di </w:t>
      </w:r>
      <w:r w:rsidR="00AE44F5" w:rsidRPr="00AE44F5">
        <w:rPr>
          <w:rFonts w:ascii="Garamond" w:hAnsi="Garamond" w:cs="Times New Roman"/>
          <w:smallCaps/>
        </w:rPr>
        <w:t>url</w:t>
      </w:r>
      <w:r w:rsidR="00AE44F5">
        <w:rPr>
          <w:rFonts w:ascii="Garamond" w:hAnsi="Garamond" w:cs="Times New Roman"/>
        </w:rPr>
        <w:t xml:space="preserve"> </w:t>
      </w:r>
      <w:r w:rsidR="00E64835">
        <w:rPr>
          <w:rFonts w:ascii="Garamond" w:hAnsi="Garamond" w:cs="Times New Roman"/>
        </w:rPr>
        <w:t xml:space="preserve">o </w:t>
      </w:r>
      <w:r w:rsidR="00AE44F5" w:rsidRPr="00AE44F5">
        <w:rPr>
          <w:rFonts w:ascii="Garamond" w:hAnsi="Garamond" w:cs="Times New Roman"/>
          <w:smallCaps/>
        </w:rPr>
        <w:t>doi</w:t>
      </w:r>
      <w:r w:rsidR="00E64835" w:rsidRPr="00F849D8">
        <w:rPr>
          <w:rFonts w:ascii="Garamond" w:hAnsi="Garamond" w:cs="Times New Roman"/>
        </w:rPr>
        <w:t>; tra parentesi, va indicata la data di ultima consultazione</w:t>
      </w:r>
      <w:r w:rsidR="00091611">
        <w:rPr>
          <w:rFonts w:ascii="Garamond" w:hAnsi="Garamond" w:cs="Times New Roman"/>
        </w:rPr>
        <w:t>. Non sono ammessi rinvii a piattoforme</w:t>
      </w:r>
      <w:r w:rsidR="00EE40A3">
        <w:rPr>
          <w:rFonts w:ascii="Garamond" w:hAnsi="Garamond" w:cs="Times New Roman"/>
        </w:rPr>
        <w:t>,</w:t>
      </w:r>
      <w:r w:rsidR="00091611">
        <w:rPr>
          <w:rFonts w:ascii="Garamond" w:hAnsi="Garamond" w:cs="Times New Roman"/>
        </w:rPr>
        <w:t xml:space="preserve"> pagine web</w:t>
      </w:r>
      <w:r w:rsidR="00E64835">
        <w:rPr>
          <w:rFonts w:ascii="Garamond" w:hAnsi="Garamond" w:cs="Times New Roman"/>
        </w:rPr>
        <w:t>, enciclopedie o dizionari di carattere</w:t>
      </w:r>
      <w:r w:rsidR="00091611">
        <w:rPr>
          <w:rFonts w:ascii="Garamond" w:hAnsi="Garamond" w:cs="Times New Roman"/>
        </w:rPr>
        <w:t xml:space="preserve"> non scientific</w:t>
      </w:r>
      <w:r w:rsidR="00E64835">
        <w:rPr>
          <w:rFonts w:ascii="Garamond" w:hAnsi="Garamond" w:cs="Times New Roman"/>
        </w:rPr>
        <w:t>o</w:t>
      </w:r>
      <w:r w:rsidR="00091611">
        <w:rPr>
          <w:rFonts w:ascii="Garamond" w:hAnsi="Garamond" w:cs="Times New Roman"/>
        </w:rPr>
        <w:t xml:space="preserve"> o comunque prive </w:t>
      </w:r>
      <w:r w:rsidR="00E64835">
        <w:rPr>
          <w:rFonts w:ascii="Garamond" w:hAnsi="Garamond" w:cs="Times New Roman"/>
        </w:rPr>
        <w:t xml:space="preserve">dei nomi </w:t>
      </w:r>
      <w:r w:rsidR="00091611">
        <w:rPr>
          <w:rFonts w:ascii="Garamond" w:hAnsi="Garamond" w:cs="Times New Roman"/>
        </w:rPr>
        <w:t>di autori e/o curatori.</w:t>
      </w:r>
      <w:r w:rsidR="00AE44F5">
        <w:rPr>
          <w:rFonts w:ascii="Garamond" w:hAnsi="Garamond" w:cs="Times New Roman"/>
        </w:rPr>
        <w:t xml:space="preserve"> </w:t>
      </w:r>
      <w:r w:rsidR="00AE44F5" w:rsidRPr="00FD6300">
        <w:rPr>
          <w:rFonts w:ascii="Garamond" w:hAnsi="Garamond" w:cs="Times New Roman"/>
        </w:rPr>
        <w:t>Per i riferimenti bibliografici ci si attenga ai seguenti esempi</w:t>
      </w:r>
    </w:p>
    <w:p w14:paraId="7A6EFCDE" w14:textId="648B2B2A" w:rsidR="00AE44F5" w:rsidRDefault="00AE44F5" w:rsidP="00AE44F5">
      <w:pPr>
        <w:spacing w:line="360" w:lineRule="exact"/>
        <w:ind w:firstLine="360"/>
        <w:jc w:val="both"/>
        <w:rPr>
          <w:rFonts w:ascii="Garamond" w:hAnsi="Garamond"/>
        </w:rPr>
      </w:pPr>
      <w:r w:rsidRPr="0016329A">
        <w:rPr>
          <w:rFonts w:ascii="Garamond" w:hAnsi="Garamond"/>
          <w:smallCaps/>
        </w:rPr>
        <w:t>noel o’regan</w:t>
      </w:r>
      <w:r w:rsidRPr="00567231">
        <w:rPr>
          <w:rFonts w:ascii="Garamond" w:hAnsi="Garamond"/>
        </w:rPr>
        <w:t xml:space="preserve">, </w:t>
      </w:r>
      <w:r w:rsidRPr="00AE44F5">
        <w:rPr>
          <w:rFonts w:ascii="Garamond" w:hAnsi="Garamond"/>
          <w:i/>
          <w:iCs/>
        </w:rPr>
        <w:t xml:space="preserve">Asprilio Pacelli, Ludovico da Viadana and the origins of the Roman </w:t>
      </w:r>
      <w:r w:rsidRPr="00AE44F5">
        <w:rPr>
          <w:rFonts w:ascii="Garamond" w:hAnsi="Garamond"/>
        </w:rPr>
        <w:t>concerto ecclesiastico</w:t>
      </w:r>
      <w:r>
        <w:rPr>
          <w:rFonts w:ascii="Garamond" w:hAnsi="Garamond"/>
        </w:rPr>
        <w:t>,</w:t>
      </w:r>
      <w:r w:rsidRPr="00567231">
        <w:rPr>
          <w:rFonts w:ascii="Garamond" w:hAnsi="Garamond"/>
        </w:rPr>
        <w:t xml:space="preserve"> </w:t>
      </w:r>
      <w:r>
        <w:rPr>
          <w:rFonts w:ascii="Garamond" w:hAnsi="Garamond"/>
        </w:rPr>
        <w:t>«</w:t>
      </w:r>
      <w:r w:rsidRPr="00AE44F5">
        <w:rPr>
          <w:rFonts w:ascii="Garamond" w:hAnsi="Garamond"/>
        </w:rPr>
        <w:t>Journal of seventeenth-century music</w:t>
      </w:r>
      <w:r>
        <w:rPr>
          <w:rFonts w:ascii="Garamond" w:hAnsi="Garamond"/>
        </w:rPr>
        <w:t xml:space="preserve">», </w:t>
      </w:r>
      <w:r w:rsidRPr="00665E10">
        <w:rPr>
          <w:rFonts w:ascii="Garamond" w:hAnsi="Garamond"/>
          <w:smallCaps/>
        </w:rPr>
        <w:t>vi</w:t>
      </w:r>
      <w:r>
        <w:rPr>
          <w:rFonts w:ascii="Garamond" w:hAnsi="Garamond"/>
        </w:rPr>
        <w:t>/1,</w:t>
      </w:r>
      <w:r w:rsidRPr="00567231">
        <w:rPr>
          <w:rFonts w:ascii="Garamond" w:hAnsi="Garamond"/>
        </w:rPr>
        <w:t xml:space="preserve"> 2000</w:t>
      </w:r>
      <w:r>
        <w:rPr>
          <w:rFonts w:ascii="Garamond" w:hAnsi="Garamond"/>
        </w:rPr>
        <w:t>,</w:t>
      </w:r>
      <w:r w:rsidRPr="00567231">
        <w:rPr>
          <w:rFonts w:ascii="Garamond" w:hAnsi="Garamond"/>
        </w:rPr>
        <w:t xml:space="preserve"> </w:t>
      </w:r>
      <w:r>
        <w:rPr>
          <w:rFonts w:ascii="Garamond" w:hAnsi="Garamond"/>
        </w:rPr>
        <w:t>§</w:t>
      </w:r>
      <w:r w:rsidRPr="00567231">
        <w:rPr>
          <w:rFonts w:ascii="Garamond" w:hAnsi="Garamond"/>
        </w:rPr>
        <w:t xml:space="preserve"> 4.3, </w:t>
      </w:r>
      <w:r w:rsidRPr="0016329A">
        <w:rPr>
          <w:rFonts w:ascii="Garamond" w:hAnsi="Garamond"/>
        </w:rPr>
        <w:t>https://sscm-jscm.org/v6/no1/oregan.html</w:t>
      </w:r>
      <w:r>
        <w:rPr>
          <w:rFonts w:ascii="Garamond" w:hAnsi="Garamond"/>
        </w:rPr>
        <w:t xml:space="preserve"> (accesso</w:t>
      </w:r>
      <w:r w:rsidRPr="00665E10">
        <w:rPr>
          <w:rFonts w:ascii="Garamond" w:hAnsi="Garamond"/>
        </w:rPr>
        <w:t xml:space="preserve"> 14 </w:t>
      </w:r>
      <w:r>
        <w:rPr>
          <w:rFonts w:ascii="Garamond" w:hAnsi="Garamond"/>
        </w:rPr>
        <w:t>gennaio</w:t>
      </w:r>
      <w:r w:rsidRPr="00665E10">
        <w:rPr>
          <w:rFonts w:ascii="Garamond" w:hAnsi="Garamond"/>
        </w:rPr>
        <w:t xml:space="preserve"> 2024</w:t>
      </w:r>
      <w:r>
        <w:rPr>
          <w:rFonts w:ascii="Garamond" w:hAnsi="Garamond"/>
        </w:rPr>
        <w:t>)</w:t>
      </w:r>
      <w:r w:rsidRPr="00567231">
        <w:rPr>
          <w:rFonts w:ascii="Garamond" w:hAnsi="Garamond"/>
        </w:rPr>
        <w:t>.</w:t>
      </w:r>
    </w:p>
    <w:p w14:paraId="0EE7CCE2" w14:textId="7183B387" w:rsidR="00AE44F5" w:rsidRDefault="00AE44F5" w:rsidP="00AE44F5">
      <w:pPr>
        <w:spacing w:line="360" w:lineRule="exact"/>
        <w:ind w:firstLine="360"/>
        <w:jc w:val="both"/>
        <w:rPr>
          <w:rFonts w:ascii="Garamond" w:hAnsi="Garamond"/>
        </w:rPr>
      </w:pPr>
      <w:r w:rsidRPr="00665E10">
        <w:rPr>
          <w:rFonts w:ascii="Garamond" w:hAnsi="Garamond"/>
          <w:smallCaps/>
        </w:rPr>
        <w:t>diana blichmann</w:t>
      </w:r>
      <w:r w:rsidRPr="00665E10">
        <w:rPr>
          <w:rFonts w:ascii="Garamond" w:hAnsi="Garamond"/>
        </w:rPr>
        <w:t xml:space="preserve">, </w:t>
      </w:r>
      <w:r w:rsidRPr="00AE44F5">
        <w:rPr>
          <w:rFonts w:ascii="Garamond" w:hAnsi="Garamond"/>
          <w:i/>
          <w:iCs/>
        </w:rPr>
        <w:t>The Stuart-Sobieska opera patronage in Rome</w:t>
      </w:r>
      <w:r w:rsidRPr="00665E10">
        <w:rPr>
          <w:rFonts w:ascii="Garamond" w:hAnsi="Garamond"/>
        </w:rPr>
        <w:t>,</w:t>
      </w:r>
      <w:r>
        <w:rPr>
          <w:rFonts w:ascii="Garamond" w:hAnsi="Garamond"/>
        </w:rPr>
        <w:t xml:space="preserve"> in</w:t>
      </w:r>
      <w:r w:rsidRPr="00665E10">
        <w:rPr>
          <w:rFonts w:ascii="Garamond" w:hAnsi="Garamond"/>
        </w:rPr>
        <w:t xml:space="preserve"> </w:t>
      </w:r>
      <w:r w:rsidRPr="00665E10">
        <w:rPr>
          <w:rFonts w:ascii="Garamond" w:hAnsi="Garamond"/>
          <w:i/>
          <w:iCs/>
        </w:rPr>
        <w:t>Mélanges de l’École française de Rome - Italie et Méditerranée modernes et contemporaines</w:t>
      </w:r>
      <w:r>
        <w:rPr>
          <w:rFonts w:ascii="Garamond" w:hAnsi="Garamond"/>
        </w:rPr>
        <w:t xml:space="preserve">, vol. </w:t>
      </w:r>
      <w:r w:rsidRPr="00665E10">
        <w:rPr>
          <w:rFonts w:ascii="Garamond" w:hAnsi="Garamond"/>
        </w:rPr>
        <w:t>131-1</w:t>
      </w:r>
      <w:r>
        <w:rPr>
          <w:rFonts w:ascii="Garamond" w:hAnsi="Garamond"/>
        </w:rPr>
        <w:t>,</w:t>
      </w:r>
      <w:r w:rsidRPr="00665E10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Roma, École française de Rome, </w:t>
      </w:r>
      <w:r w:rsidRPr="00665E10">
        <w:rPr>
          <w:rFonts w:ascii="Garamond" w:hAnsi="Garamond"/>
        </w:rPr>
        <w:t>2019</w:t>
      </w:r>
      <w:r>
        <w:rPr>
          <w:rFonts w:ascii="Garamond" w:hAnsi="Garamond"/>
        </w:rPr>
        <w:t>, § 19–20 (ultimo accesso</w:t>
      </w:r>
      <w:r w:rsidRPr="00665E10">
        <w:rPr>
          <w:rFonts w:ascii="Garamond" w:hAnsi="Garamond"/>
        </w:rPr>
        <w:t xml:space="preserve"> 14 </w:t>
      </w:r>
      <w:r>
        <w:rPr>
          <w:rFonts w:ascii="Garamond" w:hAnsi="Garamond"/>
        </w:rPr>
        <w:t>gennaio</w:t>
      </w:r>
      <w:r w:rsidRPr="00665E10">
        <w:rPr>
          <w:rFonts w:ascii="Garamond" w:hAnsi="Garamond"/>
        </w:rPr>
        <w:t xml:space="preserve"> 2024</w:t>
      </w:r>
      <w:r>
        <w:rPr>
          <w:rFonts w:ascii="Garamond" w:hAnsi="Garamond"/>
        </w:rPr>
        <w:t>)</w:t>
      </w:r>
      <w:r w:rsidRPr="00665E10">
        <w:rPr>
          <w:rFonts w:ascii="Garamond" w:hAnsi="Garamond"/>
        </w:rPr>
        <w:t xml:space="preserve">. http://journals.openedition.org/mefrim/6296; </w:t>
      </w:r>
      <w:r w:rsidRPr="00665E10">
        <w:rPr>
          <w:rFonts w:ascii="Garamond" w:hAnsi="Garamond"/>
          <w:smallCaps/>
        </w:rPr>
        <w:t>doi</w:t>
      </w:r>
      <w:r w:rsidRPr="00665E10">
        <w:rPr>
          <w:rFonts w:ascii="Garamond" w:hAnsi="Garamond"/>
        </w:rPr>
        <w:t xml:space="preserve"> </w:t>
      </w:r>
      <w:r w:rsidRPr="00C558DD">
        <w:rPr>
          <w:rFonts w:ascii="Garamond" w:hAnsi="Garamond"/>
        </w:rPr>
        <w:t>https://doi.org/10.4000/mefrim.6296</w:t>
      </w:r>
      <w:r w:rsidRPr="00F31C37">
        <w:rPr>
          <w:rFonts w:ascii="Garamond" w:hAnsi="Garamond"/>
        </w:rPr>
        <w:t xml:space="preserve"> </w:t>
      </w:r>
      <w:r>
        <w:rPr>
          <w:rFonts w:ascii="Garamond" w:hAnsi="Garamond"/>
        </w:rPr>
        <w:t>(accesso</w:t>
      </w:r>
      <w:r w:rsidRPr="00665E10">
        <w:rPr>
          <w:rFonts w:ascii="Garamond" w:hAnsi="Garamond"/>
        </w:rPr>
        <w:t xml:space="preserve"> 14 </w:t>
      </w:r>
      <w:r>
        <w:rPr>
          <w:rFonts w:ascii="Garamond" w:hAnsi="Garamond"/>
        </w:rPr>
        <w:t>gennaio</w:t>
      </w:r>
      <w:r w:rsidRPr="00665E10">
        <w:rPr>
          <w:rFonts w:ascii="Garamond" w:hAnsi="Garamond"/>
        </w:rPr>
        <w:t xml:space="preserve"> 2024</w:t>
      </w:r>
      <w:r>
        <w:rPr>
          <w:rFonts w:ascii="Garamond" w:hAnsi="Garamond"/>
        </w:rPr>
        <w:t>)</w:t>
      </w:r>
    </w:p>
    <w:p w14:paraId="6DABB3DE" w14:textId="6B4D04BB" w:rsidR="00AE44F5" w:rsidRDefault="00AE44F5" w:rsidP="00AE44F5">
      <w:pPr>
        <w:spacing w:line="360" w:lineRule="exact"/>
        <w:ind w:firstLine="360"/>
        <w:jc w:val="both"/>
        <w:rPr>
          <w:rFonts w:ascii="Garamond" w:hAnsi="Garamond"/>
        </w:rPr>
      </w:pPr>
      <w:r w:rsidRPr="00F31C37">
        <w:rPr>
          <w:rFonts w:ascii="Garamond" w:hAnsi="Garamond"/>
          <w:smallCaps/>
        </w:rPr>
        <w:t>paolo fabbri</w:t>
      </w:r>
      <w:r>
        <w:rPr>
          <w:rFonts w:ascii="Garamond" w:hAnsi="Garamond"/>
        </w:rPr>
        <w:t>, “</w:t>
      </w:r>
      <w:r w:rsidRPr="004F0BCA">
        <w:rPr>
          <w:rFonts w:ascii="Garamond" w:hAnsi="Garamond"/>
        </w:rPr>
        <w:t>Monteverdi, Claudio Gian Antonio</w:t>
      </w:r>
      <w:r>
        <w:rPr>
          <w:rFonts w:ascii="Garamond" w:hAnsi="Garamond"/>
        </w:rPr>
        <w:t xml:space="preserve">”, </w:t>
      </w:r>
      <w:r w:rsidRPr="00F31C37">
        <w:rPr>
          <w:rFonts w:ascii="Garamond" w:hAnsi="Garamond"/>
          <w:i/>
          <w:iCs/>
        </w:rPr>
        <w:t xml:space="preserve">Dizionario </w:t>
      </w:r>
      <w:r>
        <w:rPr>
          <w:rFonts w:ascii="Garamond" w:hAnsi="Garamond"/>
          <w:i/>
          <w:iCs/>
        </w:rPr>
        <w:t>b</w:t>
      </w:r>
      <w:r w:rsidRPr="00F31C37">
        <w:rPr>
          <w:rFonts w:ascii="Garamond" w:hAnsi="Garamond"/>
          <w:i/>
          <w:iCs/>
        </w:rPr>
        <w:t xml:space="preserve">iografico degli </w:t>
      </w:r>
      <w:r>
        <w:rPr>
          <w:rFonts w:ascii="Garamond" w:hAnsi="Garamond"/>
          <w:i/>
          <w:iCs/>
        </w:rPr>
        <w:t>i</w:t>
      </w:r>
      <w:r w:rsidRPr="00F31C37">
        <w:rPr>
          <w:rFonts w:ascii="Garamond" w:hAnsi="Garamond"/>
          <w:i/>
          <w:iCs/>
        </w:rPr>
        <w:t>taliani</w:t>
      </w:r>
      <w:r>
        <w:rPr>
          <w:rFonts w:ascii="Garamond" w:hAnsi="Garamond"/>
        </w:rPr>
        <w:t>, vol. 7</w:t>
      </w:r>
      <w:r w:rsidRPr="004F0BCA">
        <w:rPr>
          <w:rFonts w:ascii="Garamond" w:hAnsi="Garamond"/>
        </w:rPr>
        <w:t>6</w:t>
      </w:r>
      <w:r>
        <w:rPr>
          <w:rFonts w:ascii="Garamond" w:hAnsi="Garamond"/>
        </w:rPr>
        <w:t>,</w:t>
      </w:r>
      <w:r w:rsidRPr="004F0BCA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Rome, Istituto dell’Enciclopedia Italiana, </w:t>
      </w:r>
      <w:r w:rsidRPr="004F0BCA">
        <w:rPr>
          <w:rFonts w:ascii="Garamond" w:hAnsi="Garamond"/>
        </w:rPr>
        <w:t>2012</w:t>
      </w:r>
      <w:r>
        <w:rPr>
          <w:rFonts w:ascii="Garamond" w:hAnsi="Garamond"/>
        </w:rPr>
        <w:t xml:space="preserve">, </w:t>
      </w:r>
      <w:r w:rsidRPr="00AE44F5">
        <w:rPr>
          <w:rFonts w:ascii="Garamond" w:hAnsi="Garamond"/>
        </w:rPr>
        <w:t>https://www.treccani.it/enciclopedia/claudio-gian-antonio-monteverdi_(Dizionario-Biografico)/</w:t>
      </w:r>
      <w:r>
        <w:rPr>
          <w:rFonts w:ascii="Garamond" w:hAnsi="Garamond"/>
        </w:rPr>
        <w:t xml:space="preserve"> (accesso</w:t>
      </w:r>
      <w:r w:rsidRPr="00665E10">
        <w:rPr>
          <w:rFonts w:ascii="Garamond" w:hAnsi="Garamond"/>
        </w:rPr>
        <w:t xml:space="preserve"> 14 </w:t>
      </w:r>
      <w:r>
        <w:rPr>
          <w:rFonts w:ascii="Garamond" w:hAnsi="Garamond"/>
        </w:rPr>
        <w:t>gennaio</w:t>
      </w:r>
      <w:r w:rsidRPr="00665E10">
        <w:rPr>
          <w:rFonts w:ascii="Garamond" w:hAnsi="Garamond"/>
        </w:rPr>
        <w:t xml:space="preserve"> 2024</w:t>
      </w:r>
      <w:r>
        <w:rPr>
          <w:rFonts w:ascii="Garamond" w:hAnsi="Garamond"/>
        </w:rPr>
        <w:t>).</w:t>
      </w:r>
    </w:p>
    <w:p w14:paraId="6F204D92" w14:textId="16D5EFB0" w:rsidR="00AE44F5" w:rsidRDefault="00AE44F5" w:rsidP="00AE44F5">
      <w:pPr>
        <w:spacing w:line="360" w:lineRule="exact"/>
        <w:ind w:firstLine="360"/>
        <w:jc w:val="both"/>
        <w:rPr>
          <w:rFonts w:ascii="Garamond" w:hAnsi="Garamond"/>
        </w:rPr>
      </w:pPr>
      <w:r w:rsidRPr="00F700C6">
        <w:rPr>
          <w:rFonts w:ascii="Garamond" w:hAnsi="Garamond"/>
          <w:lang w:val="en-US"/>
        </w:rPr>
        <w:t xml:space="preserve">“Caffarelli Borghese, Scipione”, </w:t>
      </w:r>
      <w:r w:rsidRPr="00F700C6">
        <w:rPr>
          <w:rFonts w:ascii="Garamond" w:hAnsi="Garamond"/>
          <w:i/>
          <w:iCs/>
          <w:lang w:val="en-US"/>
        </w:rPr>
        <w:t xml:space="preserve">The cardinals of the Holy Roman Church. </w:t>
      </w:r>
      <w:r w:rsidRPr="00C6195A">
        <w:rPr>
          <w:rFonts w:ascii="Garamond" w:hAnsi="Garamond"/>
          <w:i/>
          <w:iCs/>
        </w:rPr>
        <w:t xml:space="preserve">Biographical </w:t>
      </w:r>
      <w:r>
        <w:rPr>
          <w:rFonts w:ascii="Garamond" w:hAnsi="Garamond"/>
          <w:i/>
          <w:iCs/>
        </w:rPr>
        <w:t>d</w:t>
      </w:r>
      <w:r w:rsidRPr="00C6195A">
        <w:rPr>
          <w:rFonts w:ascii="Garamond" w:hAnsi="Garamond"/>
          <w:i/>
          <w:iCs/>
        </w:rPr>
        <w:t>ictionary</w:t>
      </w:r>
      <w:r>
        <w:rPr>
          <w:rFonts w:ascii="Garamond" w:hAnsi="Garamond"/>
        </w:rPr>
        <w:t xml:space="preserve">, ed. Salvador Miranda, </w:t>
      </w:r>
      <w:r w:rsidRPr="00C6195A">
        <w:rPr>
          <w:rFonts w:ascii="Garamond" w:hAnsi="Garamond"/>
        </w:rPr>
        <w:t xml:space="preserve">https://cardinals.fiu.edu/bios1605.htm#Caffarelli </w:t>
      </w:r>
      <w:r>
        <w:rPr>
          <w:rFonts w:ascii="Garamond" w:hAnsi="Garamond"/>
        </w:rPr>
        <w:t>(accesso</w:t>
      </w:r>
      <w:r w:rsidRPr="00665E10">
        <w:rPr>
          <w:rFonts w:ascii="Garamond" w:hAnsi="Garamond"/>
        </w:rPr>
        <w:t xml:space="preserve"> 14 </w:t>
      </w:r>
      <w:r>
        <w:rPr>
          <w:rFonts w:ascii="Garamond" w:hAnsi="Garamond"/>
        </w:rPr>
        <w:t>gennaio</w:t>
      </w:r>
      <w:r w:rsidRPr="00665E10">
        <w:rPr>
          <w:rFonts w:ascii="Garamond" w:hAnsi="Garamond"/>
        </w:rPr>
        <w:t xml:space="preserve"> 2024</w:t>
      </w:r>
      <w:r>
        <w:rPr>
          <w:rFonts w:ascii="Garamond" w:hAnsi="Garamond"/>
        </w:rPr>
        <w:t>).</w:t>
      </w:r>
    </w:p>
    <w:p w14:paraId="6BD022C9" w14:textId="77777777" w:rsidR="00091611" w:rsidRPr="00FD6300" w:rsidRDefault="00091611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0C859146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Titoli e parti di composizioni musicali.</w:t>
      </w:r>
      <w:r w:rsidRPr="00FD6300">
        <w:rPr>
          <w:rFonts w:ascii="Garamond" w:hAnsi="Garamond" w:cs="Times New Roman"/>
        </w:rPr>
        <w:t xml:space="preserve"> I titoli di composizioni musicali esigono generalmente il corsivo (per esempio: l’aria </w:t>
      </w:r>
      <w:r w:rsidRPr="00FD6300">
        <w:rPr>
          <w:rFonts w:ascii="Garamond" w:hAnsi="Garamond" w:cs="Times New Roman"/>
          <w:i/>
          <w:iCs/>
        </w:rPr>
        <w:t>Cosí mi lasci, oh Dio</w:t>
      </w:r>
      <w:r w:rsidRPr="00FD6300">
        <w:rPr>
          <w:rFonts w:ascii="Garamond" w:hAnsi="Garamond" w:cs="Times New Roman"/>
        </w:rPr>
        <w:t xml:space="preserve"> dall’opera </w:t>
      </w:r>
      <w:r w:rsidRPr="00FD6300">
        <w:rPr>
          <w:rFonts w:ascii="Garamond" w:hAnsi="Garamond" w:cs="Times New Roman"/>
          <w:i/>
          <w:iCs/>
        </w:rPr>
        <w:t>La divisione del mondo</w:t>
      </w:r>
      <w:r w:rsidRPr="00FD6300">
        <w:rPr>
          <w:rFonts w:ascii="Garamond" w:hAnsi="Garamond" w:cs="Times New Roman"/>
        </w:rPr>
        <w:t xml:space="preserve">; il madrigale </w:t>
      </w:r>
      <w:r w:rsidRPr="00FD6300">
        <w:rPr>
          <w:rFonts w:ascii="Garamond" w:hAnsi="Garamond" w:cs="Times New Roman"/>
          <w:i/>
          <w:iCs/>
        </w:rPr>
        <w:t>Ah, dolente partita</w:t>
      </w:r>
      <w:r w:rsidRPr="00FD6300">
        <w:rPr>
          <w:rFonts w:ascii="Garamond" w:hAnsi="Garamond" w:cs="Times New Roman"/>
        </w:rPr>
        <w:t xml:space="preserve">; le </w:t>
      </w:r>
      <w:r w:rsidRPr="00FD6300">
        <w:rPr>
          <w:rFonts w:ascii="Garamond" w:hAnsi="Garamond" w:cs="Times New Roman"/>
          <w:i/>
          <w:iCs/>
        </w:rPr>
        <w:t>Partite sopra l’aria della romanesca</w:t>
      </w:r>
      <w:r w:rsidRPr="00FD6300">
        <w:rPr>
          <w:rFonts w:ascii="Garamond" w:hAnsi="Garamond" w:cs="Times New Roman"/>
        </w:rPr>
        <w:t xml:space="preserve">), ma non nel caso corrispondano al genere o a parti della liturgia (per esempio: la Sonata op. 3 n° 11, il Quartetto per archi in la maggiore op. 39, il Concerto per violino, archi e basso continuo in do maggiore </w:t>
      </w:r>
      <w:r w:rsidRPr="00FD6300">
        <w:rPr>
          <w:rFonts w:ascii="Garamond" w:hAnsi="Garamond" w:cs="Times New Roman"/>
          <w:smallCaps/>
        </w:rPr>
        <w:t>rv</w:t>
      </w:r>
      <w:r w:rsidRPr="00FD6300">
        <w:rPr>
          <w:rFonts w:ascii="Garamond" w:hAnsi="Garamond" w:cs="Times New Roman"/>
        </w:rPr>
        <w:t xml:space="preserve"> 190, il Kyrie dalla messa </w:t>
      </w:r>
      <w:r w:rsidRPr="00FD6300">
        <w:rPr>
          <w:rFonts w:ascii="Garamond" w:hAnsi="Garamond" w:cs="Times New Roman"/>
          <w:i/>
          <w:iCs/>
        </w:rPr>
        <w:t>Tu es Petrus</w:t>
      </w:r>
      <w:r w:rsidRPr="00FD6300">
        <w:rPr>
          <w:rFonts w:ascii="Garamond" w:hAnsi="Garamond" w:cs="Times New Roman"/>
        </w:rPr>
        <w:t xml:space="preserve">). I movimenti si indicano in tondo con iniziale maiuscola (per esempio: l’Adagio dalla Sonata op. 5 n° 1). Le locuzioni del tipo «eco», </w:t>
      </w:r>
      <w:r w:rsidRPr="00FD6300">
        <w:rPr>
          <w:rFonts w:ascii="Garamond" w:hAnsi="Garamond" w:cs="Times New Roman"/>
        </w:rPr>
        <w:lastRenderedPageBreak/>
        <w:t>«piano», «solo», «tutti», «colla parte» e altre, rintracciabili nelle partiture, appaiono in tondo fra virgolette doppie basse.</w:t>
      </w:r>
    </w:p>
    <w:p w14:paraId="7B22ECE3" w14:textId="77777777" w:rsidR="00FD6300" w:rsidRPr="00FD6300" w:rsidRDefault="00FD630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</w:p>
    <w:p w14:paraId="0160CE12" w14:textId="77777777" w:rsidR="00FB28C9" w:rsidRDefault="00FD6300" w:rsidP="001542A0">
      <w:pPr>
        <w:widowControl/>
        <w:spacing w:line="360" w:lineRule="exact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  <w:i/>
          <w:iCs/>
        </w:rPr>
        <w:t>Documenti e fonti antiche.</w:t>
      </w:r>
      <w:r w:rsidRPr="00FD6300">
        <w:rPr>
          <w:rFonts w:ascii="Garamond" w:hAnsi="Garamond" w:cs="Times New Roman"/>
        </w:rPr>
        <w:t xml:space="preserve"> </w:t>
      </w:r>
      <w:r w:rsidR="001542A0" w:rsidRPr="00FD6300">
        <w:rPr>
          <w:rFonts w:ascii="Garamond" w:hAnsi="Garamond" w:cs="Times New Roman"/>
        </w:rPr>
        <w:t>Di ciascun documento citato o riportato è necessario segnalare: città</w:t>
      </w:r>
      <w:r w:rsidR="001542A0">
        <w:rPr>
          <w:rFonts w:ascii="Garamond" w:hAnsi="Garamond" w:cs="Times New Roman"/>
        </w:rPr>
        <w:t>, archivio o istituzione</w:t>
      </w:r>
      <w:r w:rsidR="001542A0" w:rsidRPr="00FD6300">
        <w:rPr>
          <w:rFonts w:ascii="Garamond" w:hAnsi="Garamond" w:cs="Times New Roman"/>
        </w:rPr>
        <w:t>, fondo archivistico di appartenenza (in corsivo), segnatura completa, eventuale titolazione, pagina o carta o altro numero d’ordine</w:t>
      </w:r>
      <w:r w:rsidR="00FB28C9">
        <w:rPr>
          <w:rFonts w:ascii="Garamond" w:hAnsi="Garamond" w:cs="Times New Roman"/>
        </w:rPr>
        <w:t xml:space="preserve">; </w:t>
      </w:r>
      <w:r w:rsidR="001542A0" w:rsidRPr="00FD6300">
        <w:rPr>
          <w:rFonts w:ascii="Garamond" w:hAnsi="Garamond" w:cs="Times New Roman"/>
        </w:rPr>
        <w:t xml:space="preserve">per esempio: </w:t>
      </w:r>
    </w:p>
    <w:p w14:paraId="37072E7E" w14:textId="77777777" w:rsidR="00FB28C9" w:rsidRDefault="00FB28C9" w:rsidP="001542A0">
      <w:pPr>
        <w:widowControl/>
        <w:spacing w:line="360" w:lineRule="exact"/>
        <w:jc w:val="both"/>
        <w:rPr>
          <w:rFonts w:ascii="Garamond" w:hAnsi="Garamond" w:cs="Times New Roman"/>
        </w:rPr>
      </w:pPr>
      <w:r>
        <w:rPr>
          <w:rFonts w:ascii="Garamond" w:hAnsi="Garamond" w:cs="Times New Roman"/>
        </w:rPr>
        <w:t>–</w:t>
      </w:r>
      <w:r>
        <w:rPr>
          <w:rFonts w:ascii="Garamond" w:hAnsi="Garamond" w:cs="Times New Roman"/>
        </w:rPr>
        <w:tab/>
      </w:r>
      <w:r w:rsidR="001542A0" w:rsidRPr="00FD6300">
        <w:rPr>
          <w:rFonts w:ascii="Garamond" w:hAnsi="Garamond" w:cs="Times New Roman"/>
        </w:rPr>
        <w:t xml:space="preserve">Venezia, Archivio di Stato, </w:t>
      </w:r>
      <w:r w:rsidR="001542A0" w:rsidRPr="00FD6300">
        <w:rPr>
          <w:rFonts w:ascii="Garamond" w:hAnsi="Garamond" w:cs="Times New Roman"/>
          <w:i/>
        </w:rPr>
        <w:t>Notarile</w:t>
      </w:r>
      <w:r w:rsidR="001542A0" w:rsidRPr="00FD6300">
        <w:rPr>
          <w:rFonts w:ascii="Garamond" w:hAnsi="Garamond" w:cs="Times New Roman"/>
        </w:rPr>
        <w:t xml:space="preserve">, </w:t>
      </w:r>
      <w:r w:rsidR="001542A0" w:rsidRPr="00FD6300">
        <w:rPr>
          <w:rFonts w:ascii="Garamond" w:hAnsi="Garamond" w:cs="Times New Roman"/>
          <w:i/>
        </w:rPr>
        <w:t>testamenti</w:t>
      </w:r>
      <w:r w:rsidR="001542A0" w:rsidRPr="00FD6300">
        <w:rPr>
          <w:rFonts w:ascii="Garamond" w:hAnsi="Garamond" w:cs="Times New Roman"/>
        </w:rPr>
        <w:t>, notaio Gerolamo Savina, busta 1202, cedola n° 51, testamento di «Zuane quondam Bortolo di Fedrigo di Albinoni da Castion», 12 settembre 1583</w:t>
      </w:r>
      <w:r w:rsidR="007C24CF">
        <w:rPr>
          <w:rFonts w:ascii="Garamond" w:hAnsi="Garamond" w:cs="Times New Roman"/>
        </w:rPr>
        <w:t xml:space="preserve">. </w:t>
      </w:r>
    </w:p>
    <w:p w14:paraId="2097D10F" w14:textId="66DDA583" w:rsidR="001542A0" w:rsidRDefault="00FB28C9" w:rsidP="001542A0">
      <w:pPr>
        <w:widowControl/>
        <w:spacing w:line="360" w:lineRule="exact"/>
        <w:jc w:val="both"/>
        <w:rPr>
          <w:rFonts w:ascii="Garamond" w:hAnsi="Garamond" w:cs="Times New Roman"/>
        </w:rPr>
      </w:pPr>
      <w:r>
        <w:rPr>
          <w:rFonts w:ascii="Garamond" w:hAnsi="Garamond" w:cs="Times New Roman"/>
        </w:rPr>
        <w:t>–</w:t>
      </w:r>
      <w:r>
        <w:rPr>
          <w:rFonts w:ascii="Garamond" w:hAnsi="Garamond" w:cs="Times New Roman"/>
        </w:rPr>
        <w:tab/>
      </w:r>
      <w:r w:rsidR="007C24CF">
        <w:rPr>
          <w:rFonts w:ascii="Garamond" w:hAnsi="Garamond" w:cs="Times New Roman"/>
        </w:rPr>
        <w:t xml:space="preserve">Città del </w:t>
      </w:r>
      <w:r w:rsidR="007C24CF" w:rsidRPr="00F700C6">
        <w:rPr>
          <w:rFonts w:ascii="Garamond" w:hAnsi="Garamond"/>
        </w:rPr>
        <w:t xml:space="preserve">Vaticano, Biblioteca Apostolica Vaticana, </w:t>
      </w:r>
      <w:r w:rsidR="007C24CF" w:rsidRPr="00F700C6">
        <w:rPr>
          <w:rFonts w:ascii="Garamond" w:hAnsi="Garamond"/>
          <w:i/>
          <w:iCs/>
        </w:rPr>
        <w:t>Capp. Sist.</w:t>
      </w:r>
      <w:r w:rsidR="007C24CF" w:rsidRPr="00F700C6">
        <w:rPr>
          <w:rFonts w:ascii="Garamond" w:hAnsi="Garamond"/>
        </w:rPr>
        <w:t xml:space="preserve"> 639, </w:t>
      </w:r>
      <w:r w:rsidR="007C24CF" w:rsidRPr="000B009F">
        <w:rPr>
          <w:rFonts w:ascii="Garamond" w:hAnsi="Garamond"/>
          <w:i/>
          <w:iCs/>
        </w:rPr>
        <w:t>Istruzione per gl’officiali della cappella pontificia</w:t>
      </w:r>
      <w:r w:rsidR="007C24CF">
        <w:rPr>
          <w:rFonts w:ascii="Garamond" w:hAnsi="Garamond"/>
        </w:rPr>
        <w:t xml:space="preserve">, </w:t>
      </w:r>
      <w:r w:rsidR="007A659B">
        <w:rPr>
          <w:rFonts w:ascii="Garamond" w:hAnsi="Garamond"/>
        </w:rPr>
        <w:t>cc</w:t>
      </w:r>
      <w:r w:rsidR="007C24CF">
        <w:rPr>
          <w:rFonts w:ascii="Garamond" w:hAnsi="Garamond"/>
        </w:rPr>
        <w:t>. 22r-23v</w:t>
      </w:r>
      <w:r w:rsidR="001542A0" w:rsidRPr="00FD6300">
        <w:rPr>
          <w:rFonts w:ascii="Garamond" w:hAnsi="Garamond" w:cs="Times New Roman"/>
        </w:rPr>
        <w:t>.</w:t>
      </w:r>
    </w:p>
    <w:p w14:paraId="4DF19C5E" w14:textId="77777777" w:rsidR="00FB28C9" w:rsidRPr="00FD6300" w:rsidRDefault="00FB28C9" w:rsidP="001542A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05E6C518" w14:textId="3F5B51BA" w:rsidR="00FD6300" w:rsidRPr="00FD6300" w:rsidRDefault="001542A0" w:rsidP="00FD6300">
      <w:pPr>
        <w:widowControl/>
        <w:spacing w:line="360" w:lineRule="exact"/>
        <w:ind w:firstLine="360"/>
        <w:jc w:val="both"/>
        <w:rPr>
          <w:rFonts w:ascii="Garamond" w:hAnsi="Garamond" w:cs="Times New Roman"/>
        </w:rPr>
      </w:pPr>
      <w:r w:rsidRPr="001542A0">
        <w:rPr>
          <w:rFonts w:ascii="Garamond" w:hAnsi="Garamond" w:cs="Times New Roman"/>
          <w:i/>
          <w:iCs/>
        </w:rPr>
        <w:t>Criteri di trascrizione dei documenti</w:t>
      </w:r>
      <w:r>
        <w:rPr>
          <w:rFonts w:ascii="Garamond" w:hAnsi="Garamond" w:cs="Times New Roman"/>
        </w:rPr>
        <w:t xml:space="preserve">. </w:t>
      </w:r>
      <w:r w:rsidR="002433A4">
        <w:rPr>
          <w:rFonts w:ascii="Garamond" w:hAnsi="Garamond" w:cs="Times New Roman"/>
        </w:rPr>
        <w:t>Di norma Recercare non pubblica trascrizioni diplomatiche dei documenti</w:t>
      </w:r>
      <w:r w:rsidR="007A204C">
        <w:rPr>
          <w:rFonts w:ascii="Garamond" w:hAnsi="Garamond" w:cs="Times New Roman"/>
        </w:rPr>
        <w:t xml:space="preserve">, ma trascrizioni normalizzate </w:t>
      </w:r>
      <w:r w:rsidR="00CC720A">
        <w:rPr>
          <w:rFonts w:ascii="Garamond" w:hAnsi="Garamond" w:cs="Times New Roman"/>
        </w:rPr>
        <w:t xml:space="preserve">all’uso corrente </w:t>
      </w:r>
      <w:r w:rsidR="007A204C">
        <w:rPr>
          <w:rFonts w:ascii="Garamond" w:hAnsi="Garamond" w:cs="Times New Roman"/>
        </w:rPr>
        <w:t>secondo i principi della filologia moderna</w:t>
      </w:r>
      <w:r w:rsidR="00D454BA">
        <w:rPr>
          <w:rFonts w:ascii="Garamond" w:hAnsi="Garamond" w:cs="Times New Roman"/>
        </w:rPr>
        <w:t>, preservando soltanto la fonetica del testo</w:t>
      </w:r>
      <w:r w:rsidR="002433A4">
        <w:rPr>
          <w:rFonts w:ascii="Garamond" w:hAnsi="Garamond" w:cs="Times New Roman"/>
        </w:rPr>
        <w:t xml:space="preserve">. </w:t>
      </w:r>
      <w:r w:rsidR="008A013D">
        <w:rPr>
          <w:rFonts w:ascii="Garamond" w:hAnsi="Garamond" w:cs="Times New Roman"/>
        </w:rPr>
        <w:t xml:space="preserve">Nella linea </w:t>
      </w:r>
      <w:r w:rsidR="00CC720A">
        <w:rPr>
          <w:rFonts w:ascii="Garamond" w:hAnsi="Garamond" w:cs="Times New Roman"/>
        </w:rPr>
        <w:t>scientifico-</w:t>
      </w:r>
      <w:r w:rsidR="008A013D">
        <w:rPr>
          <w:rFonts w:ascii="Garamond" w:hAnsi="Garamond" w:cs="Times New Roman"/>
        </w:rPr>
        <w:t>editoriale della rivista, lo s</w:t>
      </w:r>
      <w:r w:rsidR="002433A4">
        <w:rPr>
          <w:rFonts w:ascii="Garamond" w:hAnsi="Garamond" w:cs="Times New Roman"/>
        </w:rPr>
        <w:t>copo della trascrizione</w:t>
      </w:r>
      <w:r w:rsidR="000D3D8A">
        <w:rPr>
          <w:rFonts w:ascii="Garamond" w:hAnsi="Garamond" w:cs="Times New Roman"/>
        </w:rPr>
        <w:t xml:space="preserve"> è di restituire </w:t>
      </w:r>
      <w:r w:rsidR="00CC720A">
        <w:rPr>
          <w:rFonts w:ascii="Garamond" w:hAnsi="Garamond" w:cs="Times New Roman"/>
        </w:rPr>
        <w:t>ciò</w:t>
      </w:r>
      <w:r w:rsidR="000D3D8A">
        <w:rPr>
          <w:rFonts w:ascii="Garamond" w:hAnsi="Garamond" w:cs="Times New Roman"/>
        </w:rPr>
        <w:t xml:space="preserve"> che l’Autore legge e non quello che vede nel documento. </w:t>
      </w:r>
      <w:r w:rsidR="00FD6300" w:rsidRPr="00FD6300">
        <w:rPr>
          <w:rFonts w:ascii="Garamond" w:hAnsi="Garamond" w:cs="Times New Roman"/>
        </w:rPr>
        <w:t>Nel trascrivere documenti d’archivio e testi storici, pur nel massimo rispetto della lezione originale e col solo intento di favorirne la comprensione, ci si attenga ai seguenti criteri generali:</w:t>
      </w:r>
    </w:p>
    <w:p w14:paraId="0123CA51" w14:textId="77777777" w:rsidR="00FD6300" w:rsidRPr="00FD6300" w:rsidRDefault="00FD6300" w:rsidP="00FD6300">
      <w:pPr>
        <w:widowControl/>
        <w:spacing w:line="180" w:lineRule="exact"/>
        <w:ind w:firstLine="360"/>
        <w:jc w:val="both"/>
        <w:rPr>
          <w:rFonts w:ascii="Garamond" w:hAnsi="Garamond" w:cs="Times New Roman"/>
        </w:rPr>
      </w:pPr>
    </w:p>
    <w:p w14:paraId="5515396D" w14:textId="6661C35A" w:rsidR="00FD6300" w:rsidRP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–</w:t>
      </w:r>
      <w:r w:rsidRPr="00FD6300">
        <w:rPr>
          <w:rFonts w:ascii="Garamond" w:hAnsi="Garamond" w:cs="Times New Roman"/>
        </w:rPr>
        <w:tab/>
        <w:t xml:space="preserve">le abbreviazioni </w:t>
      </w:r>
      <w:r w:rsidR="000D3D8A">
        <w:rPr>
          <w:rFonts w:ascii="Garamond" w:hAnsi="Garamond" w:cs="Times New Roman"/>
        </w:rPr>
        <w:t xml:space="preserve">vanno sciolte tacitamente oppure </w:t>
      </w:r>
      <w:r w:rsidRPr="00FD6300">
        <w:rPr>
          <w:rFonts w:ascii="Garamond" w:hAnsi="Garamond" w:cs="Times New Roman"/>
        </w:rPr>
        <w:t xml:space="preserve">si </w:t>
      </w:r>
      <w:r w:rsidR="000D3D8A">
        <w:rPr>
          <w:rFonts w:ascii="Garamond" w:hAnsi="Garamond" w:cs="Times New Roman"/>
        </w:rPr>
        <w:t xml:space="preserve">possono </w:t>
      </w:r>
      <w:r w:rsidRPr="00FD6300">
        <w:rPr>
          <w:rFonts w:ascii="Garamond" w:hAnsi="Garamond" w:cs="Times New Roman"/>
        </w:rPr>
        <w:t>scio</w:t>
      </w:r>
      <w:r w:rsidR="000D3D8A">
        <w:rPr>
          <w:rFonts w:ascii="Garamond" w:hAnsi="Garamond" w:cs="Times New Roman"/>
        </w:rPr>
        <w:t>gliere</w:t>
      </w:r>
      <w:r w:rsidRPr="00FD6300">
        <w:rPr>
          <w:rFonts w:ascii="Garamond" w:hAnsi="Garamond" w:cs="Times New Roman"/>
        </w:rPr>
        <w:t xml:space="preserve"> in</w:t>
      </w:r>
      <w:r w:rsidR="000D3D8A">
        <w:rPr>
          <w:rFonts w:ascii="Garamond" w:hAnsi="Garamond" w:cs="Times New Roman"/>
        </w:rPr>
        <w:t>tegrando le lettere omesse con</w:t>
      </w:r>
      <w:r w:rsidRPr="00FD6300">
        <w:rPr>
          <w:rFonts w:ascii="Garamond" w:hAnsi="Garamond" w:cs="Times New Roman"/>
        </w:rPr>
        <w:t xml:space="preserve"> caratteri corsivi (per esempio: p</w:t>
      </w:r>
      <w:r w:rsidRPr="00FD6300">
        <w:rPr>
          <w:rFonts w:ascii="Garamond" w:hAnsi="Garamond" w:cs="Times New Roman"/>
          <w:i/>
        </w:rPr>
        <w:t>er</w:t>
      </w:r>
      <w:r w:rsidRPr="00FD6300">
        <w:rPr>
          <w:rFonts w:ascii="Garamond" w:hAnsi="Garamond" w:cs="Times New Roman"/>
        </w:rPr>
        <w:t>, l</w:t>
      </w:r>
      <w:r w:rsidRPr="00FD6300">
        <w:rPr>
          <w:rFonts w:ascii="Garamond" w:hAnsi="Garamond" w:cs="Times New Roman"/>
          <w:i/>
          <w:iCs/>
        </w:rPr>
        <w:t>ette</w:t>
      </w:r>
      <w:r w:rsidRPr="00FD6300">
        <w:rPr>
          <w:rFonts w:ascii="Garamond" w:hAnsi="Garamond" w:cs="Times New Roman"/>
        </w:rPr>
        <w:t xml:space="preserve">ra, </w:t>
      </w:r>
      <w:r w:rsidRPr="00FD6300">
        <w:rPr>
          <w:rFonts w:ascii="Garamond" w:hAnsi="Garamond"/>
        </w:rPr>
        <w:t>off</w:t>
      </w:r>
      <w:r w:rsidRPr="00FD6300">
        <w:rPr>
          <w:rFonts w:ascii="Garamond" w:hAnsi="Garamond"/>
          <w:i/>
          <w:iCs/>
        </w:rPr>
        <w:t>ici</w:t>
      </w:r>
      <w:r w:rsidRPr="00FD6300">
        <w:rPr>
          <w:rFonts w:ascii="Garamond" w:hAnsi="Garamond"/>
        </w:rPr>
        <w:t xml:space="preserve">o, </w:t>
      </w:r>
      <w:r w:rsidRPr="00FD6300">
        <w:rPr>
          <w:rFonts w:ascii="Garamond" w:hAnsi="Garamond"/>
          <w:sz w:val="22"/>
          <w:szCs w:val="22"/>
        </w:rPr>
        <w:t>sop</w:t>
      </w:r>
      <w:r w:rsidRPr="00FD6300">
        <w:rPr>
          <w:rFonts w:ascii="Garamond" w:hAnsi="Garamond"/>
          <w:i/>
          <w:sz w:val="22"/>
          <w:szCs w:val="22"/>
        </w:rPr>
        <w:t>rade</w:t>
      </w:r>
      <w:r w:rsidRPr="00FD6300">
        <w:rPr>
          <w:rFonts w:ascii="Garamond" w:hAnsi="Garamond"/>
          <w:sz w:val="22"/>
          <w:szCs w:val="22"/>
        </w:rPr>
        <w:t>tto</w:t>
      </w:r>
      <w:r w:rsidRPr="00FD6300">
        <w:rPr>
          <w:rFonts w:ascii="Garamond" w:hAnsi="Garamond" w:cs="Times New Roman"/>
        </w:rPr>
        <w:t>), eccetto nei casi di uso e comprensione universale (per esempio: ecc.mo, sig.r, sig.ra, S.A.R.,</w:t>
      </w:r>
      <w:r w:rsidR="000D3D8A">
        <w:rPr>
          <w:rFonts w:ascii="Garamond" w:hAnsi="Garamond" w:cs="Times New Roman"/>
        </w:rPr>
        <w:t xml:space="preserve"> V.S., S.E.,</w:t>
      </w:r>
      <w:r w:rsidRPr="00FD6300">
        <w:rPr>
          <w:rFonts w:ascii="Garamond" w:hAnsi="Garamond" w:cs="Times New Roman"/>
        </w:rPr>
        <w:t xml:space="preserve"> m°</w:t>
      </w:r>
      <w:r w:rsidR="000D3D8A">
        <w:rPr>
          <w:rFonts w:ascii="Garamond" w:hAnsi="Garamond" w:cs="Times New Roman"/>
        </w:rPr>
        <w:t xml:space="preserve"> ecc.</w:t>
      </w:r>
      <w:r w:rsidRPr="00FD6300">
        <w:rPr>
          <w:rFonts w:ascii="Garamond" w:hAnsi="Garamond" w:cs="Times New Roman"/>
        </w:rPr>
        <w:t>);</w:t>
      </w:r>
    </w:p>
    <w:p w14:paraId="2A48E6B0" w14:textId="0A5B8A4B" w:rsidR="00FD6300" w:rsidRDefault="00FD6300" w:rsidP="00FD6300">
      <w:pPr>
        <w:widowControl/>
        <w:spacing w:line="360" w:lineRule="exact"/>
        <w:ind w:left="360" w:hanging="360"/>
        <w:jc w:val="both"/>
        <w:rPr>
          <w:rFonts w:ascii="Garamond" w:hAnsi="Garamond" w:cs="Times New Roman"/>
        </w:rPr>
      </w:pPr>
      <w:r w:rsidRPr="00FD6300">
        <w:rPr>
          <w:rFonts w:ascii="Garamond" w:hAnsi="Garamond" w:cs="Times New Roman"/>
        </w:rPr>
        <w:t>–</w:t>
      </w:r>
      <w:r w:rsidRPr="00FD6300">
        <w:rPr>
          <w:rFonts w:ascii="Garamond" w:hAnsi="Garamond" w:cs="Times New Roman"/>
        </w:rPr>
        <w:tab/>
        <w:t>l’uso di maiuscole, minuscole, segni diacritici e di interpunzione è soggetto a normalizzazione</w:t>
      </w:r>
      <w:r w:rsidR="000D3D8A">
        <w:rPr>
          <w:rFonts w:ascii="Garamond" w:hAnsi="Garamond" w:cs="Times New Roman"/>
        </w:rPr>
        <w:t xml:space="preserve"> all’uso corrente</w:t>
      </w:r>
      <w:r w:rsidRPr="00FD6300">
        <w:rPr>
          <w:rFonts w:ascii="Garamond" w:hAnsi="Garamond" w:cs="Times New Roman"/>
        </w:rPr>
        <w:t>.</w:t>
      </w:r>
      <w:r w:rsidR="000D3D8A">
        <w:rPr>
          <w:rFonts w:ascii="Garamond" w:hAnsi="Garamond" w:cs="Times New Roman"/>
        </w:rPr>
        <w:t xml:space="preserve"> Pertanto, le iniziali maiuscole saranno utilizzate soltanto per i nomi propri, gli acronimi (Fondazione Italiana per la Musica Antica) e per la prima lettera di una frase</w:t>
      </w:r>
      <w:r w:rsidR="002B6449">
        <w:rPr>
          <w:rFonts w:ascii="Garamond" w:hAnsi="Garamond" w:cs="Times New Roman"/>
        </w:rPr>
        <w:t xml:space="preserve">. Vanno aggiunti apostrofi e accenti mancanti nella fonte originale (per esempio: </w:t>
      </w:r>
      <w:bookmarkStart w:id="2" w:name="_Hlk156132658"/>
      <w:r w:rsidR="002B6449">
        <w:rPr>
          <w:rFonts w:ascii="Garamond" w:hAnsi="Garamond" w:cs="Times New Roman"/>
        </w:rPr>
        <w:t xml:space="preserve">«niũ la ne ara» andrà trascritto con </w:t>
      </w:r>
      <w:r w:rsidR="001D6989">
        <w:rPr>
          <w:rFonts w:ascii="Garamond" w:hAnsi="Garamond" w:cs="Times New Roman"/>
        </w:rPr>
        <w:t>“</w:t>
      </w:r>
      <w:r w:rsidR="002B6449">
        <w:rPr>
          <w:rFonts w:ascii="Garamond" w:hAnsi="Garamond" w:cs="Times New Roman"/>
        </w:rPr>
        <w:t>niun l’ha né arà</w:t>
      </w:r>
      <w:r w:rsidR="001D6989">
        <w:rPr>
          <w:rFonts w:ascii="Garamond" w:hAnsi="Garamond" w:cs="Times New Roman"/>
        </w:rPr>
        <w:t>”</w:t>
      </w:r>
      <w:r w:rsidR="002B6449">
        <w:rPr>
          <w:rFonts w:ascii="Garamond" w:hAnsi="Garamond" w:cs="Times New Roman"/>
        </w:rPr>
        <w:t xml:space="preserve"> o, se si preferisce </w:t>
      </w:r>
      <w:r w:rsidR="001D6989">
        <w:rPr>
          <w:rFonts w:ascii="Garamond" w:hAnsi="Garamond" w:cs="Times New Roman"/>
        </w:rPr>
        <w:t>“</w:t>
      </w:r>
      <w:r w:rsidR="002B6449">
        <w:rPr>
          <w:rFonts w:ascii="Garamond" w:hAnsi="Garamond" w:cs="Times New Roman"/>
        </w:rPr>
        <w:t>niu</w:t>
      </w:r>
      <w:r w:rsidR="002B6449" w:rsidRPr="002B6449">
        <w:rPr>
          <w:rFonts w:ascii="Garamond" w:hAnsi="Garamond" w:cs="Times New Roman"/>
          <w:i/>
          <w:iCs/>
        </w:rPr>
        <w:t>n</w:t>
      </w:r>
      <w:r w:rsidR="002B6449">
        <w:rPr>
          <w:rFonts w:ascii="Garamond" w:hAnsi="Garamond" w:cs="Times New Roman"/>
        </w:rPr>
        <w:t xml:space="preserve"> l’</w:t>
      </w:r>
      <w:r w:rsidR="002B6449" w:rsidRPr="002B6449">
        <w:rPr>
          <w:rFonts w:ascii="Garamond" w:hAnsi="Garamond" w:cs="Times New Roman"/>
          <w:i/>
          <w:iCs/>
        </w:rPr>
        <w:t>h</w:t>
      </w:r>
      <w:r w:rsidR="002B6449">
        <w:rPr>
          <w:rFonts w:ascii="Garamond" w:hAnsi="Garamond" w:cs="Times New Roman"/>
        </w:rPr>
        <w:t>a né arà</w:t>
      </w:r>
      <w:bookmarkEnd w:id="2"/>
      <w:r w:rsidR="001D6989">
        <w:rPr>
          <w:rFonts w:ascii="Garamond" w:hAnsi="Garamond" w:cs="Times New Roman"/>
        </w:rPr>
        <w:t>”</w:t>
      </w:r>
      <w:r w:rsidR="002B6449">
        <w:rPr>
          <w:rFonts w:ascii="Garamond" w:hAnsi="Garamond" w:cs="Times New Roman"/>
        </w:rPr>
        <w:t>)</w:t>
      </w:r>
    </w:p>
    <w:p w14:paraId="6E04DABC" w14:textId="10A93AC2" w:rsidR="000D3D8A" w:rsidRPr="00F700C6" w:rsidRDefault="000D3D8A" w:rsidP="000D3D8A">
      <w:pPr>
        <w:spacing w:line="360" w:lineRule="exact"/>
        <w:ind w:left="360" w:hanging="360"/>
        <w:jc w:val="both"/>
        <w:rPr>
          <w:rFonts w:ascii="Garamond" w:hAnsi="Garamond"/>
        </w:rPr>
      </w:pPr>
      <w:r w:rsidRPr="00F700C6">
        <w:rPr>
          <w:rFonts w:ascii="Garamond" w:hAnsi="Garamond"/>
        </w:rPr>
        <w:t>–</w:t>
      </w:r>
      <w:r w:rsidRPr="00F700C6">
        <w:rPr>
          <w:rFonts w:ascii="Garamond" w:hAnsi="Garamond"/>
        </w:rPr>
        <w:tab/>
      </w:r>
      <w:r w:rsidR="00F869DC" w:rsidRPr="00F700C6">
        <w:rPr>
          <w:rFonts w:ascii="Garamond" w:hAnsi="Garamond"/>
        </w:rPr>
        <w:t xml:space="preserve">frasi o parole omesse nella trascrizione vanno indicate con il simbolo […] </w:t>
      </w:r>
    </w:p>
    <w:p w14:paraId="4B485D4D" w14:textId="1BB5375F" w:rsidR="000D3D8A" w:rsidRPr="00F700C6" w:rsidRDefault="000D3D8A" w:rsidP="000D3D8A">
      <w:pPr>
        <w:spacing w:line="360" w:lineRule="exact"/>
        <w:ind w:left="360" w:hanging="360"/>
        <w:jc w:val="both"/>
        <w:rPr>
          <w:rFonts w:ascii="Garamond" w:hAnsi="Garamond"/>
        </w:rPr>
      </w:pPr>
      <w:r w:rsidRPr="00F700C6">
        <w:rPr>
          <w:rFonts w:ascii="Garamond" w:hAnsi="Garamond"/>
        </w:rPr>
        <w:t>–</w:t>
      </w:r>
      <w:r w:rsidRPr="00F700C6">
        <w:rPr>
          <w:rFonts w:ascii="Garamond" w:hAnsi="Garamond"/>
        </w:rPr>
        <w:tab/>
        <w:t xml:space="preserve">Lacune, </w:t>
      </w:r>
      <w:r w:rsidR="00F869DC" w:rsidRPr="00F700C6">
        <w:rPr>
          <w:rFonts w:ascii="Garamond" w:hAnsi="Garamond"/>
        </w:rPr>
        <w:t xml:space="preserve">parole o frasi mancanti nel documento vanno indicate con il simbolo </w:t>
      </w:r>
      <w:r w:rsidRPr="00F700C6">
        <w:rPr>
          <w:rFonts w:ascii="Garamond" w:hAnsi="Garamond"/>
        </w:rPr>
        <w:t>&lt;...&gt;</w:t>
      </w:r>
    </w:p>
    <w:p w14:paraId="32302851" w14:textId="4E5AC203" w:rsidR="000D3D8A" w:rsidRDefault="000D3D8A" w:rsidP="000D3D8A">
      <w:pPr>
        <w:spacing w:line="360" w:lineRule="exact"/>
        <w:ind w:left="360" w:hanging="360"/>
        <w:jc w:val="both"/>
      </w:pPr>
      <w:r w:rsidRPr="00F700C6">
        <w:rPr>
          <w:rFonts w:ascii="Garamond" w:hAnsi="Garamond"/>
        </w:rPr>
        <w:t>–</w:t>
      </w:r>
      <w:r w:rsidRPr="00F700C6">
        <w:rPr>
          <w:rFonts w:ascii="Garamond" w:hAnsi="Garamond"/>
        </w:rPr>
        <w:tab/>
      </w:r>
      <w:r w:rsidR="00F869DC" w:rsidRPr="00F700C6">
        <w:rPr>
          <w:rFonts w:ascii="Garamond" w:hAnsi="Garamond"/>
        </w:rPr>
        <w:t xml:space="preserve">Gli accenti all’uso corrente </w:t>
      </w:r>
      <w:r w:rsidRPr="00F700C6">
        <w:rPr>
          <w:rFonts w:ascii="Garamond" w:hAnsi="Garamond"/>
        </w:rPr>
        <w:t>(</w:t>
      </w:r>
      <w:r w:rsidR="00F869DC" w:rsidRPr="00F700C6">
        <w:rPr>
          <w:rFonts w:ascii="Garamond" w:hAnsi="Garamond"/>
        </w:rPr>
        <w:t>per esempio</w:t>
      </w:r>
      <w:r w:rsidRPr="00F700C6">
        <w:rPr>
          <w:rFonts w:ascii="Garamond" w:hAnsi="Garamond"/>
        </w:rPr>
        <w:t xml:space="preserve">: “a”, “ha”, “perché”, </w:t>
      </w:r>
      <w:r w:rsidR="00F869DC" w:rsidRPr="00F700C6">
        <w:rPr>
          <w:rFonts w:ascii="Garamond" w:hAnsi="Garamond"/>
        </w:rPr>
        <w:t>e non</w:t>
      </w:r>
      <w:r w:rsidRPr="00F700C6">
        <w:rPr>
          <w:rFonts w:ascii="Garamond" w:hAnsi="Garamond"/>
        </w:rPr>
        <w:t xml:space="preserve"> “à”, “hà”, “perchè”)</w:t>
      </w:r>
      <w:r w:rsidRPr="0067473C">
        <w:t xml:space="preserve"> </w:t>
      </w:r>
    </w:p>
    <w:p w14:paraId="7C8780FE" w14:textId="2C75DCAB" w:rsidR="000D3D8A" w:rsidRPr="00F700C6" w:rsidRDefault="000D3D8A" w:rsidP="000D3D8A">
      <w:pPr>
        <w:spacing w:line="360" w:lineRule="exact"/>
        <w:ind w:left="360" w:hanging="360"/>
        <w:jc w:val="both"/>
        <w:rPr>
          <w:rFonts w:ascii="Garamond" w:hAnsi="Garamond"/>
        </w:rPr>
      </w:pPr>
      <w:r w:rsidRPr="00F700C6">
        <w:rPr>
          <w:rFonts w:ascii="Garamond" w:hAnsi="Garamond"/>
        </w:rPr>
        <w:t>–</w:t>
      </w:r>
      <w:r w:rsidRPr="00F700C6">
        <w:rPr>
          <w:rFonts w:ascii="Garamond" w:hAnsi="Garamond"/>
        </w:rPr>
        <w:tab/>
      </w:r>
      <w:r w:rsidR="00F869DC" w:rsidRPr="00F700C6">
        <w:rPr>
          <w:rFonts w:ascii="Garamond" w:hAnsi="Garamond"/>
        </w:rPr>
        <w:t>La lettera</w:t>
      </w:r>
      <w:r w:rsidRPr="00F700C6">
        <w:rPr>
          <w:rFonts w:ascii="Garamond" w:hAnsi="Garamond"/>
        </w:rPr>
        <w:t xml:space="preserve"> “u”, </w:t>
      </w:r>
      <w:r w:rsidR="00F869DC" w:rsidRPr="00F700C6">
        <w:rPr>
          <w:rFonts w:ascii="Garamond" w:hAnsi="Garamond"/>
        </w:rPr>
        <w:t xml:space="preserve">che nell’italiano antico </w:t>
      </w:r>
      <w:r w:rsidR="00D478B6" w:rsidRPr="00F700C6">
        <w:rPr>
          <w:rFonts w:ascii="Garamond" w:hAnsi="Garamond"/>
        </w:rPr>
        <w:t xml:space="preserve">è usata </w:t>
      </w:r>
      <w:r w:rsidR="00F869DC" w:rsidRPr="00F700C6">
        <w:rPr>
          <w:rFonts w:ascii="Garamond" w:hAnsi="Garamond"/>
        </w:rPr>
        <w:t xml:space="preserve">anche </w:t>
      </w:r>
      <w:r w:rsidR="00D478B6" w:rsidRPr="00F700C6">
        <w:rPr>
          <w:rFonts w:ascii="Garamond" w:hAnsi="Garamond"/>
        </w:rPr>
        <w:t>come</w:t>
      </w:r>
      <w:r w:rsidRPr="00F700C6">
        <w:rPr>
          <w:rFonts w:ascii="Garamond" w:hAnsi="Garamond"/>
        </w:rPr>
        <w:t xml:space="preserve"> “v”</w:t>
      </w:r>
      <w:r w:rsidR="00F869DC" w:rsidRPr="00F700C6">
        <w:rPr>
          <w:rFonts w:ascii="Garamond" w:hAnsi="Garamond"/>
        </w:rPr>
        <w:t>,</w:t>
      </w:r>
      <w:r w:rsidRPr="00F700C6">
        <w:rPr>
          <w:rFonts w:ascii="Garamond" w:hAnsi="Garamond"/>
        </w:rPr>
        <w:t xml:space="preserve"> </w:t>
      </w:r>
      <w:r w:rsidR="00F869DC" w:rsidRPr="00F700C6">
        <w:rPr>
          <w:rFonts w:ascii="Garamond" w:hAnsi="Garamond"/>
        </w:rPr>
        <w:t xml:space="preserve">va di volta in volta normalizzata </w:t>
      </w:r>
      <w:r w:rsidR="00D478B6" w:rsidRPr="00F700C6">
        <w:rPr>
          <w:rFonts w:ascii="Garamond" w:hAnsi="Garamond"/>
        </w:rPr>
        <w:t xml:space="preserve">in “v” </w:t>
      </w:r>
      <w:r w:rsidR="00F869DC" w:rsidRPr="00F700C6">
        <w:rPr>
          <w:rFonts w:ascii="Garamond" w:hAnsi="Garamond"/>
        </w:rPr>
        <w:t xml:space="preserve">secondo la corretta fonetica </w:t>
      </w:r>
      <w:r w:rsidRPr="00F700C6">
        <w:rPr>
          <w:rFonts w:ascii="Garamond" w:hAnsi="Garamond"/>
        </w:rPr>
        <w:t>(</w:t>
      </w:r>
      <w:r w:rsidR="00F869DC" w:rsidRPr="00F700C6">
        <w:rPr>
          <w:rFonts w:ascii="Garamond" w:hAnsi="Garamond"/>
        </w:rPr>
        <w:t>per esempio</w:t>
      </w:r>
      <w:r w:rsidRPr="00F700C6">
        <w:rPr>
          <w:rFonts w:ascii="Garamond" w:hAnsi="Garamond"/>
        </w:rPr>
        <w:t xml:space="preserve">: </w:t>
      </w:r>
      <w:r w:rsidR="007A204C" w:rsidRPr="00F700C6">
        <w:rPr>
          <w:rFonts w:ascii="Garamond" w:hAnsi="Garamond"/>
        </w:rPr>
        <w:t xml:space="preserve">“haver”, “doueua”, “diuersi”, “uedendosi”, “Giouanni”, “Pauolo” vanno trascritti “haver”, </w:t>
      </w:r>
      <w:r w:rsidRPr="00F700C6">
        <w:rPr>
          <w:rFonts w:ascii="Garamond" w:hAnsi="Garamond"/>
        </w:rPr>
        <w:t xml:space="preserve">“doveva”, </w:t>
      </w:r>
      <w:r w:rsidR="0018219D" w:rsidRPr="00F700C6">
        <w:rPr>
          <w:rFonts w:ascii="Garamond" w:hAnsi="Garamond"/>
        </w:rPr>
        <w:t>“diversi”, “vedendosi”,</w:t>
      </w:r>
      <w:r w:rsidR="007A204C" w:rsidRPr="00F700C6">
        <w:rPr>
          <w:rFonts w:ascii="Garamond" w:hAnsi="Garamond"/>
        </w:rPr>
        <w:t xml:space="preserve"> “Giovanni”,</w:t>
      </w:r>
      <w:r w:rsidR="0018219D" w:rsidRPr="00F700C6">
        <w:rPr>
          <w:rFonts w:ascii="Garamond" w:hAnsi="Garamond"/>
        </w:rPr>
        <w:t xml:space="preserve"> </w:t>
      </w:r>
      <w:r w:rsidR="00F869DC" w:rsidRPr="00F700C6">
        <w:rPr>
          <w:rFonts w:ascii="Garamond" w:hAnsi="Garamond"/>
        </w:rPr>
        <w:t>“Pavolo”</w:t>
      </w:r>
      <w:r w:rsidR="007A204C" w:rsidRPr="00F700C6">
        <w:rPr>
          <w:rFonts w:ascii="Garamond" w:hAnsi="Garamond"/>
        </w:rPr>
        <w:t>).</w:t>
      </w:r>
    </w:p>
    <w:p w14:paraId="6F67E124" w14:textId="77777777" w:rsidR="00FD6300" w:rsidRDefault="00FD6300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7D2E1B5A" w14:textId="410E46C2" w:rsidR="00F30E13" w:rsidRDefault="00F30E13" w:rsidP="00FD6300">
      <w:pPr>
        <w:widowControl/>
        <w:spacing w:line="360" w:lineRule="exact"/>
        <w:jc w:val="both"/>
        <w:rPr>
          <w:rFonts w:ascii="Garamond" w:hAnsi="Garamond" w:cs="Times New Roman"/>
        </w:rPr>
      </w:pPr>
      <w:r>
        <w:rPr>
          <w:rFonts w:ascii="Garamond" w:hAnsi="Garamond" w:cs="Times New Roman"/>
        </w:rPr>
        <w:t>Sarebbe molto utile — e gradito alla redazione della rivista — che l’Autore fornisse una riproduzione dei documenti trascritti nell’articolo.</w:t>
      </w:r>
    </w:p>
    <w:p w14:paraId="1AB3E547" w14:textId="77777777" w:rsidR="00F30E13" w:rsidRPr="00FD6300" w:rsidRDefault="00F30E13" w:rsidP="00FD6300">
      <w:pPr>
        <w:widowControl/>
        <w:spacing w:line="360" w:lineRule="exact"/>
        <w:jc w:val="both"/>
        <w:rPr>
          <w:rFonts w:ascii="Garamond" w:hAnsi="Garamond" w:cs="Times New Roman"/>
        </w:rPr>
      </w:pPr>
    </w:p>
    <w:p w14:paraId="30D63F7E" w14:textId="77777777" w:rsidR="00FD6300" w:rsidRPr="000221D0" w:rsidRDefault="00FD6300" w:rsidP="00FD6300">
      <w:pPr>
        <w:widowControl/>
        <w:spacing w:line="360" w:lineRule="exact"/>
        <w:jc w:val="both"/>
        <w:rPr>
          <w:rFonts w:ascii="Garamond" w:hAnsi="Garamond" w:cs="Times New Roman"/>
          <w:b/>
          <w:bCs/>
        </w:rPr>
      </w:pPr>
      <w:r w:rsidRPr="000221D0">
        <w:rPr>
          <w:rFonts w:ascii="Garamond" w:hAnsi="Garamond" w:cs="Times New Roman"/>
          <w:b/>
          <w:bCs/>
        </w:rPr>
        <w:t>Per ulteriori informazioni rivolgersi a: recercare@libero.it</w:t>
      </w:r>
    </w:p>
    <w:sectPr w:rsidR="00FD6300" w:rsidRPr="000221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ram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B2581"/>
    <w:multiLevelType w:val="hybridMultilevel"/>
    <w:tmpl w:val="F78A212C"/>
    <w:lvl w:ilvl="0" w:tplc="21483BD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AGaramond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334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300"/>
    <w:rsid w:val="000221D0"/>
    <w:rsid w:val="00091611"/>
    <w:rsid w:val="000D3D8A"/>
    <w:rsid w:val="00114150"/>
    <w:rsid w:val="001542A0"/>
    <w:rsid w:val="0018219D"/>
    <w:rsid w:val="001D6989"/>
    <w:rsid w:val="002433A4"/>
    <w:rsid w:val="00270570"/>
    <w:rsid w:val="002B6449"/>
    <w:rsid w:val="0032038A"/>
    <w:rsid w:val="00362903"/>
    <w:rsid w:val="003A3C63"/>
    <w:rsid w:val="004042C5"/>
    <w:rsid w:val="00416A03"/>
    <w:rsid w:val="0044005A"/>
    <w:rsid w:val="004414B5"/>
    <w:rsid w:val="004B11E0"/>
    <w:rsid w:val="004B372D"/>
    <w:rsid w:val="00617187"/>
    <w:rsid w:val="00643C88"/>
    <w:rsid w:val="0070237B"/>
    <w:rsid w:val="007072C2"/>
    <w:rsid w:val="007A204C"/>
    <w:rsid w:val="007A659B"/>
    <w:rsid w:val="007C24CF"/>
    <w:rsid w:val="007D5D64"/>
    <w:rsid w:val="007E11E5"/>
    <w:rsid w:val="0087151D"/>
    <w:rsid w:val="00887469"/>
    <w:rsid w:val="008A013D"/>
    <w:rsid w:val="008E4D08"/>
    <w:rsid w:val="009779B5"/>
    <w:rsid w:val="009D479D"/>
    <w:rsid w:val="00AE44F5"/>
    <w:rsid w:val="00AF4915"/>
    <w:rsid w:val="00B13040"/>
    <w:rsid w:val="00BC7DFE"/>
    <w:rsid w:val="00C23163"/>
    <w:rsid w:val="00C85CC3"/>
    <w:rsid w:val="00CC720A"/>
    <w:rsid w:val="00D02195"/>
    <w:rsid w:val="00D237AF"/>
    <w:rsid w:val="00D37280"/>
    <w:rsid w:val="00D454BA"/>
    <w:rsid w:val="00D478B6"/>
    <w:rsid w:val="00E64835"/>
    <w:rsid w:val="00EE40A3"/>
    <w:rsid w:val="00F30E13"/>
    <w:rsid w:val="00F700C6"/>
    <w:rsid w:val="00F849D8"/>
    <w:rsid w:val="00F869DC"/>
    <w:rsid w:val="00FB28C9"/>
    <w:rsid w:val="00FD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E4CE1"/>
  <w15:chartTrackingRefBased/>
  <w15:docId w15:val="{FD269F29-95D8-44B9-ACB6-9AF047C2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6300"/>
    <w:pPr>
      <w:widowControl w:val="0"/>
      <w:autoSpaceDE w:val="0"/>
      <w:autoSpaceDN w:val="0"/>
      <w:adjustRightInd w:val="0"/>
      <w:spacing w:after="0" w:line="240" w:lineRule="auto"/>
    </w:pPr>
    <w:rPr>
      <w:rFonts w:ascii="AGaramond" w:eastAsia="Times New Roman" w:hAnsi="AGaramond" w:cs="AGaramond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sid w:val="00AE44F5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E4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Morelli</dc:creator>
  <cp:keywords/>
  <dc:description/>
  <cp:lastModifiedBy>Arnaldo Morelli</cp:lastModifiedBy>
  <cp:revision>12</cp:revision>
  <dcterms:created xsi:type="dcterms:W3CDTF">2016-04-12T18:48:00Z</dcterms:created>
  <dcterms:modified xsi:type="dcterms:W3CDTF">2026-05-07T16:41:00Z</dcterms:modified>
</cp:coreProperties>
</file>