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B1C2C" w:val="clear"/>
            <w:vAlign w:val="top"/>
          </w:tcPr>
          <w:p>
            <w:pPr>
              <w:spacing w:before="4500"/>
            </w:pPr>
          </w:p>
          <w:p>
            <w:pPr>
              <w:pBdr>
                <w:bottom w:val="single" w:color="529286" w:sz="6" w:space="8"/>
              </w:pBdr>
              <w:spacing w:after="500"/>
              <w:ind w:left="1200" w:right="1200"/>
            </w:pPr>
            <w:r>
              <w:rPr>
                <w:rFonts w:ascii="FreeSerif" w:eastAsia="Noto Sans SC"/>
                <w:color w:val="529286"/>
                <w:spacing w:val="40"/>
                <w:sz w:val="18"/>
                <w:szCs w:val="18"/>
              </w:rPr>
              <w:t xml:space="preserve">M  A  R  K  E  T  P  L  A  C  E     F  I  N  A  N  C  I  A  L     A  I     E  N  G  I  N  E</w:t>
            </w:r>
          </w:p>
          <w:p>
            <w:pPr>
              <w:spacing w:after="100" w:line="552" w:lineRule="atLeast"/>
              <w:ind w:left="1200"/>
            </w:pPr>
            <w:r>
              <w:rPr>
                <w:rFonts w:ascii="Liberation Sans" w:eastAsia="Noto Sans SC"/>
                <w:b/>
                <w:bCs/>
                <w:color w:val="FFFFFF"/>
                <w:sz w:val="48"/>
                <w:szCs w:val="48"/>
              </w:rPr>
              <w:t xml:space="preserve">Auditoría Quirúrgica</w:t>
            </w:r>
          </w:p>
          <w:p>
            <w:pPr>
              <w:spacing w:after="100" w:line="552" w:lineRule="atLeast"/>
              <w:ind w:left="1200"/>
            </w:pPr>
            <w:r>
              <w:rPr>
                <w:rFonts w:ascii="Liberation Sans" w:eastAsia="Noto Sans SC"/>
                <w:b/>
                <w:bCs/>
                <w:color w:val="FFFFFF"/>
                <w:sz w:val="48"/>
                <w:szCs w:val="48"/>
              </w:rPr>
              <w:t xml:space="preserve">de Cuellos de</w:t>
            </w:r>
          </w:p>
          <w:p>
            <w:pPr>
              <w:spacing w:after="100" w:line="552" w:lineRule="atLeast"/>
              <w:ind w:left="1200"/>
            </w:pPr>
            <w:r>
              <w:rPr>
                <w:rFonts w:ascii="Liberation Sans" w:eastAsia="Noto Sans SC"/>
                <w:b/>
                <w:bCs/>
                <w:color w:val="FFFFFF"/>
                <w:sz w:val="48"/>
                <w:szCs w:val="48"/>
              </w:rPr>
              <w:t xml:space="preserve">Botella para el</w:t>
            </w:r>
          </w:p>
          <w:p>
            <w:pPr>
              <w:spacing w:after="300" w:line="552" w:lineRule="atLeast"/>
              <w:ind w:left="1200"/>
            </w:pPr>
            <w:r>
              <w:rPr>
                <w:rFonts w:ascii="Liberation Sans" w:eastAsia="Noto Sans SC"/>
                <w:b/>
                <w:bCs/>
                <w:color w:val="FFFFFF"/>
                <w:sz w:val="48"/>
                <w:szCs w:val="48"/>
              </w:rPr>
              <w:t xml:space="preserve">Pase a Producción</w:t>
            </w:r>
          </w:p>
          <w:p>
            <w:pPr>
              <w:spacing w:after="800"/>
              <w:ind w:left="1200"/>
            </w:pPr>
            <w:r>
              <w:rPr>
                <w:rFonts w:ascii="Liberation Sans" w:eastAsia="Noto Sans SC"/>
                <w:color w:val="B0B8C0"/>
                <w:sz w:val="24"/>
                <w:szCs w:val="24"/>
              </w:rPr>
              <w:t xml:space="preserve">Diagnóstico verificado al 26-08-2026 y vía expedita de remediación</w:t>
            </w:r>
          </w:p>
          <w:p>
            <w:pPr>
              <w:pBdr>
                <w:left w:val="single" w:color="529286" w:sz="8" w:space="12"/>
              </w:pBdr>
              <w:spacing w:after="80"/>
              <w:ind w:left="1400"/>
            </w:pPr>
            <w:r>
              <w:rPr>
                <w:rFonts w:ascii="Liberation Sans" w:eastAsia="Noto Sans SC"/>
                <w:color w:val="90989F"/>
                <w:sz w:val="24"/>
                <w:szCs w:val="24"/>
              </w:rPr>
              <w:t xml:space="preserve">Proyecto: Marketplace Financial AI Engine</w:t>
            </w:r>
          </w:p>
          <w:p>
            <w:pPr>
              <w:pBdr>
                <w:left w:val="single" w:color="529286" w:sz="8" w:space="12"/>
              </w:pBdr>
              <w:spacing w:after="80"/>
              <w:ind w:left="1400"/>
            </w:pPr>
            <w:r>
              <w:rPr>
                <w:rFonts w:ascii="Liberation Sans" w:eastAsia="Noto Sans SC"/>
                <w:color w:val="90989F"/>
                <w:sz w:val="24"/>
                <w:szCs w:val="24"/>
              </w:rPr>
              <w:t xml:space="preserve">Alcance: madurez, certificación fiscal y gobernanza</w:t>
            </w:r>
          </w:p>
          <w:p>
            <w:pPr>
              <w:pBdr>
                <w:left w:val="single" w:color="529286" w:sz="8" w:space="12"/>
              </w:pBdr>
              <w:spacing w:after="80"/>
              <w:ind w:left="1400"/>
            </w:pPr>
            <w:r>
              <w:rPr>
                <w:rFonts w:ascii="Liberation Sans" w:eastAsia="Noto Sans SC"/>
                <w:color w:val="90989F"/>
                <w:sz w:val="24"/>
                <w:szCs w:val="24"/>
              </w:rPr>
              <w:t xml:space="preserve">Método: 4 agentes independientes + revisión adversarial</w:t>
            </w:r>
          </w:p>
          <w:p>
            <w:pPr>
              <w:pBdr>
                <w:left w:val="single" w:color="529286" w:sz="8" w:space="12"/>
              </w:pBdr>
              <w:spacing w:after="80"/>
              <w:ind w:left="1400"/>
            </w:pPr>
            <w:r>
              <w:rPr>
                <w:rFonts w:ascii="Liberation Sans" w:eastAsia="Noto Sans SC"/>
                <w:color w:val="90989F"/>
                <w:sz w:val="24"/>
                <w:szCs w:val="24"/>
              </w:rPr>
              <w:t xml:space="preserve">Fecha: 26 de agosto de 2026</w:t>
            </w:r>
          </w:p>
          <w:p>
            <w:pPr>
              <w:spacing w:before="4727"/>
            </w:pPr>
          </w:p>
          <w:p>
            <w:pPr>
              <w:pBdr>
                <w:top w:val="single" w:color="529286" w:sz="2" w:space="8"/>
              </w:pBdr>
              <w:spacing w:before="200"/>
              <w:ind w:left="1200" w:right="1200"/>
            </w:pPr>
            <w:r>
              <w:rPr>
                <w:rFonts w:ascii="Liberation Sans"/>
                <w:color w:val="808890"/>
                <w:sz w:val="16"/>
                <w:szCs w:val="16"/>
              </w:rPr>
              <w:t xml:space="preserve">Auditoría de producción</w:t>
            </w:r>
            <w:r>
              <w:t xml:space="preserve">                                        </w:t>
            </w:r>
            <w:r>
              <w:rPr>
                <w:rFonts w:ascii="Liberation Sans"/>
                <w:color w:val="808890"/>
                <w:sz w:val="16"/>
                <w:szCs w:val="16"/>
              </w:rPr>
              <w:t xml:space="preserve">Confidencial</w:t>
            </w:r>
          </w:p>
        </w:tc>
      </w:tr>
    </w:tbl>
    <w:p>
      <w:pPr>
        <w:sectPr>
          <w:pgSz w:w="11906" w:h="16838" w:orient="portrait"/>
          <w:pgMar w:top="0" w:right="0" w:bottom="0" w:left="0" w:header="708" w:footer="708" w:gutter="0"/>
          <w:docGrid w:linePitch="360"/>
        </w:sectPr>
      </w:pPr>
    </w:p>
    <w:p>
      <w:pPr>
        <w:spacing w:after="200"/>
      </w:pPr>
      <w:r>
        <w:rPr>
          <w:b/>
          <w:bCs/>
          <w:color w:val="3A7A6E"/>
          <w:sz w:val="32"/>
          <w:szCs w:val="32"/>
        </w:rPr>
        <w:t xml:space="preserve">Contenido</w:t>
      </w:r>
    </w:p>
    <w:sdt>
      <w:sdtPr>
        <w:alias w:val="Tabla de contenido"/>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Resumen Ejecutivo</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Antecedentes y Objetivos</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3. Alcance, Fuentes y Metodología</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4. Hallazgos Centrales</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4.1 Estado de los nueve cuellos de botella de la auditoría del 12-08</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4.2 Hallazgos nuevos (F1–F5) que ninguna auditoría previa reportó</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4.3 Avances verificados desde el 12-08</w:t>
            </w:r>
            <w:r>
              <w:tab/>
            </w:r>
            <w:r>
              <w:fldChar w:fldCharType="begin"/>
            </w:r>
            <w:r>
              <w:instrText xml:space="preserve"> PAGEREF _Toc100006 \h </w:instrText>
            </w:r>
            <w:r>
              <w:fldChar w:fldCharType="separate"/>
            </w:r>
            <w:r>
              <w:t>3</w:t>
            </w:r>
            <w:r>
              <w:fldChar w:fldCharType="end"/>
            </w:r>
          </w:hyperlink>
        </w:p>
        <w:p>
          <w:pPr>
            <w:pStyle w:val="9"/>
            <w:tabs>
              <w:tab w:val="right" w:leader="dot" w:pos="9026"/>
            </w:tabs>
            <w:spacing w:before="120" w:after="60"/>
          </w:pPr>
          <w:hyperlink w:anchor="_Toc100007" w:history="1">
            <w:r>
              <w:rPr>
                <w:rStyle w:val="Hyperlink"/>
              </w:rPr>
              <w:t>5. Diagnóstico: Por Qué No Hay Final Feliz</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5.1 La certificación fiscal de Ripley sigue siendo ilusoria</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5.2 El gate de tests valida la métrica equivocada</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5.3 Gobernanza: el eslabón perdido</w:t>
            </w:r>
            <w:r>
              <w:tab/>
            </w:r>
            <w:r>
              <w:fldChar w:fldCharType="begin"/>
            </w:r>
            <w:r>
              <w:instrText xml:space="preserve"> PAGEREF _Toc100010 \h </w:instrText>
            </w:r>
            <w:r>
              <w:fldChar w:fldCharType="separate"/>
            </w:r>
            <w:r>
              <w:t>5</w:t>
            </w:r>
            <w:r>
              <w:fldChar w:fldCharType="end"/>
            </w:r>
          </w:hyperlink>
        </w:p>
        <w:p>
          <w:pPr>
            <w:pStyle w:val="9"/>
            <w:tabs>
              <w:tab w:val="right" w:leader="dot" w:pos="9026"/>
            </w:tabs>
            <w:spacing w:before="120" w:after="60"/>
          </w:pPr>
          <w:hyperlink w:anchor="_Toc100011" w:history="1">
            <w:r>
              <w:rPr>
                <w:rStyle w:val="Hyperlink"/>
              </w:rPr>
              <w:t>6. La Vía Más Expedita y Tecnológicamente Resolutiva</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Fase A — Blindar lo ganado (inmediato, 1–2 días)</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Fase B — Hacer honesto el gate de certificación (3–5 días)</w:t>
            </w:r>
            <w:r>
              <w:tab/>
            </w:r>
            <w:r>
              <w:fldChar w:fldCharType="begin"/>
            </w:r>
            <w:r>
              <w:instrText xml:space="preserve"> PAGEREF _Toc100013 \h </w:instrText>
            </w:r>
            <w:r>
              <w:fldChar w:fldCharType="separate"/>
            </w:r>
            <w:r>
              <w:t>6</w:t>
            </w:r>
            <w:r>
              <w:fldChar w:fldCharType="end"/>
            </w:r>
          </w:hyperlink>
        </w:p>
        <w:p>
          <w:pPr>
            <w:pStyle w:val="11"/>
            <w:ind w:left="360"/>
            <w:tabs>
              <w:tab w:val="right" w:leader="dot" w:pos="9026"/>
            </w:tabs>
            <w:spacing w:before="120" w:after="60"/>
          </w:pPr>
          <w:hyperlink w:anchor="_Toc100014" w:history="1">
            <w:r>
              <w:rPr>
                <w:rStyle w:val="Hyperlink"/>
              </w:rPr>
              <w:t>Fase C — Puente fiscal real y CI productivo (1–2 semanas)</w:t>
            </w:r>
            <w:r>
              <w:tab/>
            </w:r>
            <w:r>
              <w:fldChar w:fldCharType="begin"/>
            </w:r>
            <w:r>
              <w:instrText xml:space="preserve"> PAGEREF _Toc100014 \h </w:instrText>
            </w:r>
            <w:r>
              <w:fldChar w:fldCharType="separate"/>
            </w:r>
            <w:r>
              <w:t>7</w:t>
            </w:r>
            <w:r>
              <w:fldChar w:fldCharType="end"/>
            </w:r>
          </w:hyperlink>
        </w:p>
        <w:p>
          <w:pPr>
            <w:pStyle w:val="11"/>
            <w:ind w:left="360"/>
            <w:tabs>
              <w:tab w:val="right" w:leader="dot" w:pos="9026"/>
            </w:tabs>
            <w:spacing w:before="120" w:after="60"/>
          </w:pPr>
          <w:hyperlink w:anchor="_Toc100015" w:history="1">
            <w:r>
              <w:rPr>
                <w:rStyle w:val="Hyperlink"/>
              </w:rPr>
              <w:t>Qué NO hacer</w:t>
            </w:r>
            <w:r>
              <w:tab/>
            </w:r>
            <w:r>
              <w:fldChar w:fldCharType="begin"/>
            </w:r>
            <w:r>
              <w:instrText xml:space="preserve"> PAGEREF _Toc100015 \h </w:instrText>
            </w:r>
            <w:r>
              <w:fldChar w:fldCharType="separate"/>
            </w:r>
            <w:r>
              <w:t>7</w:t>
            </w:r>
            <w:r>
              <w:fldChar w:fldCharType="end"/>
            </w:r>
          </w:hyperlink>
        </w:p>
        <w:p>
          <w:pPr>
            <w:pStyle w:val="9"/>
            <w:tabs>
              <w:tab w:val="right" w:leader="dot" w:pos="9026"/>
            </w:tabs>
            <w:spacing w:before="120" w:after="60"/>
          </w:pPr>
          <w:hyperlink w:anchor="_Toc100016" w:history="1">
            <w:r>
              <w:rPr>
                <w:rStyle w:val="Hyperlink"/>
              </w:rPr>
              <w:t>7. Conclusiones</w:t>
            </w:r>
            <w:r>
              <w:tab/>
            </w:r>
            <w:r>
              <w:fldChar w:fldCharType="begin"/>
            </w:r>
            <w:r>
              <w:instrText xml:space="preserve"> PAGEREF _Toc100016 \h </w:instrText>
            </w:r>
            <w:r>
              <w:fldChar w:fldCharType="separate"/>
            </w:r>
            <w:r>
              <w:t>8</w:t>
            </w:r>
            <w:r>
              <w:fldChar w:fldCharType="end"/>
            </w:r>
          </w:hyperlink>
        </w:p>
        <w:p>
          <w:pPr>
            <w:pStyle w:val="9"/>
            <w:tabs>
              <w:tab w:val="right" w:leader="dot" w:pos="9026"/>
            </w:tabs>
            <w:spacing w:before="120" w:after="60"/>
          </w:pPr>
          <w:hyperlink w:anchor="_Toc100017" w:history="1">
            <w:r>
              <w:rPr>
                <w:rStyle w:val="Hyperlink"/>
              </w:rPr>
              <w:t>8. Anexo — Métricas Clave de la Auditoría</w:t>
            </w:r>
            <w:r>
              <w:tab/>
            </w:r>
            <w:r>
              <w:fldChar w:fldCharType="begin"/>
            </w:r>
            <w:r>
              <w:instrText xml:space="preserve"> PAGEREF _Toc100017 \h </w:instrText>
            </w:r>
            <w:r>
              <w:fldChar w:fldCharType="separate"/>
            </w:r>
            <w:r>
              <w:t>8</w:t>
            </w:r>
            <w:r>
              <w:fldChar w:fldCharType="end"/>
            </w:r>
          </w:hyperlink>
        </w:p>
        <w:p>
          <w:r>
            <w:fldChar w:fldCharType="end"/>
          </w:r>
        </w:p>
      </w:sdtContent>
    </w:sdt>
    <w:p>
      <w:r>
        <w:br w:type="page"/>
      </w:r>
    </w:p>
    <w:p>
      <w:pPr>
        <w:sectPr>
          <w:footerReference w:type="default" r:id="rId7"/>
          <w:pgSz w:w="11906" w:h="16838" w:orient="portrait"/>
          <w:pgMar w:top="1440" w:right="1797" w:bottom="1440" w:left="1797" w:header="708" w:footer="708" w:gutter="0"/>
          <w:pgNumType w:start="1"/>
          <w:docGrid w:linePitch="360"/>
        </w:sectPr>
      </w:pPr>
    </w:p>
    <w:p>
      <w:pPr>
        <w:pStyle w:val="Heading1"/>
        <w:spacing w:after="120" w:before="360"/>
      </w:pPr>
      <w:bookmarkStart w:id="100000" w:name="_Toc100000"/>
      <w:r>
        <w:rPr>
          <w:rFonts w:ascii="Calibri" w:eastAsia="Noto Sans SC"/>
          <w:b/>
          <w:bCs/>
          <w:color w:val="3A7A6E"/>
        </w:rPr>
        <w:t xml:space="preserve">1. Resumen Ejecutivo</w:t>
      </w:r>
      <w:bookmarkEnd w:id="100000"/>
    </w:p>
    <w:p>
      <w:pPr>
        <w:spacing w:after="120" w:line="312"/>
        <w:jc w:val="both"/>
      </w:pPr>
      <w:r>
        <w:rPr>
          <w:rFonts w:ascii="Calibri" w:eastAsia="Noto Sans SC"/>
          <w:color w:val="000000"/>
          <w:sz w:val="24"/>
          <w:szCs w:val="24"/>
        </w:rPr>
        <w:t xml:space="preserve">Este informe presenta el resultado de una auditoría quirúrgica del aplicativo Marketplace Financial AI Engine, orientada a determinar por qué, tras meses de avances y retrocesos, el proyecto no logra madurar ni pasar a producción, y cuál es la vía más expedita y tecnológicamente resolutiva para lograrlo. La verificación se realizó el 26-08-2026 con cuatro agentes independientes que auditaron en paralelo la estructura del repositorio, la capa de certificación fiscal del marketplace Ripley, la validez de la auditoría previa del 12-08 y la salud de la suite de tests y del CI.</w:t>
      </w:r>
    </w:p>
    <w:p>
      <w:pPr>
        <w:spacing w:after="120" w:line="312"/>
        <w:jc w:val="both"/>
      </w:pPr>
      <w:r>
        <w:rPr>
          <w:rFonts w:ascii="Calibri" w:eastAsia="Noto Sans SC"/>
          <w:color w:val="000000"/>
          <w:sz w:val="24"/>
          <w:szCs w:val="24"/>
        </w:rPr>
        <w:t xml:space="preserve">La conclusión central es que el proyecto sí tiene avance real y verificable desde la última auditoría: el README fue corregido y ahora refleja la realidad, 32 scripts de parcheo fueron archivados con manifest, se activó una capa de trazabilidad tributaria honesta que declara a Ripley como BLOCKED, los 11 gates de integridad pasan y la base de datos oficial permanece estable con SHA-256 inmutable. Sin embargo, el “final feliz” sigue bloqueado por tres causas raíz: la certificación fiscal de Ripley sigue siendo ilusoria y el gate de tests la valida con la métrica equivocada; la gobernanza de versionado está rota, con cero commits desde el 23-07-2026 y todo el trabajo de remediación sin versionar; y la llave fiscal ripley_invoice_map no existe en la cadena oficial, mientras sus datos fuente fueron borrados del working tree.</w:t>
      </w:r>
    </w:p>
    <w:p>
      <w:pPr>
        <w:spacing w:after="120" w:line="312"/>
        <w:jc w:val="both"/>
      </w:pPr>
      <w:r>
        <w:rPr>
          <w:rFonts w:ascii="Calibri" w:eastAsia="Noto Sans SC"/>
          <w:color w:val="000000"/>
          <w:sz w:val="24"/>
          <w:szCs w:val="24"/>
        </w:rPr>
        <w:t xml:space="preserve">La vía recomendada se organiza en tres fases: blindar lo ganado (commitear todo, restaurar datos fuente, eliminar el script peligroso, archivar las DBs residuales), hacer honesto el gate de certificación (medir intersección real con dte_truth_v1, corregir rutas rotas, exponer Ripley como NO_CERTIFICABLE) y construir el puente fiscal real junto con un CI que efectivamente ejecute los gates. Ninguna de estas fases requiere refactorizaciones masivas; son acciones quirúrgicas de 1 a 2 semanas en total.</w:t>
      </w:r>
    </w:p>
    <w:p>
      <w:pPr>
        <w:pStyle w:val="Heading1"/>
        <w:spacing w:after="120" w:before="360"/>
      </w:pPr>
      <w:bookmarkStart w:id="100001" w:name="_Toc100001"/>
      <w:r>
        <w:rPr>
          <w:rFonts w:ascii="Calibri" w:eastAsia="Noto Sans SC"/>
          <w:b/>
          <w:bCs/>
          <w:color w:val="3A7A6E"/>
        </w:rPr>
        <w:t xml:space="preserve">2. Antecedentes y Objetivos</w:t>
      </w:r>
      <w:bookmarkEnd w:id="100001"/>
    </w:p>
    <w:p>
      <w:pPr>
        <w:spacing w:after="120" w:line="312"/>
        <w:jc w:val="both"/>
      </w:pPr>
      <w:r>
        <w:rPr>
          <w:rFonts w:ascii="Calibri" w:eastAsia="Noto Sans SC"/>
          <w:color w:val="000000"/>
          <w:sz w:val="24"/>
          <w:szCs w:val="24"/>
        </w:rPr>
        <w:t xml:space="preserve">Marketplace Financial AI Engine es un motor financiero multi-marketplace (MercadoLibre, Paris, Ripley y Falabella) construido sobre FastAPI y DuckDB, que procesa una cadena de Ledger, Clasificación, Truth, Reconciliación y Excepciones, expuesta en aproximadamente 86 rutas bajo /api/v4 y servida en paneles HTML desde templates/. La base de datos oficial meli_financial_v4.db contiene 37 tablas y 57 vistas con 598,112 filas de ledger y 287,417 filas correspondientes a Ripley.</w:t>
      </w:r>
    </w:p>
    <w:p>
      <w:pPr>
        <w:spacing w:after="120" w:line="312"/>
        <w:jc w:val="both"/>
      </w:pPr>
      <w:r>
        <w:rPr>
          <w:rFonts w:ascii="Calibri" w:eastAsia="Noto Sans SC"/>
          <w:color w:val="000000"/>
          <w:sz w:val="24"/>
          <w:szCs w:val="24"/>
        </w:rPr>
        <w:t xml:space="preserve">El problema que motiva esta auditoría es un patrón persistente de avances y retrocesos: el proyecto acumula múltiples campañas de corrección que nunca terminan de consolidarse en un estado estable de producción. La auditoría del 12-08-2026 identificó nueve cuellos de botella (B1 a B9). Este informe verifica el estado actual de cada uno de ellos con evidencia fresca, detecta hallazgos nuevos que ninguna auditoría previa reportó, y entrega una hoja de ruta accionable con responsables, acciones y plazos.</w:t>
      </w:r>
    </w:p>
    <w:p>
      <w:pPr>
        <w:spacing w:after="120" w:line="312"/>
        <w:jc w:val="both"/>
      </w:pPr>
      <w:r>
        <w:rPr>
          <w:rFonts w:ascii="Calibri" w:eastAsia="Noto Sans SC"/>
          <w:color w:val="000000"/>
          <w:sz w:val="24"/>
          <w:szCs w:val="24"/>
        </w:rPr>
        <w:t xml:space="preserve">El alcance de esta auditoría cubre cuatro dimensiones: coherencia entre documentación y estructura real del repositorio; la capa de certificación electrónica de Ripley y su métrica de cobertura; la validez de los diagnósticos previos mediante una revisión adversarial; y la confiabilidad de la suite de tests y del pipeline de integración continua. Queda fuera del alcance la revisión del código de negocio de los motores de conciliación, cuyo comportamiento financiero ya fue verificado en sesiones anteriores (delta $0.00 en certificaciones repetidas).</w:t>
      </w:r>
    </w:p>
    <w:p>
      <w:pPr>
        <w:pStyle w:val="Heading1"/>
        <w:spacing w:after="120" w:before="360"/>
      </w:pPr>
      <w:bookmarkStart w:id="100002" w:name="_Toc100002"/>
      <w:r>
        <w:rPr>
          <w:rFonts w:ascii="Calibri" w:eastAsia="Noto Sans SC"/>
          <w:b/>
          <w:bCs/>
          <w:color w:val="3A7A6E"/>
        </w:rPr>
        <w:t xml:space="preserve">3. Alcance, Fuentes y Metodología</w:t>
      </w:r>
      <w:bookmarkEnd w:id="100002"/>
    </w:p>
    <w:p>
      <w:pPr>
        <w:spacing w:after="120" w:line="312"/>
        <w:jc w:val="both"/>
      </w:pPr>
      <w:r>
        <w:rPr>
          <w:rFonts w:ascii="Calibri" w:eastAsia="Noto Sans SC"/>
          <w:color w:val="000000"/>
          <w:sz w:val="24"/>
          <w:szCs w:val="24"/>
        </w:rPr>
        <w:t xml:space="preserve">La metodología combinó cuatro perspectivas independientes ejecutadas en paralelo, con el objetivo de que cada hallazgo fuera verificado por más de un agente. La primera dimensión comparó el README contra la estructura real del repositorio, incluyendo el conteo de scripts de parcheo, archivos de base de datos y rutas hardcodeadas. La segunda dimensión ejecutó consultas SQL read-only sobre la base de datos oficial para medir la cadena de certificación: tablas dte_link_v1, dte_truth_v1, ripley_settlement_chain, v_ledger_certified y la existencia de ripley_invoice_map.</w:t>
      </w:r>
    </w:p>
    <w:p>
      <w:pPr>
        <w:spacing w:after="120" w:line="312"/>
        <w:jc w:val="both"/>
      </w:pPr>
      <w:r>
        <w:rPr>
          <w:rFonts w:ascii="Calibri" w:eastAsia="Noto Sans SC"/>
          <w:color w:val="000000"/>
          <w:sz w:val="24"/>
          <w:szCs w:val="24"/>
        </w:rPr>
        <w:t xml:space="preserve">La tercera dimensión fue adversarial: un agente dedicado intentó refutar los nueve cuellos de botella de la auditoría previa, contrastando cada afirmación contra el filesystem, el historial git y los paquetes de evidencia generados entre el 12-08 y el 18-08. La cuarta dimensión midió la suite de tests: conteo de colección, ejecución de subconjuntos, análisis del gate de certificación, configuración del CI y aislamiento de la base de datos en los fixtures.</w:t>
      </w:r>
    </w:p>
    <w:p>
      <w:pPr>
        <w:spacing w:after="120" w:line="312"/>
        <w:jc w:val="both"/>
      </w:pPr>
      <w:r>
        <w:rPr>
          <w:rFonts w:ascii="Calibri" w:eastAsia="Noto Sans SC"/>
          <w:color w:val="000000"/>
          <w:sz w:val="24"/>
          <w:szCs w:val="24"/>
        </w:rPr>
        <w:t xml:space="preserve">Todas las consultas se ejecutaron en modo lectura, sin modificar ningún archivo del proyecto. La base de datos fue abierta con DuckDB en read_only=True y su integridad fue verificada contra el SHA-256 de referencia 311c78e2b7471b3e227df68d17115f7147d9315fec0c3d6d9cace9ff73defdb9, idéntico al reportado en las certificaciones del 14-08 y 18-08, lo que confirma que la DB no fue mutada durante la auditoría.</w:t>
      </w:r>
    </w:p>
    <w:p>
      <w:pPr>
        <w:pStyle w:val="Heading1"/>
        <w:spacing w:after="120" w:before="360"/>
      </w:pPr>
      <w:bookmarkStart w:id="100003" w:name="_Toc100003"/>
      <w:r>
        <w:rPr>
          <w:rFonts w:ascii="Calibri" w:eastAsia="Noto Sans SC"/>
          <w:b/>
          <w:bCs/>
          <w:color w:val="3A7A6E"/>
        </w:rPr>
        <w:t xml:space="preserve">4. Hallazgos Centrales</w:t>
      </w:r>
      <w:bookmarkEnd w:id="100003"/>
    </w:p>
    <w:p>
      <w:pPr>
        <w:pStyle w:val="Heading2"/>
        <w:spacing w:after="120" w:before="240"/>
      </w:pPr>
      <w:bookmarkStart w:id="100004" w:name="_Toc100004"/>
      <w:r>
        <w:rPr>
          <w:rFonts w:ascii="Calibri" w:eastAsia="Noto Sans SC"/>
          <w:b/>
          <w:bCs/>
          <w:color w:val="3A7A6E"/>
        </w:rPr>
        <w:t xml:space="preserve">4.1 Estado de los nueve cuellos de botella de la auditoría del 12-08</w:t>
      </w:r>
      <w:bookmarkEnd w:id="100004"/>
    </w:p>
    <w:p>
      <w:pPr>
        <w:spacing w:after="120" w:line="312"/>
        <w:jc w:val="both"/>
      </w:pPr>
      <w:r>
        <w:rPr>
          <w:rFonts w:ascii="Calibri" w:eastAsia="Noto Sans SC"/>
          <w:color w:val="000000"/>
          <w:sz w:val="24"/>
          <w:szCs w:val="24"/>
        </w:rPr>
        <w:t xml:space="preserve">La verificación confirmó con números exactos la mayoría de los diagnósticos previos, pero también reveló que algunos fueron resueltos o caracterizados de forma imprecisa. La tabla siguiente resume el estado verificado al 26-08-2026.</w:t>
      </w:r>
    </w:p>
    <w:p>
      <w:pPr>
        <w:spacing w:after="200" w:before="100"/>
        <w:jc w:val="center"/>
      </w:pPr>
      <w:r>
        <w:rPr>
          <w:rFonts w:ascii="Calibri"/>
          <w:b/>
          <w:bCs/>
          <w:color w:val="404040"/>
          <w:sz w:val="20"/>
          <w:szCs w:val="20"/>
        </w:rPr>
        <w:t xml:space="preserve">Tabla 1: Estado de los cuellos de botella B1–B9 al 26-08-2026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cantSplit/>
          <w:tblHeader/>
        </w:trPr>
        <w:tc>
          <w:tcPr>
            <w:tcW w:type="pct" w:w="6%"/>
            <w:tcBorders>
              <w:top w:val="single" w:color="BECFCC" w:sz="4"/>
              <w:left w:val="single" w:color="BECFCC" w:sz="4"/>
              <w:bottom w:val="single" w:color="BECFCC" w:sz="4"/>
              <w:right w:val="single" w:color="BECFCC" w:sz="4"/>
            </w:tcBorders>
            <w:shd w:fill="3A7A6E" w:val="clear"/>
            <w:vAlign w:val="center"/>
          </w:tcPr>
          <w:p>
            <w:pPr>
              <w:spacing w:after="40"/>
              <w:jc w:val="center"/>
            </w:pPr>
            <w:r>
              <w:rPr>
                <w:rFonts w:ascii="Calibri"/>
                <w:b/>
                <w:bCs/>
                <w:color w:val="FFFFFF"/>
                <w:sz w:val="20"/>
                <w:szCs w:val="20"/>
              </w:rPr>
              <w:t xml:space="preserve">#</w:t>
            </w:r>
          </w:p>
        </w:tc>
        <w:tc>
          <w:tcPr>
            <w:tcW w:type="pct" w:w="26%"/>
            <w:tcBorders>
              <w:top w:val="single" w:color="BECFCC" w:sz="4"/>
              <w:left w:val="single" w:color="BECFCC" w:sz="4"/>
              <w:bottom w:val="single" w:color="BECFCC" w:sz="4"/>
              <w:right w:val="single" w:color="BECFCC" w:sz="4"/>
            </w:tcBorders>
            <w:shd w:fill="3A7A6E" w:val="clear"/>
            <w:vAlign w:val="center"/>
          </w:tcPr>
          <w:p>
            <w:pPr>
              <w:spacing w:after="40"/>
              <w:jc w:val="center"/>
            </w:pPr>
            <w:r>
              <w:rPr>
                <w:rFonts w:ascii="Calibri"/>
                <w:b/>
                <w:bCs/>
                <w:color w:val="FFFFFF"/>
                <w:sz w:val="20"/>
                <w:szCs w:val="20"/>
              </w:rPr>
              <w:t xml:space="preserve">Cuello de botella</w:t>
            </w:r>
          </w:p>
        </w:tc>
        <w:tc>
          <w:tcPr>
            <w:tcW w:type="pct" w:w="14%"/>
            <w:tcBorders>
              <w:top w:val="single" w:color="BECFCC" w:sz="4"/>
              <w:left w:val="single" w:color="BECFCC" w:sz="4"/>
              <w:bottom w:val="single" w:color="BECFCC" w:sz="4"/>
              <w:right w:val="single" w:color="BECFCC" w:sz="4"/>
            </w:tcBorders>
            <w:shd w:fill="3A7A6E" w:val="clear"/>
            <w:vAlign w:val="center"/>
          </w:tcPr>
          <w:p>
            <w:pPr>
              <w:spacing w:after="40"/>
              <w:jc w:val="center"/>
            </w:pPr>
            <w:r>
              <w:rPr>
                <w:rFonts w:ascii="Calibri"/>
                <w:b/>
                <w:bCs/>
                <w:color w:val="FFFFFF"/>
                <w:sz w:val="20"/>
                <w:szCs w:val="20"/>
              </w:rPr>
              <w:t xml:space="preserve">Estado 26-08</w:t>
            </w:r>
          </w:p>
        </w:tc>
        <w:tc>
          <w:tcPr>
            <w:tcW w:type="pct" w:w="54%"/>
            <w:tcBorders>
              <w:top w:val="single" w:color="BECFCC" w:sz="4"/>
              <w:left w:val="single" w:color="BECFCC" w:sz="4"/>
              <w:bottom w:val="single" w:color="BECFCC" w:sz="4"/>
              <w:right w:val="single" w:color="BECFCC" w:sz="4"/>
            </w:tcBorders>
            <w:shd w:fill="3A7A6E" w:val="clear"/>
            <w:vAlign w:val="center"/>
          </w:tcPr>
          <w:p>
            <w:pPr>
              <w:spacing w:after="40"/>
              <w:jc w:val="center"/>
            </w:pPr>
            <w:r>
              <w:rPr>
                <w:rFonts w:ascii="Calibri"/>
                <w:b/>
                <w:bCs/>
                <w:color w:val="FFFFFF"/>
                <w:sz w:val="20"/>
                <w:szCs w:val="20"/>
              </w:rPr>
              <w:t xml:space="preserve">Evidencia clave</w:t>
            </w:r>
          </w:p>
        </w:tc>
      </w:tr>
      <w:tr>
        <w:trPr>
          <w:cantSplit/>
        </w:trPr>
        <w:tc>
          <w:tcPr>
            <w:tcW w:type="pct" w:w="6%"/>
            <w:tcBorders>
              <w:top w:val="single" w:color="BECFCC" w:sz="4"/>
              <w:left w:val="single" w:color="BECFCC" w:sz="4"/>
              <w:bottom w:val="single" w:color="BECFCC" w:sz="4"/>
              <w:right w:val="single" w:color="BECFCC" w:sz="4"/>
            </w:tcBorders>
            <w:shd w:fill="E8ECEB" w:val="clear"/>
          </w:tcPr>
          <w:p>
            <w:pPr>
              <w:spacing w:after="40"/>
            </w:pPr>
            <w:r>
              <w:rPr>
                <w:rFonts w:ascii="Calibri" w:eastAsia="Noto Sans SC"/>
                <w:color w:val="000000"/>
                <w:sz w:val="20"/>
                <w:szCs w:val="20"/>
              </w:rPr>
              <w:t xml:space="preserve">B1</w:t>
            </w:r>
          </w:p>
        </w:tc>
        <w:tc>
          <w:tcPr>
            <w:tcW w:type="pct" w:w="26%"/>
            <w:tcBorders>
              <w:top w:val="single" w:color="BECFCC" w:sz="4"/>
              <w:left w:val="single" w:color="BECFCC" w:sz="4"/>
              <w:bottom w:val="single" w:color="BECFCC" w:sz="4"/>
              <w:right w:val="single" w:color="BECFCC" w:sz="4"/>
            </w:tcBorders>
            <w:shd w:fill="FFFFFF" w:val="clear"/>
          </w:tcPr>
          <w:p>
            <w:pPr>
              <w:spacing w:after="40"/>
            </w:pPr>
            <w:r>
              <w:rPr>
                <w:rFonts w:ascii="Calibri" w:eastAsia="Noto Sans SC"/>
                <w:color w:val="000000"/>
                <w:sz w:val="20"/>
                <w:szCs w:val="20"/>
              </w:rPr>
              <w:t xml:space="preserve">Certificación DTE circular (Ripley)</w:t>
            </w:r>
          </w:p>
        </w:tc>
        <w:tc>
          <w:tcPr>
            <w:tcW w:type="pct" w:w="14%"/>
            <w:tcBorders>
              <w:top w:val="single" w:color="BECFCC" w:sz="4"/>
              <w:left w:val="single" w:color="BECFCC" w:sz="4"/>
              <w:bottom w:val="single" w:color="BECFCC" w:sz="4"/>
              <w:right w:val="single" w:color="BECFCC" w:sz="4"/>
            </w:tcBorders>
            <w:shd w:fill="FFFFFF" w:val="clear"/>
          </w:tcPr>
          <w:p>
            <w:pPr>
              <w:spacing w:after="40"/>
            </w:pPr>
            <w:r>
              <w:rPr>
                <w:rFonts w:ascii="Calibri" w:eastAsia="Noto Sans SC"/>
                <w:color w:val="000000"/>
                <w:sz w:val="20"/>
                <w:szCs w:val="20"/>
              </w:rPr>
              <w:t xml:space="preserve">PERSISTE</w:t>
            </w:r>
          </w:p>
        </w:tc>
        <w:tc>
          <w:tcPr>
            <w:tcW w:type="pct" w:w="54%"/>
            <w:tcBorders>
              <w:top w:val="single" w:color="BECFCC" w:sz="4"/>
              <w:left w:val="single" w:color="BECFCC" w:sz="4"/>
              <w:bottom w:val="single" w:color="BECFCC" w:sz="4"/>
              <w:right w:val="single" w:color="BECFCC" w:sz="4"/>
            </w:tcBorders>
            <w:shd w:fill="FFFFFF" w:val="clear"/>
          </w:tcPr>
          <w:p>
            <w:pPr>
              <w:spacing w:after="40"/>
            </w:pPr>
            <w:r>
              <w:rPr>
                <w:rFonts w:ascii="Calibri" w:eastAsia="Noto Sans SC"/>
                <w:color w:val="000000"/>
                <w:sz w:val="20"/>
                <w:szCs w:val="20"/>
              </w:rPr>
              <w:t xml:space="preserve">210,232 links LEDGER_EXISTING; intersección truth∩link = 0; gate mide folio_xml (refs de liquidación)</w:t>
            </w:r>
          </w:p>
        </w:tc>
      </w:tr>
      <w:tr>
        <w:trPr>
          <w:cantSplit/>
        </w:trPr>
        <w:tc>
          <w:tcPr>
            <w:tcW w:type="pct" w:w="6%"/>
            <w:tcBorders>
              <w:top w:val="single" w:color="BECFCC" w:sz="4"/>
              <w:left w:val="single" w:color="BECFCC" w:sz="4"/>
              <w:bottom w:val="single" w:color="BECFCC" w:sz="4"/>
              <w:right w:val="single" w:color="BECFCC" w:sz="4"/>
            </w:tcBorders>
            <w:shd w:fill="E8ECEB" w:val="clear"/>
          </w:tcPr>
          <w:p>
            <w:pPr>
              <w:spacing w:after="40"/>
            </w:pPr>
            <w:r>
              <w:rPr>
                <w:rFonts w:ascii="Calibri" w:eastAsia="Noto Sans SC"/>
                <w:color w:val="000000"/>
                <w:sz w:val="20"/>
                <w:szCs w:val="20"/>
              </w:rPr>
              <w:t xml:space="preserve">B2</w:t>
            </w:r>
          </w:p>
        </w:tc>
        <w:tc>
          <w:tcPr>
            <w:tcW w:type="pct" w:w="26%"/>
            <w:tcBorders>
              <w:top w:val="single" w:color="BECFCC" w:sz="4"/>
              <w:left w:val="single" w:color="BECFCC" w:sz="4"/>
              <w:bottom w:val="single" w:color="BECFCC" w:sz="4"/>
              <w:right w:val="single" w:color="BECFCC" w:sz="4"/>
            </w:tcBorders>
            <w:shd w:fill="FFFFFF" w:val="clear"/>
          </w:tcPr>
          <w:p>
            <w:pPr>
              <w:spacing w:after="40"/>
            </w:pPr>
            <w:r>
              <w:rPr>
                <w:rFonts w:ascii="Calibri" w:eastAsia="Noto Sans SC"/>
                <w:color w:val="000000"/>
                <w:sz w:val="20"/>
                <w:szCs w:val="20"/>
              </w:rPr>
              <w:t xml:space="preserve">Falta ripley_invoice_map</w:t>
            </w:r>
          </w:p>
        </w:tc>
        <w:tc>
          <w:tcPr>
            <w:tcW w:type="pct" w:w="14%"/>
            <w:tcBorders>
              <w:top w:val="single" w:color="BECFCC" w:sz="4"/>
              <w:left w:val="single" w:color="BECFCC" w:sz="4"/>
              <w:bottom w:val="single" w:color="BECFCC" w:sz="4"/>
              <w:right w:val="single" w:color="BECFCC" w:sz="4"/>
            </w:tcBorders>
            <w:shd w:fill="FFFFFF" w:val="clear"/>
          </w:tcPr>
          <w:p>
            <w:pPr>
              <w:spacing w:after="40"/>
            </w:pPr>
            <w:r>
              <w:rPr>
                <w:rFonts w:ascii="Calibri" w:eastAsia="Noto Sans SC"/>
                <w:color w:val="000000"/>
                <w:sz w:val="20"/>
                <w:szCs w:val="20"/>
              </w:rPr>
              <w:t xml:space="preserve">PERSISTE + AGRAVADO</w:t>
            </w:r>
          </w:p>
        </w:tc>
        <w:tc>
          <w:tcPr>
            <w:tcW w:type="pct" w:w="54%"/>
            <w:tcBorders>
              <w:top w:val="single" w:color="BECFCC" w:sz="4"/>
              <w:left w:val="single" w:color="BECFCC" w:sz="4"/>
              <w:bottom w:val="single" w:color="BECFCC" w:sz="4"/>
              <w:right w:val="single" w:color="BECFCC" w:sz="4"/>
            </w:tcBorders>
            <w:shd w:fill="FFFFFF" w:val="clear"/>
          </w:tcPr>
          <w:p>
            <w:pPr>
              <w:spacing w:after="40"/>
            </w:pPr>
            <w:r>
              <w:rPr>
                <w:rFonts w:ascii="Calibri" w:eastAsia="Noto Sans SC"/>
                <w:color w:val="000000"/>
                <w:sz w:val="20"/>
                <w:szCs w:val="20"/>
              </w:rPr>
              <w:t xml:space="preserve">No existe en DB principal; CSVs de ciclos de facturación borrados del working tree</w:t>
            </w:r>
          </w:p>
        </w:tc>
      </w:tr>
      <w:tr>
        <w:trPr>
          <w:cantSplit/>
        </w:trPr>
        <w:tc>
          <w:tcPr>
            <w:tcW w:type="pct" w:w="6%"/>
            <w:tcBorders>
              <w:top w:val="single" w:color="BECFCC" w:sz="4"/>
              <w:left w:val="single" w:color="BECFCC" w:sz="4"/>
              <w:bottom w:val="single" w:color="BECFCC" w:sz="4"/>
              <w:right w:val="single" w:color="BECFCC" w:sz="4"/>
            </w:tcBorders>
            <w:shd w:fill="E8ECEB" w:val="clear"/>
          </w:tcPr>
          <w:p>
            <w:pPr>
              <w:spacing w:after="40"/>
            </w:pPr>
            <w:r>
              <w:rPr>
                <w:rFonts w:ascii="Calibri" w:eastAsia="Noto Sans SC"/>
                <w:color w:val="000000"/>
                <w:sz w:val="20"/>
                <w:szCs w:val="20"/>
              </w:rPr>
              <w:t xml:space="preserve">B3</w:t>
            </w:r>
          </w:p>
        </w:tc>
        <w:tc>
          <w:tcPr>
            <w:tcW w:type="pct" w:w="26%"/>
            <w:tcBorders>
              <w:top w:val="single" w:color="BECFCC" w:sz="4"/>
              <w:left w:val="single" w:color="BECFCC" w:sz="4"/>
              <w:bottom w:val="single" w:color="BECFCC" w:sz="4"/>
              <w:right w:val="single" w:color="BECFCC" w:sz="4"/>
            </w:tcBorders>
            <w:shd w:fill="FFFFFF" w:val="clear"/>
          </w:tcPr>
          <w:p>
            <w:pPr>
              <w:spacing w:after="40"/>
            </w:pPr>
            <w:r>
              <w:rPr>
                <w:rFonts w:ascii="Calibri" w:eastAsia="Noto Sans SC"/>
                <w:color w:val="000000"/>
                <w:sz w:val="20"/>
                <w:szCs w:val="20"/>
              </w:rPr>
              <w:t xml:space="preserve">Deriva README vs realidad</w:t>
            </w:r>
          </w:p>
        </w:tc>
        <w:tc>
          <w:tcPr>
            <w:tcW w:type="pct" w:w="14%"/>
            <w:tcBorders>
              <w:top w:val="single" w:color="BECFCC" w:sz="4"/>
              <w:left w:val="single" w:color="BECFCC" w:sz="4"/>
              <w:bottom w:val="single" w:color="BECFCC" w:sz="4"/>
              <w:right w:val="single" w:color="BECFCC" w:sz="4"/>
            </w:tcBorders>
            <w:shd w:fill="FFFFFF" w:val="clear"/>
          </w:tcPr>
          <w:p>
            <w:pPr>
              <w:spacing w:after="40"/>
            </w:pPr>
            <w:r>
              <w:rPr>
                <w:rFonts w:ascii="Calibri" w:eastAsia="Noto Sans SC"/>
                <w:color w:val="000000"/>
                <w:sz w:val="20"/>
                <w:szCs w:val="20"/>
              </w:rPr>
              <w:t xml:space="preserve">RESUELTO</w:t>
            </w:r>
          </w:p>
        </w:tc>
        <w:tc>
          <w:tcPr>
            <w:tcW w:type="pct" w:w="54%"/>
            <w:tcBorders>
              <w:top w:val="single" w:color="BECFCC" w:sz="4"/>
              <w:left w:val="single" w:color="BECFCC" w:sz="4"/>
              <w:bottom w:val="single" w:color="BECFCC" w:sz="4"/>
              <w:right w:val="single" w:color="BECFCC" w:sz="4"/>
            </w:tcBorders>
            <w:shd w:fill="FFFFFF" w:val="clear"/>
          </w:tcPr>
          <w:p>
            <w:pPr>
              <w:spacing w:after="40"/>
            </w:pPr>
            <w:r>
              <w:rPr>
                <w:rFonts w:ascii="Calibri" w:eastAsia="Noto Sans SC"/>
                <w:color w:val="000000"/>
                <w:sz w:val="20"/>
                <w:szCs w:val="20"/>
              </w:rPr>
              <w:t xml:space="preserve">README reescrito el 12-08; declara templates/ y meli_financial_v4.db</w:t>
            </w:r>
          </w:p>
        </w:tc>
      </w:tr>
      <w:tr>
        <w:trPr>
          <w:cantSplit/>
        </w:trPr>
        <w:tc>
          <w:tcPr>
            <w:tcW w:type="pct" w:w="6%"/>
            <w:tcBorders>
              <w:top w:val="single" w:color="BECFCC" w:sz="4"/>
              <w:left w:val="single" w:color="BECFCC" w:sz="4"/>
              <w:bottom w:val="single" w:color="BECFCC" w:sz="4"/>
              <w:right w:val="single" w:color="BECFCC" w:sz="4"/>
            </w:tcBorders>
            <w:shd w:fill="E8ECEB" w:val="clear"/>
          </w:tcPr>
          <w:p>
            <w:pPr>
              <w:spacing w:after="40"/>
            </w:pPr>
            <w:r>
              <w:rPr>
                <w:rFonts w:ascii="Calibri" w:eastAsia="Noto Sans SC"/>
                <w:color w:val="000000"/>
                <w:sz w:val="20"/>
                <w:szCs w:val="20"/>
              </w:rPr>
              <w:t xml:space="preserve">B4</w:t>
            </w:r>
          </w:p>
        </w:tc>
        <w:tc>
          <w:tcPr>
            <w:tcW w:type="pct" w:w="26%"/>
            <w:tcBorders>
              <w:top w:val="single" w:color="BECFCC" w:sz="4"/>
              <w:left w:val="single" w:color="BECFCC" w:sz="4"/>
              <w:bottom w:val="single" w:color="BECFCC" w:sz="4"/>
              <w:right w:val="single" w:color="BECFCC" w:sz="4"/>
            </w:tcBorders>
            <w:shd w:fill="FFFFFF" w:val="clear"/>
          </w:tcPr>
          <w:p>
            <w:pPr>
              <w:spacing w:after="40"/>
            </w:pPr>
            <w:r>
              <w:rPr>
                <w:rFonts w:ascii="Calibri" w:eastAsia="Noto Sans SC"/>
                <w:color w:val="000000"/>
                <w:sz w:val="20"/>
                <w:szCs w:val="20"/>
              </w:rPr>
              <w:t xml:space="preserve">Sin build frontend</w:t>
            </w:r>
          </w:p>
        </w:tc>
        <w:tc>
          <w:tcPr>
            <w:tcW w:type="pct" w:w="14%"/>
            <w:tcBorders>
              <w:top w:val="single" w:color="BECFCC" w:sz="4"/>
              <w:left w:val="single" w:color="BECFCC" w:sz="4"/>
              <w:bottom w:val="single" w:color="BECFCC" w:sz="4"/>
              <w:right w:val="single" w:color="BECFCC" w:sz="4"/>
            </w:tcBorders>
            <w:shd w:fill="FFFFFF" w:val="clear"/>
          </w:tcPr>
          <w:p>
            <w:pPr>
              <w:spacing w:after="40"/>
            </w:pPr>
            <w:r>
              <w:rPr>
                <w:rFonts w:ascii="Calibri" w:eastAsia="Noto Sans SC"/>
                <w:color w:val="000000"/>
                <w:sz w:val="20"/>
                <w:szCs w:val="20"/>
              </w:rPr>
              <w:t xml:space="preserve">RESUELTO por alcance</w:t>
            </w:r>
          </w:p>
        </w:tc>
        <w:tc>
          <w:tcPr>
            <w:tcW w:type="pct" w:w="54%"/>
            <w:tcBorders>
              <w:top w:val="single" w:color="BECFCC" w:sz="4"/>
              <w:left w:val="single" w:color="BECFCC" w:sz="4"/>
              <w:bottom w:val="single" w:color="BECFCC" w:sz="4"/>
              <w:right w:val="single" w:color="BECFCC" w:sz="4"/>
            </w:tcBorders>
            <w:shd w:fill="FFFFFF" w:val="clear"/>
          </w:tcPr>
          <w:p>
            <w:pPr>
              <w:spacing w:after="40"/>
            </w:pPr>
            <w:r>
              <w:rPr>
                <w:rFonts w:ascii="Calibri" w:eastAsia="Noto Sans SC"/>
                <w:color w:val="000000"/>
                <w:sz w:val="20"/>
                <w:szCs w:val="20"/>
              </w:rPr>
              <w:t xml:space="preserve">UI server-side en templates/ es la UI desplegable; FIX-1/2 del 18-08</w:t>
            </w:r>
          </w:p>
        </w:tc>
      </w:tr>
      <w:tr>
        <w:trPr>
          <w:cantSplit/>
        </w:trPr>
        <w:tc>
          <w:tcPr>
            <w:tcW w:type="pct" w:w="6%"/>
            <w:tcBorders>
              <w:top w:val="single" w:color="BECFCC" w:sz="4"/>
              <w:left w:val="single" w:color="BECFCC" w:sz="4"/>
              <w:bottom w:val="single" w:color="BECFCC" w:sz="4"/>
              <w:right w:val="single" w:color="BECFCC" w:sz="4"/>
            </w:tcBorders>
            <w:shd w:fill="E8ECEB" w:val="clear"/>
          </w:tcPr>
          <w:p>
            <w:pPr>
              <w:spacing w:after="40"/>
            </w:pPr>
            <w:r>
              <w:rPr>
                <w:rFonts w:ascii="Calibri" w:eastAsia="Noto Sans SC"/>
                <w:color w:val="000000"/>
                <w:sz w:val="20"/>
                <w:szCs w:val="20"/>
              </w:rPr>
              <w:t xml:space="preserve">B5</w:t>
            </w:r>
          </w:p>
        </w:tc>
        <w:tc>
          <w:tcPr>
            <w:tcW w:type="pct" w:w="26%"/>
            <w:tcBorders>
              <w:top w:val="single" w:color="BECFCC" w:sz="4"/>
              <w:left w:val="single" w:color="BECFCC" w:sz="4"/>
              <w:bottom w:val="single" w:color="BECFCC" w:sz="4"/>
              <w:right w:val="single" w:color="BECFCC" w:sz="4"/>
            </w:tcBorders>
            <w:shd w:fill="FFFFFF" w:val="clear"/>
          </w:tcPr>
          <w:p>
            <w:pPr>
              <w:spacing w:after="40"/>
            </w:pPr>
            <w:r>
              <w:rPr>
                <w:rFonts w:ascii="Calibri" w:eastAsia="Noto Sans SC"/>
                <w:color w:val="000000"/>
                <w:sz w:val="20"/>
                <w:szCs w:val="20"/>
              </w:rPr>
              <w:t xml:space="preserve">Scripts de parcheo</w:t>
            </w:r>
          </w:p>
        </w:tc>
        <w:tc>
          <w:tcPr>
            <w:tcW w:type="pct" w:w="14%"/>
            <w:tcBorders>
              <w:top w:val="single" w:color="BECFCC" w:sz="4"/>
              <w:left w:val="single" w:color="BECFCC" w:sz="4"/>
              <w:bottom w:val="single" w:color="BECFCC" w:sz="4"/>
              <w:right w:val="single" w:color="BECFCC" w:sz="4"/>
            </w:tcBorders>
            <w:shd w:fill="FFFFFF" w:val="clear"/>
          </w:tcPr>
          <w:p>
            <w:pPr>
              <w:spacing w:after="40"/>
            </w:pPr>
            <w:r>
              <w:rPr>
                <w:rFonts w:ascii="Calibri" w:eastAsia="Noto Sans SC"/>
                <w:color w:val="000000"/>
                <w:sz w:val="20"/>
                <w:szCs w:val="20"/>
              </w:rPr>
              <w:t xml:space="preserve">PARCIAL</w:t>
            </w:r>
          </w:p>
        </w:tc>
        <w:tc>
          <w:tcPr>
            <w:tcW w:type="pct" w:w="54%"/>
            <w:tcBorders>
              <w:top w:val="single" w:color="BECFCC" w:sz="4"/>
              <w:left w:val="single" w:color="BECFCC" w:sz="4"/>
              <w:bottom w:val="single" w:color="BECFCC" w:sz="4"/>
              <w:right w:val="single" w:color="BECFCC" w:sz="4"/>
            </w:tcBorders>
            <w:shd w:fill="FFFFFF" w:val="clear"/>
          </w:tcPr>
          <w:p>
            <w:pPr>
              <w:spacing w:after="40"/>
            </w:pPr>
            <w:r>
              <w:rPr>
                <w:rFonts w:ascii="Calibri" w:eastAsia="Noto Sans SC"/>
                <w:color w:val="000000"/>
                <w:sz w:val="20"/>
                <w:szCs w:val="20"/>
              </w:rPr>
              <w:t xml:space="preserve">32 archivados con manifest; queda paris_v2_backfill.py (DANGEROUS); nada commiteado</w:t>
            </w:r>
          </w:p>
        </w:tc>
      </w:tr>
      <w:tr>
        <w:trPr>
          <w:cantSplit/>
        </w:trPr>
        <w:tc>
          <w:tcPr>
            <w:tcW w:type="pct" w:w="6%"/>
            <w:tcBorders>
              <w:top w:val="single" w:color="BECFCC" w:sz="4"/>
              <w:left w:val="single" w:color="BECFCC" w:sz="4"/>
              <w:bottom w:val="single" w:color="BECFCC" w:sz="4"/>
              <w:right w:val="single" w:color="BECFCC" w:sz="4"/>
            </w:tcBorders>
            <w:shd w:fill="E8ECEB" w:val="clear"/>
          </w:tcPr>
          <w:p>
            <w:pPr>
              <w:spacing w:after="40"/>
            </w:pPr>
            <w:r>
              <w:rPr>
                <w:rFonts w:ascii="Calibri" w:eastAsia="Noto Sans SC"/>
                <w:color w:val="000000"/>
                <w:sz w:val="20"/>
                <w:szCs w:val="20"/>
              </w:rPr>
              <w:t xml:space="preserve">B6</w:t>
            </w:r>
          </w:p>
        </w:tc>
        <w:tc>
          <w:tcPr>
            <w:tcW w:type="pct" w:w="26%"/>
            <w:tcBorders>
              <w:top w:val="single" w:color="BECFCC" w:sz="4"/>
              <w:left w:val="single" w:color="BECFCC" w:sz="4"/>
              <w:bottom w:val="single" w:color="BECFCC" w:sz="4"/>
              <w:right w:val="single" w:color="BECFCC" w:sz="4"/>
            </w:tcBorders>
            <w:shd w:fill="FFFFFF" w:val="clear"/>
          </w:tcPr>
          <w:p>
            <w:pPr>
              <w:spacing w:after="40"/>
            </w:pPr>
            <w:r>
              <w:rPr>
                <w:rFonts w:ascii="Calibri" w:eastAsia="Noto Sans SC"/>
                <w:color w:val="000000"/>
                <w:sz w:val="20"/>
                <w:szCs w:val="20"/>
              </w:rPr>
              <w:t xml:space="preserve">Multiplicidad de DB</w:t>
            </w:r>
          </w:p>
        </w:tc>
        <w:tc>
          <w:tcPr>
            <w:tcW w:type="pct" w:w="14%"/>
            <w:tcBorders>
              <w:top w:val="single" w:color="BECFCC" w:sz="4"/>
              <w:left w:val="single" w:color="BECFCC" w:sz="4"/>
              <w:bottom w:val="single" w:color="BECFCC" w:sz="4"/>
              <w:right w:val="single" w:color="BECFCC" w:sz="4"/>
            </w:tcBorders>
            <w:shd w:fill="FFFFFF" w:val="clear"/>
          </w:tcPr>
          <w:p>
            <w:pPr>
              <w:spacing w:after="40"/>
            </w:pPr>
            <w:r>
              <w:rPr>
                <w:rFonts w:ascii="Calibri" w:eastAsia="Noto Sans SC"/>
                <w:color w:val="000000"/>
                <w:sz w:val="20"/>
                <w:szCs w:val="20"/>
              </w:rPr>
              <w:t xml:space="preserve">PERSISTE</w:t>
            </w:r>
          </w:p>
        </w:tc>
        <w:tc>
          <w:tcPr>
            <w:tcW w:type="pct" w:w="54%"/>
            <w:tcBorders>
              <w:top w:val="single" w:color="BECFCC" w:sz="4"/>
              <w:left w:val="single" w:color="BECFCC" w:sz="4"/>
              <w:bottom w:val="single" w:color="BECFCC" w:sz="4"/>
              <w:right w:val="single" w:color="BECFCC" w:sz="4"/>
            </w:tcBorders>
            <w:shd w:fill="FFFFFF" w:val="clear"/>
          </w:tcPr>
          <w:p>
            <w:pPr>
              <w:spacing w:after="40"/>
            </w:pPr>
            <w:r>
              <w:rPr>
                <w:rFonts w:ascii="Calibri" w:eastAsia="Noto Sans SC"/>
                <w:color w:val="000000"/>
                <w:sz w:val="20"/>
                <w:szCs w:val="20"/>
              </w:rPr>
              <w:t xml:space="preserve">25 .db + 2 .bak recursivos + 37 subdirectorios; basura nueva tmp_f4_v8 el 18-08</w:t>
            </w:r>
          </w:p>
        </w:tc>
      </w:tr>
      <w:tr>
        <w:trPr>
          <w:cantSplit/>
        </w:trPr>
        <w:tc>
          <w:tcPr>
            <w:tcW w:type="pct" w:w="6%"/>
            <w:tcBorders>
              <w:top w:val="single" w:color="BECFCC" w:sz="4"/>
              <w:left w:val="single" w:color="BECFCC" w:sz="4"/>
              <w:bottom w:val="single" w:color="BECFCC" w:sz="4"/>
              <w:right w:val="single" w:color="BECFCC" w:sz="4"/>
            </w:tcBorders>
            <w:shd w:fill="E8ECEB" w:val="clear"/>
          </w:tcPr>
          <w:p>
            <w:pPr>
              <w:spacing w:after="40"/>
            </w:pPr>
            <w:r>
              <w:rPr>
                <w:rFonts w:ascii="Calibri" w:eastAsia="Noto Sans SC"/>
                <w:color w:val="000000"/>
                <w:sz w:val="20"/>
                <w:szCs w:val="20"/>
              </w:rPr>
              <w:t xml:space="preserve">B7</w:t>
            </w:r>
          </w:p>
        </w:tc>
        <w:tc>
          <w:tcPr>
            <w:tcW w:type="pct" w:w="26%"/>
            <w:tcBorders>
              <w:top w:val="single" w:color="BECFCC" w:sz="4"/>
              <w:left w:val="single" w:color="BECFCC" w:sz="4"/>
              <w:bottom w:val="single" w:color="BECFCC" w:sz="4"/>
              <w:right w:val="single" w:color="BECFCC" w:sz="4"/>
            </w:tcBorders>
            <w:shd w:fill="FFFFFF" w:val="clear"/>
          </w:tcPr>
          <w:p>
            <w:pPr>
              <w:spacing w:after="40"/>
            </w:pPr>
            <w:r>
              <w:rPr>
                <w:rFonts w:ascii="Calibri" w:eastAsia="Noto Sans SC"/>
                <w:color w:val="000000"/>
                <w:sz w:val="20"/>
                <w:szCs w:val="20"/>
              </w:rPr>
              <w:t xml:space="preserve">Suite de tests lenta</w:t>
            </w:r>
          </w:p>
        </w:tc>
        <w:tc>
          <w:tcPr>
            <w:tcW w:type="pct" w:w="14%"/>
            <w:tcBorders>
              <w:top w:val="single" w:color="BECFCC" w:sz="4"/>
              <w:left w:val="single" w:color="BECFCC" w:sz="4"/>
              <w:bottom w:val="single" w:color="BECFCC" w:sz="4"/>
              <w:right w:val="single" w:color="BECFCC" w:sz="4"/>
            </w:tcBorders>
            <w:shd w:fill="FFFFFF" w:val="clear"/>
          </w:tcPr>
          <w:p>
            <w:pPr>
              <w:spacing w:after="40"/>
            </w:pPr>
            <w:r>
              <w:rPr>
                <w:rFonts w:ascii="Calibri" w:eastAsia="Noto Sans SC"/>
                <w:color w:val="000000"/>
                <w:sz w:val="20"/>
                <w:szCs w:val="20"/>
              </w:rPr>
              <w:t xml:space="preserve">REFUTADO en caracterización</w:t>
            </w:r>
          </w:p>
        </w:tc>
        <w:tc>
          <w:tcPr>
            <w:tcW w:type="pct" w:w="54%"/>
            <w:tcBorders>
              <w:top w:val="single" w:color="BECFCC" w:sz="4"/>
              <w:left w:val="single" w:color="BECFCC" w:sz="4"/>
              <w:bottom w:val="single" w:color="BECFCC" w:sz="4"/>
              <w:right w:val="single" w:color="BECFCC" w:sz="4"/>
            </w:tcBorders>
            <w:shd w:fill="FFFFFF" w:val="clear"/>
          </w:tcPr>
          <w:p>
            <w:pPr>
              <w:spacing w:after="40"/>
            </w:pPr>
            <w:r>
              <w:rPr>
                <w:rFonts w:ascii="Calibri" w:eastAsia="Noto Sans SC"/>
                <w:color w:val="000000"/>
                <w:sz w:val="20"/>
                <w:szCs w:val="20"/>
              </w:rPr>
              <w:t xml:space="preserve">1106 tests en ~7 s; pero 38 fallos baseline persistentes (22 en test_loop_control)</w:t>
            </w:r>
          </w:p>
        </w:tc>
      </w:tr>
      <w:tr>
        <w:trPr>
          <w:cantSplit/>
        </w:trPr>
        <w:tc>
          <w:tcPr>
            <w:tcW w:type="pct" w:w="6%"/>
            <w:tcBorders>
              <w:top w:val="single" w:color="BECFCC" w:sz="4"/>
              <w:left w:val="single" w:color="BECFCC" w:sz="4"/>
              <w:bottom w:val="single" w:color="BECFCC" w:sz="4"/>
              <w:right w:val="single" w:color="BECFCC" w:sz="4"/>
            </w:tcBorders>
            <w:shd w:fill="E8ECEB" w:val="clear"/>
          </w:tcPr>
          <w:p>
            <w:pPr>
              <w:spacing w:after="40"/>
            </w:pPr>
            <w:r>
              <w:rPr>
                <w:rFonts w:ascii="Calibri" w:eastAsia="Noto Sans SC"/>
                <w:color w:val="000000"/>
                <w:sz w:val="20"/>
                <w:szCs w:val="20"/>
              </w:rPr>
              <w:t xml:space="preserve">B8</w:t>
            </w:r>
          </w:p>
        </w:tc>
        <w:tc>
          <w:tcPr>
            <w:tcW w:type="pct" w:w="26%"/>
            <w:tcBorders>
              <w:top w:val="single" w:color="BECFCC" w:sz="4"/>
              <w:left w:val="single" w:color="BECFCC" w:sz="4"/>
              <w:bottom w:val="single" w:color="BECFCC" w:sz="4"/>
              <w:right w:val="single" w:color="BECFCC" w:sz="4"/>
            </w:tcBorders>
            <w:shd w:fill="FFFFFF" w:val="clear"/>
          </w:tcPr>
          <w:p>
            <w:pPr>
              <w:spacing w:after="40"/>
            </w:pPr>
            <w:r>
              <w:rPr>
                <w:rFonts w:ascii="Calibri" w:eastAsia="Noto Sans SC"/>
                <w:color w:val="000000"/>
                <w:sz w:val="20"/>
                <w:szCs w:val="20"/>
              </w:rPr>
              <w:t xml:space="preserve">Paths hardcodeados</w:t>
            </w:r>
          </w:p>
        </w:tc>
        <w:tc>
          <w:tcPr>
            <w:tcW w:type="pct" w:w="14%"/>
            <w:tcBorders>
              <w:top w:val="single" w:color="BECFCC" w:sz="4"/>
              <w:left w:val="single" w:color="BECFCC" w:sz="4"/>
              <w:bottom w:val="single" w:color="BECFCC" w:sz="4"/>
              <w:right w:val="single" w:color="BECFCC" w:sz="4"/>
            </w:tcBorders>
            <w:shd w:fill="FFFFFF" w:val="clear"/>
          </w:tcPr>
          <w:p>
            <w:pPr>
              <w:spacing w:after="40"/>
            </w:pPr>
            <w:r>
              <w:rPr>
                <w:rFonts w:ascii="Calibri" w:eastAsia="Noto Sans SC"/>
                <w:color w:val="000000"/>
                <w:sz w:val="20"/>
                <w:szCs w:val="20"/>
              </w:rPr>
              <w:t xml:space="preserve">PARCIAL</w:t>
            </w:r>
          </w:p>
        </w:tc>
        <w:tc>
          <w:tcPr>
            <w:tcW w:type="pct" w:w="54%"/>
            <w:tcBorders>
              <w:top w:val="single" w:color="BECFCC" w:sz="4"/>
              <w:left w:val="single" w:color="BECFCC" w:sz="4"/>
              <w:bottom w:val="single" w:color="BECFCC" w:sz="4"/>
              <w:right w:val="single" w:color="BECFCC" w:sz="4"/>
            </w:tcBorders>
            <w:shd w:fill="FFFFFF" w:val="clear"/>
          </w:tcPr>
          <w:p>
            <w:pPr>
              <w:spacing w:after="40"/>
            </w:pPr>
            <w:r>
              <w:rPr>
                <w:rFonts w:ascii="Calibri" w:eastAsia="Noto Sans SC"/>
                <w:color w:val="000000"/>
                <w:sz w:val="20"/>
                <w:szCs w:val="20"/>
              </w:rPr>
              <w:t xml:space="preserve">surgical_loader.py resuelto (MF_PROJECT_ROOT); database.py:12 persiste</w:t>
            </w:r>
          </w:p>
        </w:tc>
      </w:tr>
      <w:tr>
        <w:trPr>
          <w:cantSplit/>
        </w:trPr>
        <w:tc>
          <w:tcPr>
            <w:tcW w:type="pct" w:w="6%"/>
            <w:tcBorders>
              <w:top w:val="single" w:color="BECFCC" w:sz="4"/>
              <w:left w:val="single" w:color="BECFCC" w:sz="4"/>
              <w:bottom w:val="single" w:color="BECFCC" w:sz="4"/>
              <w:right w:val="single" w:color="BECFCC" w:sz="4"/>
            </w:tcBorders>
            <w:shd w:fill="E8ECEB" w:val="clear"/>
          </w:tcPr>
          <w:p>
            <w:pPr>
              <w:spacing w:after="40"/>
            </w:pPr>
            <w:r>
              <w:rPr>
                <w:rFonts w:ascii="Calibri" w:eastAsia="Noto Sans SC"/>
                <w:color w:val="000000"/>
                <w:sz w:val="20"/>
                <w:szCs w:val="20"/>
              </w:rPr>
              <w:t xml:space="preserve">B9</w:t>
            </w:r>
          </w:p>
        </w:tc>
        <w:tc>
          <w:tcPr>
            <w:tcW w:type="pct" w:w="26%"/>
            <w:tcBorders>
              <w:top w:val="single" w:color="BECFCC" w:sz="4"/>
              <w:left w:val="single" w:color="BECFCC" w:sz="4"/>
              <w:bottom w:val="single" w:color="BECFCC" w:sz="4"/>
              <w:right w:val="single" w:color="BECFCC" w:sz="4"/>
            </w:tcBorders>
            <w:shd w:fill="FFFFFF" w:val="clear"/>
          </w:tcPr>
          <w:p>
            <w:pPr>
              <w:spacing w:after="40"/>
            </w:pPr>
            <w:r>
              <w:rPr>
                <w:rFonts w:ascii="Calibri" w:eastAsia="Noto Sans SC"/>
                <w:color w:val="000000"/>
                <w:sz w:val="20"/>
                <w:szCs w:val="20"/>
              </w:rPr>
              <w:t xml:space="preserve">Tablas Ripley superpuestas</w:t>
            </w:r>
          </w:p>
        </w:tc>
        <w:tc>
          <w:tcPr>
            <w:tcW w:type="pct" w:w="14%"/>
            <w:tcBorders>
              <w:top w:val="single" w:color="BECFCC" w:sz="4"/>
              <w:left w:val="single" w:color="BECFCC" w:sz="4"/>
              <w:bottom w:val="single" w:color="BECFCC" w:sz="4"/>
              <w:right w:val="single" w:color="BECFCC" w:sz="4"/>
            </w:tcBorders>
            <w:shd w:fill="FFFFFF" w:val="clear"/>
          </w:tcPr>
          <w:p>
            <w:pPr>
              <w:spacing w:after="40"/>
            </w:pPr>
            <w:r>
              <w:rPr>
                <w:rFonts w:ascii="Calibri" w:eastAsia="Noto Sans SC"/>
                <w:color w:val="000000"/>
                <w:sz w:val="20"/>
                <w:szCs w:val="20"/>
              </w:rPr>
              <w:t xml:space="preserve">PERSISTE</w:t>
            </w:r>
          </w:p>
        </w:tc>
        <w:tc>
          <w:tcPr>
            <w:tcW w:type="pct" w:w="54%"/>
            <w:tcBorders>
              <w:top w:val="single" w:color="BECFCC" w:sz="4"/>
              <w:left w:val="single" w:color="BECFCC" w:sz="4"/>
              <w:bottom w:val="single" w:color="BECFCC" w:sz="4"/>
              <w:right w:val="single" w:color="BECFCC" w:sz="4"/>
            </w:tcBorders>
            <w:shd w:fill="FFFFFF" w:val="clear"/>
          </w:tcPr>
          <w:p>
            <w:pPr>
              <w:spacing w:after="40"/>
            </w:pPr>
            <w:r>
              <w:rPr>
                <w:rFonts w:ascii="Calibri" w:eastAsia="Noto Sans SC"/>
                <w:color w:val="000000"/>
                <w:sz w:val="20"/>
                <w:szCs w:val="20"/>
              </w:rPr>
              <w:t xml:space="preserve">5 tablas ripley_* + 3 DTE compartidas, sin consolidar</w:t>
            </w:r>
          </w:p>
        </w:tc>
      </w:tr>
    </w:tbl>
    <w:p>
      <w:pPr>
        <w:spacing w:after="120" w:line="312"/>
        <w:jc w:val="both"/>
      </w:pPr>
      <w:r>
        <w:rPr>
          <w:rFonts w:ascii="Calibri" w:eastAsia="Noto Sans SC"/>
          <w:color w:val="000000"/>
          <w:sz w:val="24"/>
          <w:szCs w:val="24"/>
        </w:rPr>
        <w:t xml:space="preserve">El matiz adversarial más relevante es que la intersección global entre dte_truth_v1 y dte_link_v1 ya no es cero: subió a 32,992 gracias al nuevo cert_type XLSX_EXTRACT (32,782 filas en Paris y Falabella con folios reales, 36 folios únicos de dte_truth_v1 ahora vinculados). Para Ripley, sin embargo, la intersección sigue siendo exactamente cero: los 407 folios DTE reales de Facturación no tienen ningún vínculo con el ledger. La afirmación de la auditoría previa de un “cero global” era imprecisa, pero el diagnóstico central de auto-certificación circular de Ripley se confirma al detalle.</w:t>
      </w:r>
    </w:p>
    <w:p>
      <w:pPr>
        <w:pStyle w:val="Heading2"/>
        <w:spacing w:after="120" w:before="240"/>
      </w:pPr>
      <w:bookmarkStart w:id="100005" w:name="_Toc100005"/>
      <w:r>
        <w:rPr>
          <w:rFonts w:ascii="Calibri" w:eastAsia="Noto Sans SC"/>
          <w:b/>
          <w:bCs/>
          <w:color w:val="3A7A6E"/>
        </w:rPr>
        <w:t xml:space="preserve">4.2 Hallazgos nuevos (F1–F5) que ninguna auditoría previa reportó</w:t>
      </w:r>
      <w:bookmarkEnd w:id="100005"/>
    </w:p>
    <w:p>
      <w:pPr>
        <w:spacing w:after="120" w:line="312"/>
        <w:jc w:val="both"/>
      </w:pPr>
      <w:r>
        <w:rPr>
          <w:rFonts w:ascii="Calibri" w:eastAsia="Noto Sans SC"/>
          <w:color w:val="000000"/>
          <w:sz w:val="24"/>
          <w:szCs w:val="24"/>
        </w:rPr>
        <w:t xml:space="preserve">Además de la verificación de los nueve cuellos conocidos, la auditoría detectó cinco hallazgos nuevos. El más crítico es la ausencia total de commits desde el 23-07-2026: el README corregido, el archivado de 32 parches, el nuevo motor dte_ledger_matcher.py y los FIX-1/2 del 18-08 existen únicamente en el working tree, sin ninguna versión en git. Esto reproduce exactamente el riesgo de pérdida que alimenta el ciclo de avances y retrocesos: cualquier limpieza o fallo de disco destruiría semanas de trabajo.</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cantSplit/>
          <w:tblHeader/>
        </w:trPr>
        <w:tc>
          <w:tcPr>
            <w:tcW w:type="pct" w:w="5%"/>
            <w:tcBorders>
              <w:top w:val="single" w:color="BECFCC" w:sz="4"/>
              <w:left w:val="single" w:color="BECFCC" w:sz="4"/>
              <w:bottom w:val="single" w:color="BECFCC" w:sz="4"/>
              <w:right w:val="single" w:color="BECFCC" w:sz="4"/>
            </w:tcBorders>
            <w:shd w:fill="3A7A6E" w:val="clear"/>
            <w:vAlign w:val="center"/>
          </w:tcPr>
          <w:p>
            <w:pPr>
              <w:spacing w:after="40"/>
              <w:jc w:val="center"/>
            </w:pPr>
            <w:r>
              <w:rPr>
                <w:rFonts w:ascii="Calibri"/>
                <w:b/>
                <w:bCs/>
                <w:color w:val="FFFFFF"/>
                <w:sz w:val="20"/>
                <w:szCs w:val="20"/>
              </w:rPr>
              <w:t xml:space="preserve">#</w:t>
            </w:r>
          </w:p>
        </w:tc>
        <w:tc>
          <w:tcPr>
            <w:tcW w:type="pct" w:w="27%"/>
            <w:tcBorders>
              <w:top w:val="single" w:color="BECFCC" w:sz="4"/>
              <w:left w:val="single" w:color="BECFCC" w:sz="4"/>
              <w:bottom w:val="single" w:color="BECFCC" w:sz="4"/>
              <w:right w:val="single" w:color="BECFCC" w:sz="4"/>
            </w:tcBorders>
            <w:shd w:fill="3A7A6E" w:val="clear"/>
            <w:vAlign w:val="center"/>
          </w:tcPr>
          <w:p>
            <w:pPr>
              <w:spacing w:after="40"/>
              <w:jc w:val="center"/>
            </w:pPr>
            <w:r>
              <w:rPr>
                <w:rFonts w:ascii="Calibri"/>
                <w:b/>
                <w:bCs/>
                <w:color w:val="FFFFFF"/>
                <w:sz w:val="20"/>
                <w:szCs w:val="20"/>
              </w:rPr>
              <w:t xml:space="preserve">Hallazgo</w:t>
            </w:r>
          </w:p>
        </w:tc>
        <w:tc>
          <w:tcPr>
            <w:tcW w:type="pct" w:w="13%"/>
            <w:tcBorders>
              <w:top w:val="single" w:color="BECFCC" w:sz="4"/>
              <w:left w:val="single" w:color="BECFCC" w:sz="4"/>
              <w:bottom w:val="single" w:color="BECFCC" w:sz="4"/>
              <w:right w:val="single" w:color="BECFCC" w:sz="4"/>
            </w:tcBorders>
            <w:shd w:fill="3A7A6E" w:val="clear"/>
            <w:vAlign w:val="center"/>
          </w:tcPr>
          <w:p>
            <w:pPr>
              <w:spacing w:after="40"/>
              <w:jc w:val="center"/>
            </w:pPr>
            <w:r>
              <w:rPr>
                <w:rFonts w:ascii="Calibri"/>
                <w:b/>
                <w:bCs/>
                <w:color w:val="FFFFFF"/>
                <w:sz w:val="20"/>
                <w:szCs w:val="20"/>
              </w:rPr>
              <w:t xml:space="preserve">Severidad</w:t>
            </w:r>
          </w:p>
        </w:tc>
        <w:tc>
          <w:tcPr>
            <w:tcW w:type="pct" w:w="55%"/>
            <w:tcBorders>
              <w:top w:val="single" w:color="BECFCC" w:sz="4"/>
              <w:left w:val="single" w:color="BECFCC" w:sz="4"/>
              <w:bottom w:val="single" w:color="BECFCC" w:sz="4"/>
              <w:right w:val="single" w:color="BECFCC" w:sz="4"/>
            </w:tcBorders>
            <w:shd w:fill="3A7A6E" w:val="clear"/>
            <w:vAlign w:val="center"/>
          </w:tcPr>
          <w:p>
            <w:pPr>
              <w:spacing w:after="40"/>
              <w:jc w:val="center"/>
            </w:pPr>
            <w:r>
              <w:rPr>
                <w:rFonts w:ascii="Calibri"/>
                <w:b/>
                <w:bCs/>
                <w:color w:val="FFFFFF"/>
                <w:sz w:val="20"/>
                <w:szCs w:val="20"/>
              </w:rPr>
              <w:t xml:space="preserve">Detalle</w:t>
            </w:r>
          </w:p>
        </w:tc>
      </w:tr>
      <w:tr>
        <w:trPr>
          <w:cantSplit/>
        </w:trPr>
        <w:tc>
          <w:tcPr>
            <w:tcW w:type="pct" w:w="5%"/>
            <w:tcBorders>
              <w:top w:val="single" w:color="BECFCC" w:sz="4"/>
              <w:left w:val="single" w:color="BECFCC" w:sz="4"/>
              <w:bottom w:val="single" w:color="BECFCC" w:sz="4"/>
              <w:right w:val="single" w:color="BECFCC" w:sz="4"/>
            </w:tcBorders>
            <w:shd w:fill="E8ECEB" w:val="clear"/>
          </w:tcPr>
          <w:p>
            <w:pPr>
              <w:spacing w:after="40"/>
            </w:pPr>
            <w:r>
              <w:rPr>
                <w:rFonts w:ascii="Calibri" w:eastAsia="Noto Sans SC"/>
                <w:color w:val="000000"/>
                <w:sz w:val="20"/>
                <w:szCs w:val="20"/>
              </w:rPr>
              <w:t xml:space="preserve">F1</w:t>
            </w:r>
          </w:p>
        </w:tc>
        <w:tc>
          <w:tcPr>
            <w:tcW w:type="pct" w:w="27%"/>
            <w:tcBorders>
              <w:top w:val="single" w:color="BECFCC" w:sz="4"/>
              <w:left w:val="single" w:color="BECFCC" w:sz="4"/>
              <w:bottom w:val="single" w:color="BECFCC" w:sz="4"/>
              <w:right w:val="single" w:color="BECFCC" w:sz="4"/>
            </w:tcBorders>
            <w:shd w:fill="FFFFFF" w:val="clear"/>
          </w:tcPr>
          <w:p>
            <w:pPr>
              <w:spacing w:after="40"/>
            </w:pPr>
            <w:r>
              <w:rPr>
                <w:rFonts w:ascii="Calibri" w:eastAsia="Noto Sans SC"/>
                <w:color w:val="000000"/>
                <w:sz w:val="20"/>
                <w:szCs w:val="20"/>
              </w:rPr>
              <w:t xml:space="preserve">Trabajo de remediación sin versionar</w:t>
            </w:r>
          </w:p>
        </w:tc>
        <w:tc>
          <w:tcPr>
            <w:tcW w:type="pct" w:w="13%"/>
            <w:tcBorders>
              <w:top w:val="single" w:color="BECFCC" w:sz="4"/>
              <w:left w:val="single" w:color="BECFCC" w:sz="4"/>
              <w:bottom w:val="single" w:color="BECFCC" w:sz="4"/>
              <w:right w:val="single" w:color="BECFCC" w:sz="4"/>
            </w:tcBorders>
            <w:shd w:fill="FFFFFF" w:val="clear"/>
          </w:tcPr>
          <w:p>
            <w:pPr>
              <w:spacing w:after="40"/>
            </w:pPr>
            <w:r>
              <w:rPr>
                <w:rFonts w:ascii="Calibri" w:eastAsia="Noto Sans SC"/>
                <w:color w:val="000000"/>
                <w:sz w:val="20"/>
                <w:szCs w:val="20"/>
              </w:rPr>
              <w:t xml:space="preserve">CRÍTICA</w:t>
            </w:r>
          </w:p>
        </w:tc>
        <w:tc>
          <w:tcPr>
            <w:tcW w:type="pct" w:w="55%"/>
            <w:tcBorders>
              <w:top w:val="single" w:color="BECFCC" w:sz="4"/>
              <w:left w:val="single" w:color="BECFCC" w:sz="4"/>
              <w:bottom w:val="single" w:color="BECFCC" w:sz="4"/>
              <w:right w:val="single" w:color="BECFCC" w:sz="4"/>
            </w:tcBorders>
            <w:shd w:fill="FFFFFF" w:val="clear"/>
          </w:tcPr>
          <w:p>
            <w:pPr>
              <w:spacing w:after="40"/>
            </w:pPr>
            <w:r>
              <w:rPr>
                <w:rFonts w:ascii="Calibri" w:eastAsia="Noto Sans SC"/>
                <w:color w:val="000000"/>
                <w:sz w:val="20"/>
                <w:szCs w:val="20"/>
              </w:rPr>
              <w:t xml:space="preserve">Cero commits desde 23-07; README, parches, matcher y FIX-1/2 solo en working tree</w:t>
            </w:r>
          </w:p>
        </w:tc>
      </w:tr>
      <w:tr>
        <w:trPr>
          <w:cantSplit/>
        </w:trPr>
        <w:tc>
          <w:tcPr>
            <w:tcW w:type="pct" w:w="5%"/>
            <w:tcBorders>
              <w:top w:val="single" w:color="BECFCC" w:sz="4"/>
              <w:left w:val="single" w:color="BECFCC" w:sz="4"/>
              <w:bottom w:val="single" w:color="BECFCC" w:sz="4"/>
              <w:right w:val="single" w:color="BECFCC" w:sz="4"/>
            </w:tcBorders>
            <w:shd w:fill="E8ECEB" w:val="clear"/>
          </w:tcPr>
          <w:p>
            <w:pPr>
              <w:spacing w:after="40"/>
            </w:pPr>
            <w:r>
              <w:rPr>
                <w:rFonts w:ascii="Calibri" w:eastAsia="Noto Sans SC"/>
                <w:color w:val="000000"/>
                <w:sz w:val="20"/>
                <w:szCs w:val="20"/>
              </w:rPr>
              <w:t xml:space="preserve">F2</w:t>
            </w:r>
          </w:p>
        </w:tc>
        <w:tc>
          <w:tcPr>
            <w:tcW w:type="pct" w:w="27%"/>
            <w:tcBorders>
              <w:top w:val="single" w:color="BECFCC" w:sz="4"/>
              <w:left w:val="single" w:color="BECFCC" w:sz="4"/>
              <w:bottom w:val="single" w:color="BECFCC" w:sz="4"/>
              <w:right w:val="single" w:color="BECFCC" w:sz="4"/>
            </w:tcBorders>
            <w:shd w:fill="FFFFFF" w:val="clear"/>
          </w:tcPr>
          <w:p>
            <w:pPr>
              <w:spacing w:after="40"/>
            </w:pPr>
            <w:r>
              <w:rPr>
                <w:rFonts w:ascii="Calibri" w:eastAsia="Noto Sans SC"/>
                <w:color w:val="000000"/>
                <w:sz w:val="20"/>
                <w:szCs w:val="20"/>
              </w:rPr>
              <w:t xml:space="preserve">Datos fuente fiscales borrados</w:t>
            </w:r>
          </w:p>
        </w:tc>
        <w:tc>
          <w:tcPr>
            <w:tcW w:type="pct" w:w="13%"/>
            <w:tcBorders>
              <w:top w:val="single" w:color="BECFCC" w:sz="4"/>
              <w:left w:val="single" w:color="BECFCC" w:sz="4"/>
              <w:bottom w:val="single" w:color="BECFCC" w:sz="4"/>
              <w:right w:val="single" w:color="BECFCC" w:sz="4"/>
            </w:tcBorders>
            <w:shd w:fill="FFFFFF" w:val="clear"/>
          </w:tcPr>
          <w:p>
            <w:pPr>
              <w:spacing w:after="40"/>
            </w:pPr>
            <w:r>
              <w:rPr>
                <w:rFonts w:ascii="Calibri" w:eastAsia="Noto Sans SC"/>
                <w:color w:val="000000"/>
                <w:sz w:val="20"/>
                <w:szCs w:val="20"/>
              </w:rPr>
              <w:t xml:space="preserve">CRÍTICA</w:t>
            </w:r>
          </w:p>
        </w:tc>
        <w:tc>
          <w:tcPr>
            <w:tcW w:type="pct" w:w="55%"/>
            <w:tcBorders>
              <w:top w:val="single" w:color="BECFCC" w:sz="4"/>
              <w:left w:val="single" w:color="BECFCC" w:sz="4"/>
              <w:bottom w:val="single" w:color="BECFCC" w:sz="4"/>
              <w:right w:val="single" w:color="BECFCC" w:sz="4"/>
            </w:tcBorders>
            <w:shd w:fill="FFFFFF" w:val="clear"/>
          </w:tcPr>
          <w:p>
            <w:pPr>
              <w:spacing w:after="40"/>
            </w:pPr>
            <w:r>
              <w:rPr>
                <w:rFonts w:ascii="Calibri" w:eastAsia="Noto Sans SC"/>
                <w:color w:val="000000"/>
                <w:sz w:val="20"/>
                <w:szCs w:val="20"/>
              </w:rPr>
              <w:t xml:space="preserve">CSVs de ciclos de facturación (~60 archivos con columna Número de factura) marcados como staged deletion</w:t>
            </w:r>
          </w:p>
        </w:tc>
      </w:tr>
      <w:tr>
        <w:trPr>
          <w:cantSplit/>
        </w:trPr>
        <w:tc>
          <w:tcPr>
            <w:tcW w:type="pct" w:w="5%"/>
            <w:tcBorders>
              <w:top w:val="single" w:color="BECFCC" w:sz="4"/>
              <w:left w:val="single" w:color="BECFCC" w:sz="4"/>
              <w:bottom w:val="single" w:color="BECFCC" w:sz="4"/>
              <w:right w:val="single" w:color="BECFCC" w:sz="4"/>
            </w:tcBorders>
            <w:shd w:fill="E8ECEB" w:val="clear"/>
          </w:tcPr>
          <w:p>
            <w:pPr>
              <w:spacing w:after="40"/>
            </w:pPr>
            <w:r>
              <w:rPr>
                <w:rFonts w:ascii="Calibri" w:eastAsia="Noto Sans SC"/>
                <w:color w:val="000000"/>
                <w:sz w:val="20"/>
                <w:szCs w:val="20"/>
              </w:rPr>
              <w:t xml:space="preserve">F3</w:t>
            </w:r>
          </w:p>
        </w:tc>
        <w:tc>
          <w:tcPr>
            <w:tcW w:type="pct" w:w="27%"/>
            <w:tcBorders>
              <w:top w:val="single" w:color="BECFCC" w:sz="4"/>
              <w:left w:val="single" w:color="BECFCC" w:sz="4"/>
              <w:bottom w:val="single" w:color="BECFCC" w:sz="4"/>
              <w:right w:val="single" w:color="BECFCC" w:sz="4"/>
            </w:tcBorders>
            <w:shd w:fill="FFFFFF" w:val="clear"/>
          </w:tcPr>
          <w:p>
            <w:pPr>
              <w:spacing w:after="40"/>
            </w:pPr>
            <w:r>
              <w:rPr>
                <w:rFonts w:ascii="Calibri" w:eastAsia="Noto Sans SC"/>
                <w:color w:val="000000"/>
                <w:sz w:val="20"/>
                <w:szCs w:val="20"/>
              </w:rPr>
              <w:t xml:space="preserve">Gate engañoso sigue activo</w:t>
            </w:r>
          </w:p>
        </w:tc>
        <w:tc>
          <w:tcPr>
            <w:tcW w:type="pct" w:w="13%"/>
            <w:tcBorders>
              <w:top w:val="single" w:color="BECFCC" w:sz="4"/>
              <w:left w:val="single" w:color="BECFCC" w:sz="4"/>
              <w:bottom w:val="single" w:color="BECFCC" w:sz="4"/>
              <w:right w:val="single" w:color="BECFCC" w:sz="4"/>
            </w:tcBorders>
            <w:shd w:fill="FFFFFF" w:val="clear"/>
          </w:tcPr>
          <w:p>
            <w:pPr>
              <w:spacing w:after="40"/>
            </w:pPr>
            <w:r>
              <w:rPr>
                <w:rFonts w:ascii="Calibri" w:eastAsia="Noto Sans SC"/>
                <w:color w:val="000000"/>
                <w:sz w:val="20"/>
                <w:szCs w:val="20"/>
              </w:rPr>
              <w:t xml:space="preserve">ALTA</w:t>
            </w:r>
          </w:p>
        </w:tc>
        <w:tc>
          <w:tcPr>
            <w:tcW w:type="pct" w:w="55%"/>
            <w:tcBorders>
              <w:top w:val="single" w:color="BECFCC" w:sz="4"/>
              <w:left w:val="single" w:color="BECFCC" w:sz="4"/>
              <w:bottom w:val="single" w:color="BECFCC" w:sz="4"/>
              <w:right w:val="single" w:color="BECFCC" w:sz="4"/>
            </w:tcBorders>
            <w:shd w:fill="FFFFFF" w:val="clear"/>
          </w:tcPr>
          <w:p>
            <w:pPr>
              <w:spacing w:after="40"/>
            </w:pPr>
            <w:r>
              <w:rPr>
                <w:rFonts w:ascii="Calibri" w:eastAsia="Noto Sans SC"/>
                <w:color w:val="000000"/>
                <w:sz w:val="20"/>
                <w:szCs w:val="20"/>
              </w:rPr>
              <w:t xml:space="preserve">test_gate_dte_coverage mide COUNT(folio_xml) como cobertura DTE; RIPLEY aprueba con 97.9% falso</w:t>
            </w:r>
          </w:p>
        </w:tc>
      </w:tr>
      <w:tr>
        <w:trPr>
          <w:cantSplit/>
        </w:trPr>
        <w:tc>
          <w:tcPr>
            <w:tcW w:type="pct" w:w="5%"/>
            <w:tcBorders>
              <w:top w:val="single" w:color="BECFCC" w:sz="4"/>
              <w:left w:val="single" w:color="BECFCC" w:sz="4"/>
              <w:bottom w:val="single" w:color="BECFCC" w:sz="4"/>
              <w:right w:val="single" w:color="BECFCC" w:sz="4"/>
            </w:tcBorders>
            <w:shd w:fill="E8ECEB" w:val="clear"/>
          </w:tcPr>
          <w:p>
            <w:pPr>
              <w:spacing w:after="40"/>
            </w:pPr>
            <w:r>
              <w:rPr>
                <w:rFonts w:ascii="Calibri" w:eastAsia="Noto Sans SC"/>
                <w:color w:val="000000"/>
                <w:sz w:val="20"/>
                <w:szCs w:val="20"/>
              </w:rPr>
              <w:t xml:space="preserve">F4</w:t>
            </w:r>
          </w:p>
        </w:tc>
        <w:tc>
          <w:tcPr>
            <w:tcW w:type="pct" w:w="27%"/>
            <w:tcBorders>
              <w:top w:val="single" w:color="BECFCC" w:sz="4"/>
              <w:left w:val="single" w:color="BECFCC" w:sz="4"/>
              <w:bottom w:val="single" w:color="BECFCC" w:sz="4"/>
              <w:right w:val="single" w:color="BECFCC" w:sz="4"/>
            </w:tcBorders>
            <w:shd w:fill="FFFFFF" w:val="clear"/>
          </w:tcPr>
          <w:p>
            <w:pPr>
              <w:spacing w:after="40"/>
            </w:pPr>
            <w:r>
              <w:rPr>
                <w:rFonts w:ascii="Calibri" w:eastAsia="Noto Sans SC"/>
                <w:color w:val="000000"/>
                <w:sz w:val="20"/>
                <w:szCs w:val="20"/>
              </w:rPr>
              <w:t xml:space="preserve">Artefactos de remediación se contradicen</w:t>
            </w:r>
          </w:p>
        </w:tc>
        <w:tc>
          <w:tcPr>
            <w:tcW w:type="pct" w:w="13%"/>
            <w:tcBorders>
              <w:top w:val="single" w:color="BECFCC" w:sz="4"/>
              <w:left w:val="single" w:color="BECFCC" w:sz="4"/>
              <w:bottom w:val="single" w:color="BECFCC" w:sz="4"/>
              <w:right w:val="single" w:color="BECFCC" w:sz="4"/>
            </w:tcBorders>
            <w:shd w:fill="FFFFFF" w:val="clear"/>
          </w:tcPr>
          <w:p>
            <w:pPr>
              <w:spacing w:after="40"/>
            </w:pPr>
            <w:r>
              <w:rPr>
                <w:rFonts w:ascii="Calibri" w:eastAsia="Noto Sans SC"/>
                <w:color w:val="000000"/>
                <w:sz w:val="20"/>
                <w:szCs w:val="20"/>
              </w:rPr>
              <w:t xml:space="preserve">MEDIA</w:t>
            </w:r>
          </w:p>
        </w:tc>
        <w:tc>
          <w:tcPr>
            <w:tcW w:type="pct" w:w="55%"/>
            <w:tcBorders>
              <w:top w:val="single" w:color="BECFCC" w:sz="4"/>
              <w:left w:val="single" w:color="BECFCC" w:sz="4"/>
              <w:bottom w:val="single" w:color="BECFCC" w:sz="4"/>
              <w:right w:val="single" w:color="BECFCC" w:sz="4"/>
            </w:tcBorders>
            <w:shd w:fill="FFFFFF" w:val="clear"/>
          </w:tcPr>
          <w:p>
            <w:pPr>
              <w:spacing w:after="40"/>
            </w:pPr>
            <w:r>
              <w:rPr>
                <w:rFonts w:ascii="Calibri" w:eastAsia="Noto Sans SC"/>
                <w:color w:val="000000"/>
                <w:sz w:val="20"/>
                <w:szCs w:val="20"/>
              </w:rPr>
              <w:t xml:space="preserve">certification_gate.json dice CERTIFIED; FINAL_VERDICT.json de la misma sesión dice CERTIFIED: false</w:t>
            </w:r>
          </w:p>
        </w:tc>
      </w:tr>
      <w:tr>
        <w:trPr>
          <w:cantSplit/>
        </w:trPr>
        <w:tc>
          <w:tcPr>
            <w:tcW w:type="pct" w:w="5%"/>
            <w:tcBorders>
              <w:top w:val="single" w:color="BECFCC" w:sz="4"/>
              <w:left w:val="single" w:color="BECFCC" w:sz="4"/>
              <w:bottom w:val="single" w:color="BECFCC" w:sz="4"/>
              <w:right w:val="single" w:color="BECFCC" w:sz="4"/>
            </w:tcBorders>
            <w:shd w:fill="E8ECEB" w:val="clear"/>
          </w:tcPr>
          <w:p>
            <w:pPr>
              <w:spacing w:after="40"/>
            </w:pPr>
            <w:r>
              <w:rPr>
                <w:rFonts w:ascii="Calibri" w:eastAsia="Noto Sans SC"/>
                <w:color w:val="000000"/>
                <w:sz w:val="20"/>
                <w:szCs w:val="20"/>
              </w:rPr>
              <w:t xml:space="preserve">F5</w:t>
            </w:r>
          </w:p>
        </w:tc>
        <w:tc>
          <w:tcPr>
            <w:tcW w:type="pct" w:w="27%"/>
            <w:tcBorders>
              <w:top w:val="single" w:color="BECFCC" w:sz="4"/>
              <w:left w:val="single" w:color="BECFCC" w:sz="4"/>
              <w:bottom w:val="single" w:color="BECFCC" w:sz="4"/>
              <w:right w:val="single" w:color="BECFCC" w:sz="4"/>
            </w:tcBorders>
            <w:shd w:fill="FFFFFF" w:val="clear"/>
          </w:tcPr>
          <w:p>
            <w:pPr>
              <w:spacing w:after="40"/>
            </w:pPr>
            <w:r>
              <w:rPr>
                <w:rFonts w:ascii="Calibri" w:eastAsia="Noto Sans SC"/>
                <w:color w:val="000000"/>
                <w:sz w:val="20"/>
                <w:szCs w:val="20"/>
              </w:rPr>
              <w:t xml:space="preserve">CI roto para los gates</w:t>
            </w:r>
          </w:p>
        </w:tc>
        <w:tc>
          <w:tcPr>
            <w:tcW w:type="pct" w:w="13%"/>
            <w:tcBorders>
              <w:top w:val="single" w:color="BECFCC" w:sz="4"/>
              <w:left w:val="single" w:color="BECFCC" w:sz="4"/>
              <w:bottom w:val="single" w:color="BECFCC" w:sz="4"/>
              <w:right w:val="single" w:color="BECFCC" w:sz="4"/>
            </w:tcBorders>
            <w:shd w:fill="FFFFFF" w:val="clear"/>
          </w:tcPr>
          <w:p>
            <w:pPr>
              <w:spacing w:after="40"/>
            </w:pPr>
            <w:r>
              <w:rPr>
                <w:rFonts w:ascii="Calibri" w:eastAsia="Noto Sans SC"/>
                <w:color w:val="000000"/>
                <w:sz w:val="20"/>
                <w:szCs w:val="20"/>
              </w:rPr>
              <w:t xml:space="preserve">ALTA</w:t>
            </w:r>
          </w:p>
        </w:tc>
        <w:tc>
          <w:tcPr>
            <w:tcW w:type="pct" w:w="55%"/>
            <w:tcBorders>
              <w:top w:val="single" w:color="BECFCC" w:sz="4"/>
              <w:left w:val="single" w:color="BECFCC" w:sz="4"/>
              <w:bottom w:val="single" w:color="BECFCC" w:sz="4"/>
              <w:right w:val="single" w:color="BECFCC" w:sz="4"/>
            </w:tcBorders>
            <w:shd w:fill="FFFFFF" w:val="clear"/>
          </w:tcPr>
          <w:p>
            <w:pPr>
              <w:spacing w:after="40"/>
            </w:pPr>
            <w:r>
              <w:rPr>
                <w:rFonts w:ascii="Calibri" w:eastAsia="Noto Sans SC"/>
                <w:color w:val="000000"/>
                <w:sz w:val="20"/>
                <w:szCs w:val="20"/>
              </w:rPr>
              <w:t xml:space="preserve">Baseline V8 no versionada en git; fixture autouse lanza FileNotFoundError en checkout limpio; lint/mypy decorativos</w:t>
            </w:r>
          </w:p>
        </w:tc>
      </w:tr>
    </w:tbl>
    <w:p>
      <w:pPr>
        <w:pStyle w:val="Heading2"/>
        <w:spacing w:after="120" w:before="240"/>
      </w:pPr>
      <w:bookmarkStart w:id="100006" w:name="_Toc100006"/>
      <w:r>
        <w:rPr>
          <w:rFonts w:ascii="Calibri" w:eastAsia="Noto Sans SC"/>
          <w:b/>
          <w:bCs/>
          <w:color w:val="3A7A6E"/>
        </w:rPr>
        <w:t xml:space="preserve">4.3 Avances verificados desde el 12-08</w:t>
      </w:r>
      <w:bookmarkEnd w:id="100006"/>
    </w:p>
    <w:p>
      <w:pPr>
        <w:spacing w:after="120" w:line="312"/>
        <w:jc w:val="both"/>
      </w:pPr>
      <w:r>
        <w:rPr>
          <w:rFonts w:ascii="Calibri" w:eastAsia="Noto Sans SC"/>
          <w:color w:val="000000"/>
          <w:sz w:val="24"/>
          <w:szCs w:val="24"/>
        </w:rPr>
        <w:t xml:space="preserve">Es importante reconocer lo que sí funcionó, porque define la base sobre la cual se construye la remediación. El 14-08 se ejecutó una campaña de consolidación que archivó 32 scripts de parcheo con manifest SHA-256 y clasificación por riesgo. El 18-08 se activó la F5-09 Electronic Tax Traceability: el motor DTELedgerMatcher quedó expuesto como ruta read-only GET /api/v4/dte/traceability con 17 tests, y el marketplace Ripley pasó a declararse explícitamente como BLOCKED, en línea con la regla fundamental del README de que LEDGER_EXISTING no equivale a certificación criptográfica.</w:t>
      </w:r>
    </w:p>
    <w:p>
      <w:pPr>
        <w:spacing w:after="120" w:line="312"/>
        <w:jc w:val="both"/>
      </w:pPr>
      <w:r>
        <w:rPr>
          <w:rFonts w:ascii="Calibri" w:eastAsia="Noto Sans SC"/>
          <w:color w:val="000000"/>
          <w:sz w:val="24"/>
          <w:szCs w:val="24"/>
        </w:rPr>
        <w:t xml:space="preserve">En el plano de datos, la certificación fiscal global avanzó: la intersección dte_truth_v1 ∩ dte_link_v1 pasó de 0 a 32,992, con 88,926 filas certificadas en MercadoLibre, Paris y Falabella, mientras Ripley se mantiene honestamente bloqueado con 0 coincidencias. Los 11 gates de integridad pasan con delta financiero de $0.00 y la base de datos oficial mantiene su SHA inmutable. La colección de tests es rápida (1106 tests en ~7 segundos) y el subconjunto smoke más gates de certificación pasa 31 de 31 en ~5 segundos.</w:t>
      </w:r>
    </w:p>
    <w:p>
      <w:pPr>
        <w:pStyle w:val="Heading1"/>
        <w:spacing w:after="120" w:before="360"/>
      </w:pPr>
      <w:bookmarkStart w:id="100007" w:name="_Toc100007"/>
      <w:r>
        <w:rPr>
          <w:rFonts w:ascii="Calibri" w:eastAsia="Noto Sans SC"/>
          <w:b/>
          <w:bCs/>
          <w:color w:val="3A7A6E"/>
        </w:rPr>
        <w:t xml:space="preserve">5. Diagnóstico: Por Qué No Hay Final Feliz</w:t>
      </w:r>
      <w:bookmarkEnd w:id="100007"/>
    </w:p>
    <w:p>
      <w:pPr>
        <w:pStyle w:val="Heading2"/>
        <w:spacing w:after="120" w:before="240"/>
      </w:pPr>
      <w:bookmarkStart w:id="100008" w:name="_Toc100008"/>
      <w:r>
        <w:rPr>
          <w:rFonts w:ascii="Calibri" w:eastAsia="Noto Sans SC"/>
          <w:b/>
          <w:bCs/>
          <w:color w:val="3A7A6E"/>
        </w:rPr>
        <w:t xml:space="preserve">5.1 La certificación fiscal de Ripley sigue siendo ilusoria</w:t>
      </w:r>
      <w:bookmarkEnd w:id="100008"/>
    </w:p>
    <w:p>
      <w:pPr>
        <w:spacing w:after="120" w:line="312"/>
        <w:jc w:val="both"/>
      </w:pPr>
      <w:r>
        <w:rPr>
          <w:rFonts w:ascii="Calibri" w:eastAsia="Noto Sans SC"/>
          <w:color w:val="000000"/>
          <w:sz w:val="24"/>
          <w:szCs w:val="24"/>
        </w:rPr>
        <w:t xml:space="preserve">La capa de certificación exhibe dos mecanismos paralelos y contradictorios. Por un lado, el flujo productivo sigue operando sobre la auto-certificación circular: dte_link_v1 contiene 210,232 filas de Ripley con cert_type LEDGER_EXISTING y certified=True, creadas el 18-06-2026 como copia del propio ledger, y la vista v_ledger_certified las traduce en 215,961 filas marcadas CERTIFIED que consume el motor de excepciones y los paneles. El folio_xml del ledger Ripley (presente en el 97.9% de las filas) contiene 167 números de liquidación interna, no folios SII: los namespaces son disjuntos, como ya probó el experimento controlado del 06-08 con veredicto PARTIAL_WITH_PROVEN_BLOCKER.</w:t>
      </w:r>
    </w:p>
    <w:p>
      <w:pPr>
        <w:spacing w:after="120" w:line="312"/>
        <w:jc w:val="both"/>
      </w:pPr>
      <w:r>
        <w:rPr>
          <w:rFonts w:ascii="Calibri" w:eastAsia="Noto Sans SC"/>
          <w:color w:val="000000"/>
          <w:sz w:val="24"/>
          <w:szCs w:val="24"/>
        </w:rPr>
        <w:t xml:space="preserve">Por otro lado, existen componentes honestos pero aislados: el matcher dte_ledger_matcher.py declara Ripley BLOCKED, la vista ripley_corrected_certification muestra dte_matches=0, y la evidencia p0_ripley_invoice_sii documenta 52 liquidaciones con 52/52 NO_DTE_FOUND. Ninguno de estos componentes alimenta la API, los dashboards ni el gate de tests. Peor aún, los paths del motor de certificación (document_certification.py y document_gap_engine.py) apuntan a carpetas SELLER/ y Ciclos/ que no existen en disco —las reales son Fulfillment by Seller y Fulfillment by Ripley—, por lo que la API /api/v4/dte/certify responde hoy una cobertura de 0.0% por código roto, no por reconocimiento del bloqueo fiscal. Adicionalmente, api.py invoca engine.get_certification(), un método que no existe, lo que produciría un AttributeError para consultas por marketplace.</w:t>
      </w:r>
    </w:p>
    <w:p>
      <w:pPr>
        <w:pStyle w:val="Heading2"/>
        <w:spacing w:after="120" w:before="240"/>
      </w:pPr>
      <w:bookmarkStart w:id="100009" w:name="_Toc100009"/>
      <w:r>
        <w:rPr>
          <w:rFonts w:ascii="Calibri" w:eastAsia="Noto Sans SC"/>
          <w:b/>
          <w:bCs/>
          <w:color w:val="3A7A6E"/>
        </w:rPr>
        <w:t xml:space="preserve">5.2 El gate de tests valida la métrica equivocada</w:t>
      </w:r>
      <w:bookmarkEnd w:id="100009"/>
    </w:p>
    <w:p>
      <w:pPr>
        <w:spacing w:after="120" w:line="312"/>
        <w:jc w:val="both"/>
      </w:pPr>
      <w:r>
        <w:rPr>
          <w:rFonts w:ascii="Calibri" w:eastAsia="Noto Sans SC"/>
          <w:color w:val="000000"/>
          <w:sz w:val="24"/>
          <w:szCs w:val="24"/>
        </w:rPr>
        <w:t xml:space="preserve">El Gate 3 de certificación, test_gate_dte_coverage, sigue calculando COUNT(folio_xml) / COUNT(*) sobre marketplace_ledger_v1 y lo denomina cobertura DTE, con thresholds idénticos al commit original: MercadoLibre 50%, Ripley 95%, Paris 0%, Falabella 0%. Con ese cálculo, Ripley aprueba con un 97.9% de “cobertura” sin tener un solo folio SII vinculado, porque folio_xml contiene referencias de liquidación interna. El mismo patrón erróneo vive en marketplace_auditor.py (check_ml_dte_coverage). Si el gate midiera la intersección real con dte_truth_v1, Ripley obtendría 0% y el test fallaría, exponiendo la verdad en lugar de certificarla.</w:t>
      </w:r>
    </w:p>
    <w:p>
      <w:pPr>
        <w:spacing w:after="120" w:line="312"/>
        <w:jc w:val="both"/>
      </w:pPr>
      <w:r>
        <w:rPr>
          <w:rFonts w:ascii="Calibri" w:eastAsia="Noto Sans SC"/>
          <w:color w:val="000000"/>
          <w:sz w:val="24"/>
          <w:szCs w:val="24"/>
        </w:rPr>
        <w:t xml:space="preserve">Esta es la razón estructural por la que los tests “pasan” sin que el producto sea certificable: el indicador que el CI valida no mide lo que el negocio necesita. La mitigación honesta (gate G8 que bloquea claims fiscales y el matcher BLOCKED) convive con el gate engañoso sin reemplazarlo, y los propios artefactos de remediación del 18-08 se contradicen entre sí: certification_gate.json declara CERTIFIED mientras FINAL_VERDICT.json de la misma sesión clasifica CERTIFIED: false, exigiendo tres corridas limpias que nunca se ejecutaron.</w:t>
      </w:r>
    </w:p>
    <w:p>
      <w:pPr>
        <w:pStyle w:val="Heading2"/>
        <w:spacing w:after="120" w:before="240"/>
      </w:pPr>
      <w:bookmarkStart w:id="100010" w:name="_Toc100010"/>
      <w:r>
        <w:rPr>
          <w:rFonts w:ascii="Calibri" w:eastAsia="Noto Sans SC"/>
          <w:b/>
          <w:bCs/>
          <w:color w:val="3A7A6E"/>
        </w:rPr>
        <w:t xml:space="preserve">5.3 Gobernanza: el eslabón perdido</w:t>
      </w:r>
      <w:bookmarkEnd w:id="100010"/>
    </w:p>
    <w:p>
      <w:pPr>
        <w:spacing w:after="120" w:line="312"/>
        <w:jc w:val="both"/>
      </w:pPr>
      <w:r>
        <w:rPr>
          <w:rFonts w:ascii="Calibri" w:eastAsia="Noto Sans SC"/>
          <w:color w:val="000000"/>
          <w:sz w:val="24"/>
          <w:szCs w:val="24"/>
        </w:rPr>
        <w:t xml:space="preserve">El patrón de avances y retrocesos tiene una explicación de proceso: el proyecto opera sin versionado efectivo de su trabajo de remediación. Con cero commits desde el 23-07-2026, cada campaña de corrección vive como archivos sueltos en el working tree, expuestos a perderse o a ser pisados por la siguiente campaña. La multiplicidad de bases de datos agrava el riesgo operacional: data/db/ contiene 25 archivos .db y 2 .bak recursivos, más 37 subdirectorios con copias de ~37 MB cada una, incluyendo snapshots con nombres como corrupt_snapshot, pre_nan_fix y pre_future_fix, y el directorio tmp_f4_v8 sigue recibiendo basura de debug incluso después del 18-08.</w:t>
      </w:r>
    </w:p>
    <w:p>
      <w:pPr>
        <w:spacing w:after="120" w:line="312"/>
        <w:jc w:val="both"/>
      </w:pPr>
      <w:r>
        <w:rPr>
          <w:rFonts w:ascii="Calibri" w:eastAsia="Noto Sans SC"/>
          <w:color w:val="000000"/>
          <w:sz w:val="24"/>
          <w:szCs w:val="24"/>
        </w:rPr>
        <w:t xml:space="preserve">La recomendación de la fase 1 de la auditoría previa —mover las DBs residuales a _archive/db_history/— nunca se ejecutó, y el path hardcodeado en database.py:12 (C:/Users/ASUS Zenbook/Documents/Marketplace Financial AI Engine) sigue siendo la ruta efectiva de la base de datos oficial, lo que hace el proyecto no portable a otra máquina o runner. En conjunto, la ausencia de versionado, la multiplicidad de DBs y el path absoluto constituyen la deuda de gobernanza que impide cerrar el ciclo.</w:t>
      </w:r>
    </w:p>
    <w:p>
      <w:pPr>
        <w:pStyle w:val="Heading1"/>
        <w:spacing w:after="120" w:before="360"/>
      </w:pPr>
      <w:bookmarkStart w:id="100011" w:name="_Toc100011"/>
      <w:r>
        <w:rPr>
          <w:rFonts w:ascii="Calibri" w:eastAsia="Noto Sans SC"/>
          <w:b/>
          <w:bCs/>
          <w:color w:val="3A7A6E"/>
        </w:rPr>
        <w:t xml:space="preserve">6. La Vía Más Expedita y Tecnológicamente Resolutiva</w:t>
      </w:r>
      <w:bookmarkEnd w:id="100011"/>
    </w:p>
    <w:p>
      <w:pPr>
        <w:spacing w:after="120" w:line="312"/>
        <w:jc w:val="both"/>
      </w:pPr>
      <w:r>
        <w:rPr>
          <w:rFonts w:ascii="Calibri" w:eastAsia="Noto Sans SC"/>
          <w:color w:val="000000"/>
          <w:sz w:val="24"/>
          <w:szCs w:val="24"/>
        </w:rPr>
        <w:t xml:space="preserve">La recomendación se organiza en tres fases quirúrgicas, con acciones concretas, responsables implícitos (equipo del proyecto) y plazos. Ninguna requiere refactorizaciones masivas ni reescrituras: todas atacan directamente las tres causas raíz identificadas.</w:t>
      </w:r>
    </w:p>
    <w:p>
      <w:pPr>
        <w:pStyle w:val="Heading2"/>
        <w:spacing w:after="120" w:before="240"/>
      </w:pPr>
      <w:bookmarkStart w:id="100012" w:name="_Toc100012"/>
      <w:r>
        <w:rPr>
          <w:rFonts w:ascii="Calibri" w:eastAsia="Noto Sans SC"/>
          <w:b/>
          <w:bCs/>
          <w:color w:val="3A7A6E"/>
        </w:rPr>
        <w:t xml:space="preserve">Fase A — Blindar lo ganado (inmediato, 1–2 días)</w:t>
      </w:r>
      <w:bookmarkEnd w:id="100012"/>
    </w:p>
    <w:p>
      <w:pPr>
        <w:spacing w:after="60" w:line="312"/>
        <w:ind w:left="720"/>
        <w:jc w:val="both"/>
      </w:pPr>
      <w:r>
        <w:rPr>
          <w:rFonts w:ascii="Calibri" w:eastAsia="Noto Sans SC"/>
          <w:color w:val="000000"/>
          <w:sz w:val="24"/>
          <w:szCs w:val="24"/>
        </w:rPr>
        <w:t xml:space="preserve">•  Commitear todo el working tree en la rama phase5/production-readiness: README, archivado de parches, dte_ledger_matcher.py, FIX-1/2 y evidencia. Es la acción de mayor impacto inmediato y revierte el riesgo de pérdida (F1).</w:t>
      </w:r>
    </w:p>
    <w:p>
      <w:pPr>
        <w:spacing w:after="60" w:line="312"/>
        <w:ind w:left="720"/>
        <w:jc w:val="both"/>
      </w:pPr>
      <w:r>
        <w:rPr>
          <w:rFonts w:ascii="Calibri" w:eastAsia="Noto Sans SC"/>
          <w:color w:val="000000"/>
          <w:sz w:val="24"/>
          <w:szCs w:val="24"/>
        </w:rPr>
        <w:t xml:space="preserve">•  Restaurar desde git los CSVs de ciclos de facturación de Ripley (o documentar formalmente su borrado intencional) para no perder la llave fiscal Número de factura (F2).</w:t>
      </w:r>
    </w:p>
    <w:p>
      <w:pPr>
        <w:spacing w:after="60" w:line="312"/>
        <w:ind w:left="720"/>
        <w:jc w:val="both"/>
      </w:pPr>
      <w:r>
        <w:rPr>
          <w:rFonts w:ascii="Calibri" w:eastAsia="Noto Sans SC"/>
          <w:color w:val="000000"/>
          <w:sz w:val="24"/>
          <w:szCs w:val="24"/>
        </w:rPr>
        <w:t xml:space="preserve">•  Poner en cuarentena o eliminar paris_v2_backfill.py, clasificado DANGEROUS por su propio manifest, cumpliendo el FIX-4 pendiente del FINAL_VERDICT.</w:t>
      </w:r>
    </w:p>
    <w:p>
      <w:pPr>
        <w:spacing w:after="60" w:line="312"/>
        <w:ind w:left="720"/>
        <w:jc w:val="both"/>
      </w:pPr>
      <w:r>
        <w:rPr>
          <w:rFonts w:ascii="Calibri" w:eastAsia="Noto Sans SC"/>
          <w:color w:val="000000"/>
          <w:sz w:val="24"/>
          <w:szCs w:val="24"/>
        </w:rPr>
        <w:t xml:space="preserve">•  Mover los 25 archivos .db y .bak residuales de data/db/ a _archive/db_history/, dejando solo la DB oficial y su baseline.</w:t>
      </w:r>
    </w:p>
    <w:p>
      <w:pPr>
        <w:pStyle w:val="Heading2"/>
        <w:spacing w:after="120" w:before="240"/>
      </w:pPr>
      <w:bookmarkStart w:id="100013" w:name="_Toc100013"/>
      <w:r>
        <w:rPr>
          <w:rFonts w:ascii="Calibri" w:eastAsia="Noto Sans SC"/>
          <w:b/>
          <w:bCs/>
          <w:color w:val="3A7A6E"/>
        </w:rPr>
        <w:t xml:space="preserve">Fase B — Hacer honesto el gate de certificación (3–5 días)</w:t>
      </w:r>
      <w:bookmarkEnd w:id="100013"/>
    </w:p>
    <w:p>
      <w:pPr>
        <w:spacing w:after="60" w:line="312"/>
        <w:ind w:left="720"/>
        <w:jc w:val="both"/>
      </w:pPr>
      <w:r>
        <w:rPr>
          <w:rFonts w:ascii="Calibri" w:eastAsia="Noto Sans SC"/>
          <w:color w:val="000000"/>
          <w:sz w:val="24"/>
          <w:szCs w:val="24"/>
        </w:rPr>
        <w:t xml:space="preserve">•  Redefinir la cobertura DTE en test_gate_dte_coverage y marketplace_auditor.py para medir la intersección real con dte_truth_v1 (Ripley daría 0%), o eliminar el gate para marketplaces sin vínculo fiscal documentado (F3).</w:t>
      </w:r>
    </w:p>
    <w:p>
      <w:pPr>
        <w:spacing w:after="60" w:line="312"/>
        <w:ind w:left="720"/>
        <w:jc w:val="both"/>
      </w:pPr>
      <w:r>
        <w:rPr>
          <w:rFonts w:ascii="Calibri" w:eastAsia="Noto Sans SC"/>
          <w:color w:val="000000"/>
          <w:sz w:val="24"/>
          <w:szCs w:val="24"/>
        </w:rPr>
        <w:t xml:space="preserve">•  Corregir las rutas SELLER/ → Fulfillment by Seller y Ciclos/ → Fulfillment by Ripley en document_certification.py y document_gap_engine.py, y arreglar el AttributeError de api.py por engine.get_certification() inexistente.</w:t>
      </w:r>
    </w:p>
    <w:p>
      <w:pPr>
        <w:spacing w:after="60" w:line="312"/>
        <w:ind w:left="720"/>
        <w:jc w:val="both"/>
      </w:pPr>
      <w:r>
        <w:rPr>
          <w:rFonts w:ascii="Calibri" w:eastAsia="Noto Sans SC"/>
          <w:color w:val="000000"/>
          <w:sz w:val="24"/>
          <w:szCs w:val="24"/>
        </w:rPr>
        <w:t xml:space="preserve">•  Exponer Ripley como BLOCKED/NO_CERTIFICABLE en la API y los dashboards, usando la evidencia ya probada (namespaces disjuntos, 52/52 NO_DTE_FOUND), y desactivar o re-etiquetar como SETTLEMENT_REF la vista v_ledger_certified para Ripley.</w:t>
      </w:r>
    </w:p>
    <w:p>
      <w:pPr>
        <w:spacing w:after="60" w:line="312"/>
        <w:ind w:left="720"/>
        <w:jc w:val="both"/>
      </w:pPr>
      <w:r>
        <w:rPr>
          <w:rFonts w:ascii="Calibri" w:eastAsia="Noto Sans SC"/>
          <w:color w:val="000000"/>
          <w:sz w:val="24"/>
          <w:szCs w:val="24"/>
        </w:rPr>
        <w:t xml:space="preserve">•  Resolver la contradicción entre certification_gate.json y FINAL_VERDICT.json (F4): un solo artefacto de veredicto, con criterio único de certificación.</w:t>
      </w:r>
    </w:p>
    <w:p>
      <w:pPr>
        <w:pStyle w:val="Heading2"/>
        <w:spacing w:after="120" w:before="240"/>
      </w:pPr>
      <w:bookmarkStart w:id="100014" w:name="_Toc100014"/>
      <w:r>
        <w:rPr>
          <w:rFonts w:ascii="Calibri" w:eastAsia="Noto Sans SC"/>
          <w:b/>
          <w:bCs/>
          <w:color w:val="3A7A6E"/>
        </w:rPr>
        <w:t xml:space="preserve">Fase C — Puente fiscal real y CI productivo (1–2 semanas)</w:t>
      </w:r>
      <w:bookmarkEnd w:id="100014"/>
    </w:p>
    <w:p>
      <w:pPr>
        <w:spacing w:after="60" w:line="312"/>
        <w:ind w:left="720"/>
        <w:jc w:val="both"/>
      </w:pPr>
      <w:r>
        <w:rPr>
          <w:rFonts w:ascii="Calibri" w:eastAsia="Noto Sans SC"/>
          <w:color w:val="000000"/>
          <w:sz w:val="24"/>
          <w:szCs w:val="24"/>
        </w:rPr>
        <w:t xml:space="preserve">•  Construir ripley_invoice_map en la DB oficial a partir de los transaction-logs con Número de factura, cruzando contra el portal SII; si la fuente fiscal sigue ausente, mantener el estado BLOCKED honesto en lugar de inventar folios.</w:t>
      </w:r>
    </w:p>
    <w:p>
      <w:pPr>
        <w:spacing w:after="60" w:line="312"/>
        <w:ind w:left="720"/>
        <w:jc w:val="both"/>
      </w:pPr>
      <w:r>
        <w:rPr>
          <w:rFonts w:ascii="Calibri" w:eastAsia="Noto Sans SC"/>
          <w:color w:val="000000"/>
          <w:sz w:val="24"/>
          <w:szCs w:val="24"/>
        </w:rPr>
        <w:t xml:space="preserve">•  Hacer que CI efectivamente ejecute los gates: versionar la baseline V8 (git-lfs o paso de restore en el workflow), quitar --exit-zero y continue-on-error de lint/mypy, agregar timeout-minutes y pin de dependencias (F5).</w:t>
      </w:r>
    </w:p>
    <w:p>
      <w:pPr>
        <w:spacing w:after="60" w:line="312"/>
        <w:ind w:left="720"/>
        <w:jc w:val="both"/>
      </w:pPr>
      <w:r>
        <w:rPr>
          <w:rFonts w:ascii="Calibri" w:eastAsia="Noto Sans SC"/>
          <w:color w:val="000000"/>
          <w:sz w:val="24"/>
          <w:szCs w:val="24"/>
        </w:rPr>
        <w:t xml:space="preserve">•  Reducir los 38 fallos baseline: 22 son regresiones reales de test_loop_control; 3 de test_ripley_path_resolution dependen de rutas de la máquina local y deben fixture-izarse o marcarse no-CI; 1 es un test asyncio que pasa sin ejecutar por falta de pytest-asyncio.</w:t>
      </w:r>
    </w:p>
    <w:p>
      <w:pPr>
        <w:spacing w:after="60" w:line="312"/>
        <w:ind w:left="720"/>
        <w:jc w:val="both"/>
      </w:pPr>
      <w:r>
        <w:rPr>
          <w:rFonts w:ascii="Calibri" w:eastAsia="Noto Sans SC"/>
          <w:color w:val="000000"/>
          <w:sz w:val="24"/>
          <w:szCs w:val="24"/>
        </w:rPr>
        <w:t xml:space="preserve">•  Consolidar las tablas Ripley en una sola cadena documental (ripley_settlement_chain) y desactivar dte_link_v1/dte_ledger_link/document_match_v1 para Ripley, cerrando el solapamiento B9.</w:t>
      </w:r>
    </w:p>
    <w:p>
      <w:pPr>
        <w:pStyle w:val="Heading2"/>
        <w:spacing w:after="120" w:before="240"/>
      </w:pPr>
      <w:bookmarkStart w:id="100015" w:name="_Toc100015"/>
      <w:r>
        <w:rPr>
          <w:rFonts w:ascii="Calibri" w:eastAsia="Noto Sans SC"/>
          <w:b/>
          <w:bCs/>
          <w:color w:val="3A7A6E"/>
        </w:rPr>
        <w:t xml:space="preserve">Qué NO hacer</w:t>
      </w:r>
      <w:bookmarkEnd w:id="100015"/>
    </w:p>
    <w:p>
      <w:pPr>
        <w:spacing w:after="60" w:line="312"/>
        <w:ind w:left="720"/>
        <w:jc w:val="both"/>
      </w:pPr>
      <w:r>
        <w:rPr>
          <w:rFonts w:ascii="Calibri" w:eastAsia="Noto Sans SC"/>
          <w:color w:val="000000"/>
          <w:sz w:val="24"/>
          <w:szCs w:val="24"/>
        </w:rPr>
        <w:t xml:space="preserve">•  No construir un frontend React/Vite: la UI server-side en templates/ es la UI desplegable y la decisión de alcance ya está tomada.</w:t>
      </w:r>
    </w:p>
    <w:p>
      <w:pPr>
        <w:spacing w:after="60" w:line="312"/>
        <w:ind w:left="720"/>
        <w:jc w:val="both"/>
      </w:pPr>
      <w:r>
        <w:rPr>
          <w:rFonts w:ascii="Calibri" w:eastAsia="Noto Sans SC"/>
          <w:color w:val="000000"/>
          <w:sz w:val="24"/>
          <w:szCs w:val="24"/>
        </w:rPr>
        <w:t xml:space="preserve">•  No agregar más tablas Ripley: ya hay cinco superpuestas y cada una nueva multiplica la deuda.</w:t>
      </w:r>
    </w:p>
    <w:p>
      <w:pPr>
        <w:spacing w:after="60" w:line="312"/>
        <w:ind w:left="720"/>
        <w:jc w:val="both"/>
      </w:pPr>
      <w:r>
        <w:rPr>
          <w:rFonts w:ascii="Calibri" w:eastAsia="Noto Sans SC"/>
          <w:color w:val="000000"/>
          <w:sz w:val="24"/>
          <w:szCs w:val="24"/>
        </w:rPr>
        <w:t xml:space="preserve">•  No “arreglar” las rutas de certificación sin corregir también el gate: pasaríamos de un 0.0% accidental a un 97.9% de referencias de liquidación presentado como certificación.</w:t>
      </w:r>
    </w:p>
    <w:p>
      <w:pPr>
        <w:spacing w:after="60" w:line="312"/>
        <w:ind w:left="720"/>
        <w:jc w:val="both"/>
      </w:pPr>
      <w:r>
        <w:rPr>
          <w:rFonts w:ascii="Calibri" w:eastAsia="Noto Sans SC"/>
          <w:color w:val="000000"/>
          <w:sz w:val="24"/>
          <w:szCs w:val="24"/>
        </w:rPr>
        <w:t xml:space="preserve">•  No declarar PRODUCTION_BASELINE_CERTIFIED mientras Ripley siga BLOCKED sin exponerlo en la API y los dashboards.</w:t>
      </w:r>
    </w:p>
    <w:p>
      <w:pPr>
        <w:pStyle w:val="Heading1"/>
        <w:spacing w:after="120" w:before="360"/>
      </w:pPr>
      <w:bookmarkStart w:id="100016" w:name="_Toc100016"/>
      <w:r>
        <w:rPr>
          <w:rFonts w:ascii="Calibri" w:eastAsia="Noto Sans SC"/>
          <w:b/>
          <w:bCs/>
          <w:color w:val="3A7A6E"/>
        </w:rPr>
        <w:t xml:space="preserve">7. Conclusiones</w:t>
      </w:r>
      <w:bookmarkEnd w:id="100016"/>
    </w:p>
    <w:p>
      <w:pPr>
        <w:spacing w:after="120" w:line="312"/>
        <w:jc w:val="both"/>
      </w:pPr>
      <w:r>
        <w:rPr>
          <w:rFonts w:ascii="Calibri" w:eastAsia="Noto Sans SC"/>
          <w:color w:val="000000"/>
          <w:sz w:val="24"/>
          <w:szCs w:val="24"/>
        </w:rPr>
        <w:t xml:space="preserve">El proyecto Marketplace Financial AI Engine está más cerca de producción de lo que sugiere el ciclo de avances y retrocesos: la documentación es honesta, los parches fueron consolidados, la trazabilidad tributaria global avanzó con 32,992 intersecciones reales y 88,926 filas certificadas fuera de Ripley, y la base de datos oficial es estable y no mutada. El bloqueo restante no es técnico en el sentido de “falta de código”: es un bloqueo de veracidad y gobernanza.</w:t>
      </w:r>
    </w:p>
    <w:p>
      <w:pPr>
        <w:spacing w:after="120" w:line="312"/>
        <w:jc w:val="both"/>
      </w:pPr>
      <w:r>
        <w:rPr>
          <w:rFonts w:ascii="Calibri" w:eastAsia="Noto Sans SC"/>
          <w:color w:val="000000"/>
          <w:sz w:val="24"/>
          <w:szCs w:val="24"/>
        </w:rPr>
        <w:t xml:space="preserve">El veredicto de esta auditoría es que el paso a producción es alcanzable en 2 a 3 semanas de trabajo quirúrgico si se ejecutan las tres fases: versionar todo el trabajo pendiente, hacer que el gate mida la intersección fiscal real y exponer a Ripley como NO_CERTIFICABLE hasta que exista la fuente fiscal que lo conecte con el SII. La alternativa —seguir agregando componentes honestos aislados sin integrarlos al flujo— prolongará indefinidamente el ciclo de avances y retrocesos.</w:t>
      </w:r>
    </w:p>
    <w:p>
      <w:pPr>
        <w:spacing w:after="120" w:line="312"/>
        <w:jc w:val="both"/>
      </w:pPr>
      <w:r>
        <w:rPr>
          <w:rFonts w:ascii="Calibri" w:eastAsia="Noto Sans SC"/>
          <w:color w:val="000000"/>
          <w:sz w:val="24"/>
          <w:szCs w:val="24"/>
        </w:rPr>
        <w:t xml:space="preserve">La regla de oro que resume esta auditoría: el final feliz llega cuando el producto promete lo que los datos pueden respaldar. Todo lo demás es más código que retrasa la entrega.</w:t>
      </w:r>
    </w:p>
    <w:p>
      <w:pPr>
        <w:pStyle w:val="Heading1"/>
        <w:spacing w:after="120" w:before="360"/>
      </w:pPr>
      <w:bookmarkStart w:id="100017" w:name="_Toc100017"/>
      <w:r>
        <w:rPr>
          <w:rFonts w:ascii="Calibri" w:eastAsia="Noto Sans SC"/>
          <w:b/>
          <w:bCs/>
          <w:color w:val="3A7A6E"/>
        </w:rPr>
        <w:t xml:space="preserve">8. Anexo — Métricas Clave de la Auditoría</w:t>
      </w:r>
      <w:bookmarkEnd w:id="100017"/>
    </w:p>
    <w:p>
      <w:pPr>
        <w:spacing w:after="200" w:before="100"/>
        <w:jc w:val="center"/>
      </w:pPr>
      <w:r>
        <w:rPr>
          <w:rFonts w:ascii="Calibri"/>
          <w:b/>
          <w:bCs/>
          <w:color w:val="404040"/>
          <w:sz w:val="20"/>
          <w:szCs w:val="20"/>
        </w:rPr>
        <w:t xml:space="preserve">Tabla 2: Métricas verificadas contra la DB oficial (read-only, 26-08-2026)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cantSplit/>
          <w:tblHeader/>
        </w:trPr>
        <w:tc>
          <w:tcPr>
            <w:tcW w:type="pct" w:w="30%"/>
            <w:tcBorders>
              <w:top w:val="single" w:color="BECFCC" w:sz="4"/>
              <w:left w:val="single" w:color="BECFCC" w:sz="4"/>
              <w:bottom w:val="single" w:color="BECFCC" w:sz="4"/>
              <w:right w:val="single" w:color="BECFCC" w:sz="4"/>
            </w:tcBorders>
            <w:shd w:fill="3A7A6E" w:val="clear"/>
            <w:vAlign w:val="center"/>
          </w:tcPr>
          <w:p>
            <w:pPr>
              <w:spacing w:after="40"/>
              <w:jc w:val="center"/>
            </w:pPr>
            <w:r>
              <w:rPr>
                <w:rFonts w:ascii="Calibri"/>
                <w:b/>
                <w:bCs/>
                <w:color w:val="FFFFFF"/>
                <w:sz w:val="20"/>
                <w:szCs w:val="20"/>
              </w:rPr>
              <w:t xml:space="preserve">Métrica</w:t>
            </w:r>
          </w:p>
        </w:tc>
        <w:tc>
          <w:tcPr>
            <w:tcW w:type="pct" w:w="40%"/>
            <w:tcBorders>
              <w:top w:val="single" w:color="BECFCC" w:sz="4"/>
              <w:left w:val="single" w:color="BECFCC" w:sz="4"/>
              <w:bottom w:val="single" w:color="BECFCC" w:sz="4"/>
              <w:right w:val="single" w:color="BECFCC" w:sz="4"/>
            </w:tcBorders>
            <w:shd w:fill="3A7A6E" w:val="clear"/>
            <w:vAlign w:val="center"/>
          </w:tcPr>
          <w:p>
            <w:pPr>
              <w:spacing w:after="40"/>
              <w:jc w:val="center"/>
            </w:pPr>
            <w:r>
              <w:rPr>
                <w:rFonts w:ascii="Calibri"/>
                <w:b/>
                <w:bCs/>
                <w:color w:val="FFFFFF"/>
                <w:sz w:val="20"/>
                <w:szCs w:val="20"/>
              </w:rPr>
              <w:t xml:space="preserve">Valor</w:t>
            </w:r>
          </w:p>
        </w:tc>
        <w:tc>
          <w:tcPr>
            <w:tcW w:type="pct" w:w="30%"/>
            <w:tcBorders>
              <w:top w:val="single" w:color="BECFCC" w:sz="4"/>
              <w:left w:val="single" w:color="BECFCC" w:sz="4"/>
              <w:bottom w:val="single" w:color="BECFCC" w:sz="4"/>
              <w:right w:val="single" w:color="BECFCC" w:sz="4"/>
            </w:tcBorders>
            <w:shd w:fill="3A7A6E" w:val="clear"/>
            <w:vAlign w:val="center"/>
          </w:tcPr>
          <w:p>
            <w:pPr>
              <w:spacing w:after="40"/>
              <w:jc w:val="center"/>
            </w:pPr>
            <w:r>
              <w:rPr>
                <w:rFonts w:ascii="Calibri"/>
                <w:b/>
                <w:bCs/>
                <w:color w:val="FFFFFF"/>
                <w:sz w:val="20"/>
                <w:szCs w:val="20"/>
              </w:rPr>
              <w:t xml:space="preserve">Interpretación</w:t>
            </w:r>
          </w:p>
        </w:tc>
      </w:tr>
      <w:tr>
        <w:trPr>
          <w:cantSplit/>
        </w:trPr>
        <w:tc>
          <w:tcPr>
            <w:tcW w:type="pct" w:w="30%"/>
            <w:tcBorders>
              <w:top w:val="single" w:color="BECFCC" w:sz="4"/>
              <w:left w:val="single" w:color="BECFCC" w:sz="4"/>
              <w:bottom w:val="single" w:color="BECFCC" w:sz="4"/>
              <w:right w:val="single" w:color="BECFCC" w:sz="4"/>
            </w:tcBorders>
            <w:shd w:fill="E8ECEB" w:val="clear"/>
          </w:tcPr>
          <w:p>
            <w:pPr>
              <w:spacing w:after="40"/>
            </w:pPr>
            <w:r>
              <w:rPr>
                <w:rFonts w:ascii="Calibri" w:eastAsia="Noto Sans SC"/>
                <w:color w:val="000000"/>
                <w:sz w:val="20"/>
                <w:szCs w:val="20"/>
              </w:rPr>
              <w:t xml:space="preserve">DB oficial</w:t>
            </w:r>
          </w:p>
        </w:tc>
        <w:tc>
          <w:tcPr>
            <w:tcW w:type="pct" w:w="40%"/>
            <w:tcBorders>
              <w:top w:val="single" w:color="BECFCC" w:sz="4"/>
              <w:left w:val="single" w:color="BECFCC" w:sz="4"/>
              <w:bottom w:val="single" w:color="BECFCC" w:sz="4"/>
              <w:right w:val="single" w:color="BECFCC" w:sz="4"/>
            </w:tcBorders>
            <w:shd w:fill="FFFFFF" w:val="clear"/>
          </w:tcPr>
          <w:p>
            <w:pPr>
              <w:spacing w:after="40"/>
            </w:pPr>
            <w:r>
              <w:rPr>
                <w:rFonts w:ascii="Calibri" w:eastAsia="Noto Sans SC"/>
                <w:color w:val="000000"/>
                <w:sz w:val="20"/>
                <w:szCs w:val="20"/>
              </w:rPr>
              <w:t xml:space="preserve">meli_financial_v4.db, 58.7 MB, SHA 311c78e2…, 37 tablas + 57 vistas</w:t>
            </w:r>
          </w:p>
        </w:tc>
        <w:tc>
          <w:tcPr>
            <w:tcW w:type="pct" w:w="30%"/>
            <w:tcBorders>
              <w:top w:val="single" w:color="BECFCC" w:sz="4"/>
              <w:left w:val="single" w:color="BECFCC" w:sz="4"/>
              <w:bottom w:val="single" w:color="BECFCC" w:sz="4"/>
              <w:right w:val="single" w:color="BECFCC" w:sz="4"/>
            </w:tcBorders>
            <w:shd w:fill="FFFFFF" w:val="clear"/>
          </w:tcPr>
          <w:p>
            <w:pPr>
              <w:spacing w:after="40"/>
            </w:pPr>
            <w:r>
              <w:rPr>
                <w:rFonts w:ascii="Calibri" w:eastAsia="Noto Sans SC"/>
                <w:color w:val="000000"/>
                <w:sz w:val="20"/>
                <w:szCs w:val="20"/>
              </w:rPr>
              <w:t xml:space="preserve">Estable desde el 14-08, read-only en runtime</w:t>
            </w:r>
          </w:p>
        </w:tc>
      </w:tr>
      <w:tr>
        <w:trPr>
          <w:cantSplit/>
        </w:trPr>
        <w:tc>
          <w:tcPr>
            <w:tcW w:type="pct" w:w="30%"/>
            <w:tcBorders>
              <w:top w:val="single" w:color="BECFCC" w:sz="4"/>
              <w:left w:val="single" w:color="BECFCC" w:sz="4"/>
              <w:bottom w:val="single" w:color="BECFCC" w:sz="4"/>
              <w:right w:val="single" w:color="BECFCC" w:sz="4"/>
            </w:tcBorders>
            <w:shd w:fill="E8ECEB" w:val="clear"/>
          </w:tcPr>
          <w:p>
            <w:pPr>
              <w:spacing w:after="40"/>
            </w:pPr>
            <w:r>
              <w:rPr>
                <w:rFonts w:ascii="Calibri" w:eastAsia="Noto Sans SC"/>
                <w:color w:val="000000"/>
                <w:sz w:val="20"/>
                <w:szCs w:val="20"/>
              </w:rPr>
              <w:t xml:space="preserve">Ledger total / Ripley</w:t>
            </w:r>
          </w:p>
        </w:tc>
        <w:tc>
          <w:tcPr>
            <w:tcW w:type="pct" w:w="40%"/>
            <w:tcBorders>
              <w:top w:val="single" w:color="BECFCC" w:sz="4"/>
              <w:left w:val="single" w:color="BECFCC" w:sz="4"/>
              <w:bottom w:val="single" w:color="BECFCC" w:sz="4"/>
              <w:right w:val="single" w:color="BECFCC" w:sz="4"/>
            </w:tcBorders>
            <w:shd w:fill="FFFFFF" w:val="clear"/>
          </w:tcPr>
          <w:p>
            <w:pPr>
              <w:spacing w:after="40"/>
            </w:pPr>
            <w:r>
              <w:rPr>
                <w:rFonts w:ascii="Calibri" w:eastAsia="Noto Sans SC"/>
                <w:color w:val="000000"/>
                <w:sz w:val="20"/>
                <w:szCs w:val="20"/>
              </w:rPr>
              <w:t xml:space="preserve">598,112 / 287,417 filas</w:t>
            </w:r>
          </w:p>
        </w:tc>
        <w:tc>
          <w:tcPr>
            <w:tcW w:type="pct" w:w="30%"/>
            <w:tcBorders>
              <w:top w:val="single" w:color="BECFCC" w:sz="4"/>
              <w:left w:val="single" w:color="BECFCC" w:sz="4"/>
              <w:bottom w:val="single" w:color="BECFCC" w:sz="4"/>
              <w:right w:val="single" w:color="BECFCC" w:sz="4"/>
            </w:tcBorders>
            <w:shd w:fill="FFFFFF" w:val="clear"/>
          </w:tcPr>
          <w:p>
            <w:pPr>
              <w:spacing w:after="40"/>
            </w:pPr>
            <w:r>
              <w:rPr>
                <w:rFonts w:ascii="Calibri" w:eastAsia="Noto Sans SC"/>
                <w:color w:val="000000"/>
                <w:sz w:val="20"/>
                <w:szCs w:val="20"/>
              </w:rPr>
              <w:t xml:space="preserve">Volumen operacional</w:t>
            </w:r>
          </w:p>
        </w:tc>
      </w:tr>
      <w:tr>
        <w:trPr>
          <w:cantSplit/>
        </w:trPr>
        <w:tc>
          <w:tcPr>
            <w:tcW w:type="pct" w:w="30%"/>
            <w:tcBorders>
              <w:top w:val="single" w:color="BECFCC" w:sz="4"/>
              <w:left w:val="single" w:color="BECFCC" w:sz="4"/>
              <w:bottom w:val="single" w:color="BECFCC" w:sz="4"/>
              <w:right w:val="single" w:color="BECFCC" w:sz="4"/>
            </w:tcBorders>
            <w:shd w:fill="E8ECEB" w:val="clear"/>
          </w:tcPr>
          <w:p>
            <w:pPr>
              <w:spacing w:after="40"/>
            </w:pPr>
            <w:r>
              <w:rPr>
                <w:rFonts w:ascii="Calibri" w:eastAsia="Noto Sans SC"/>
                <w:color w:val="000000"/>
                <w:sz w:val="20"/>
                <w:szCs w:val="20"/>
              </w:rPr>
              <w:t xml:space="preserve">dte_link_v1 total / Ripley</w:t>
            </w:r>
          </w:p>
        </w:tc>
        <w:tc>
          <w:tcPr>
            <w:tcW w:type="pct" w:w="40%"/>
            <w:tcBorders>
              <w:top w:val="single" w:color="BECFCC" w:sz="4"/>
              <w:left w:val="single" w:color="BECFCC" w:sz="4"/>
              <w:bottom w:val="single" w:color="BECFCC" w:sz="4"/>
              <w:right w:val="single" w:color="BECFCC" w:sz="4"/>
            </w:tcBorders>
            <w:shd w:fill="FFFFFF" w:val="clear"/>
          </w:tcPr>
          <w:p>
            <w:pPr>
              <w:spacing w:after="40"/>
            </w:pPr>
            <w:r>
              <w:rPr>
                <w:rFonts w:ascii="Calibri" w:eastAsia="Noto Sans SC"/>
                <w:color w:val="000000"/>
                <w:sz w:val="20"/>
                <w:szCs w:val="20"/>
              </w:rPr>
              <w:t xml:space="preserve">339,112 / 210,232 (100% LEDGER_EXISTING)</w:t>
            </w:r>
          </w:p>
        </w:tc>
        <w:tc>
          <w:tcPr>
            <w:tcW w:type="pct" w:w="30%"/>
            <w:tcBorders>
              <w:top w:val="single" w:color="BECFCC" w:sz="4"/>
              <w:left w:val="single" w:color="BECFCC" w:sz="4"/>
              <w:bottom w:val="single" w:color="BECFCC" w:sz="4"/>
              <w:right w:val="single" w:color="BECFCC" w:sz="4"/>
            </w:tcBorders>
            <w:shd w:fill="FFFFFF" w:val="clear"/>
          </w:tcPr>
          <w:p>
            <w:pPr>
              <w:spacing w:after="40"/>
            </w:pPr>
            <w:r>
              <w:rPr>
                <w:rFonts w:ascii="Calibri" w:eastAsia="Noto Sans SC"/>
                <w:color w:val="000000"/>
                <w:sz w:val="20"/>
                <w:szCs w:val="20"/>
              </w:rPr>
              <w:t xml:space="preserve">Auto-certificación circular de Ripley intacta</w:t>
            </w:r>
          </w:p>
        </w:tc>
      </w:tr>
      <w:tr>
        <w:trPr>
          <w:cantSplit/>
        </w:trPr>
        <w:tc>
          <w:tcPr>
            <w:tcW w:type="pct" w:w="30%"/>
            <w:tcBorders>
              <w:top w:val="single" w:color="BECFCC" w:sz="4"/>
              <w:left w:val="single" w:color="BECFCC" w:sz="4"/>
              <w:bottom w:val="single" w:color="BECFCC" w:sz="4"/>
              <w:right w:val="single" w:color="BECFCC" w:sz="4"/>
            </w:tcBorders>
            <w:shd w:fill="E8ECEB" w:val="clear"/>
          </w:tcPr>
          <w:p>
            <w:pPr>
              <w:spacing w:after="40"/>
            </w:pPr>
            <w:r>
              <w:rPr>
                <w:rFonts w:ascii="Calibri" w:eastAsia="Noto Sans SC"/>
                <w:color w:val="000000"/>
                <w:sz w:val="20"/>
                <w:szCs w:val="20"/>
              </w:rPr>
              <w:t xml:space="preserve">dte_truth_v1 folios / Ripley</w:t>
            </w:r>
          </w:p>
        </w:tc>
        <w:tc>
          <w:tcPr>
            <w:tcW w:type="pct" w:w="40%"/>
            <w:tcBorders>
              <w:top w:val="single" w:color="BECFCC" w:sz="4"/>
              <w:left w:val="single" w:color="BECFCC" w:sz="4"/>
              <w:bottom w:val="single" w:color="BECFCC" w:sz="4"/>
              <w:right w:val="single" w:color="BECFCC" w:sz="4"/>
            </w:tcBorders>
            <w:shd w:fill="FFFFFF" w:val="clear"/>
          </w:tcPr>
          <w:p>
            <w:pPr>
              <w:spacing w:after="40"/>
            </w:pPr>
            <w:r>
              <w:rPr>
                <w:rFonts w:ascii="Calibri" w:eastAsia="Noto Sans SC"/>
                <w:color w:val="000000"/>
                <w:sz w:val="20"/>
                <w:szCs w:val="20"/>
              </w:rPr>
              <w:t xml:space="preserve">667 / 407</w:t>
            </w:r>
          </w:p>
        </w:tc>
        <w:tc>
          <w:tcPr>
            <w:tcW w:type="pct" w:w="30%"/>
            <w:tcBorders>
              <w:top w:val="single" w:color="BECFCC" w:sz="4"/>
              <w:left w:val="single" w:color="BECFCC" w:sz="4"/>
              <w:bottom w:val="single" w:color="BECFCC" w:sz="4"/>
              <w:right w:val="single" w:color="BECFCC" w:sz="4"/>
            </w:tcBorders>
            <w:shd w:fill="FFFFFF" w:val="clear"/>
          </w:tcPr>
          <w:p>
            <w:pPr>
              <w:spacing w:after="40"/>
            </w:pPr>
            <w:r>
              <w:rPr>
                <w:rFonts w:ascii="Calibri" w:eastAsia="Noto Sans SC"/>
                <w:color w:val="000000"/>
                <w:sz w:val="20"/>
                <w:szCs w:val="20"/>
              </w:rPr>
              <w:t xml:space="preserve">DTE SII reales de Facturación</w:t>
            </w:r>
          </w:p>
        </w:tc>
      </w:tr>
      <w:tr>
        <w:trPr>
          <w:cantSplit/>
        </w:trPr>
        <w:tc>
          <w:tcPr>
            <w:tcW w:type="pct" w:w="30%"/>
            <w:tcBorders>
              <w:top w:val="single" w:color="BECFCC" w:sz="4"/>
              <w:left w:val="single" w:color="BECFCC" w:sz="4"/>
              <w:bottom w:val="single" w:color="BECFCC" w:sz="4"/>
              <w:right w:val="single" w:color="BECFCC" w:sz="4"/>
            </w:tcBorders>
            <w:shd w:fill="E8ECEB" w:val="clear"/>
          </w:tcPr>
          <w:p>
            <w:pPr>
              <w:spacing w:after="40"/>
            </w:pPr>
            <w:r>
              <w:rPr>
                <w:rFonts w:ascii="Calibri" w:eastAsia="Noto Sans SC"/>
                <w:color w:val="000000"/>
                <w:sz w:val="20"/>
                <w:szCs w:val="20"/>
              </w:rPr>
              <w:t xml:space="preserve">Intersección truth∩link global / Ripley</w:t>
            </w:r>
          </w:p>
        </w:tc>
        <w:tc>
          <w:tcPr>
            <w:tcW w:type="pct" w:w="40%"/>
            <w:tcBorders>
              <w:top w:val="single" w:color="BECFCC" w:sz="4"/>
              <w:left w:val="single" w:color="BECFCC" w:sz="4"/>
              <w:bottom w:val="single" w:color="BECFCC" w:sz="4"/>
              <w:right w:val="single" w:color="BECFCC" w:sz="4"/>
            </w:tcBorders>
            <w:shd w:fill="FFFFFF" w:val="clear"/>
          </w:tcPr>
          <w:p>
            <w:pPr>
              <w:spacing w:after="40"/>
            </w:pPr>
            <w:r>
              <w:rPr>
                <w:rFonts w:ascii="Calibri" w:eastAsia="Noto Sans SC"/>
                <w:color w:val="000000"/>
                <w:sz w:val="20"/>
                <w:szCs w:val="20"/>
              </w:rPr>
              <w:t xml:space="preserve">32,992 (XLSX_EXTRACT) / 0</w:t>
            </w:r>
          </w:p>
        </w:tc>
        <w:tc>
          <w:tcPr>
            <w:tcW w:type="pct" w:w="30%"/>
            <w:tcBorders>
              <w:top w:val="single" w:color="BECFCC" w:sz="4"/>
              <w:left w:val="single" w:color="BECFCC" w:sz="4"/>
              <w:bottom w:val="single" w:color="BECFCC" w:sz="4"/>
              <w:right w:val="single" w:color="BECFCC" w:sz="4"/>
            </w:tcBorders>
            <w:shd w:fill="FFFFFF" w:val="clear"/>
          </w:tcPr>
          <w:p>
            <w:pPr>
              <w:spacing w:after="40"/>
            </w:pPr>
            <w:r>
              <w:rPr>
                <w:rFonts w:ascii="Calibri" w:eastAsia="Noto Sans SC"/>
                <w:color w:val="000000"/>
                <w:sz w:val="20"/>
                <w:szCs w:val="20"/>
              </w:rPr>
              <w:t xml:space="preserve">Avance real global; Ripley sin vínculo fiscal</w:t>
            </w:r>
          </w:p>
        </w:tc>
      </w:tr>
      <w:tr>
        <w:trPr>
          <w:cantSplit/>
        </w:trPr>
        <w:tc>
          <w:tcPr>
            <w:tcW w:type="pct" w:w="30%"/>
            <w:tcBorders>
              <w:top w:val="single" w:color="BECFCC" w:sz="4"/>
              <w:left w:val="single" w:color="BECFCC" w:sz="4"/>
              <w:bottom w:val="single" w:color="BECFCC" w:sz="4"/>
              <w:right w:val="single" w:color="BECFCC" w:sz="4"/>
            </w:tcBorders>
            <w:shd w:fill="E8ECEB" w:val="clear"/>
          </w:tcPr>
          <w:p>
            <w:pPr>
              <w:spacing w:after="40"/>
            </w:pPr>
            <w:r>
              <w:rPr>
                <w:rFonts w:ascii="Calibri" w:eastAsia="Noto Sans SC"/>
                <w:color w:val="000000"/>
                <w:sz w:val="20"/>
                <w:szCs w:val="20"/>
              </w:rPr>
              <w:t xml:space="preserve">folio_xml Ripley</w:t>
            </w:r>
          </w:p>
        </w:tc>
        <w:tc>
          <w:tcPr>
            <w:tcW w:type="pct" w:w="40%"/>
            <w:tcBorders>
              <w:top w:val="single" w:color="BECFCC" w:sz="4"/>
              <w:left w:val="single" w:color="BECFCC" w:sz="4"/>
              <w:bottom w:val="single" w:color="BECFCC" w:sz="4"/>
              <w:right w:val="single" w:color="BECFCC" w:sz="4"/>
            </w:tcBorders>
            <w:shd w:fill="FFFFFF" w:val="clear"/>
          </w:tcPr>
          <w:p>
            <w:pPr>
              <w:spacing w:after="40"/>
            </w:pPr>
            <w:r>
              <w:rPr>
                <w:rFonts w:ascii="Calibri" w:eastAsia="Noto Sans SC"/>
                <w:color w:val="000000"/>
                <w:sz w:val="20"/>
                <w:szCs w:val="20"/>
              </w:rPr>
              <w:t xml:space="preserve">281,476/287,417 (97.9%) = 167 refs de liquidación</w:t>
            </w:r>
          </w:p>
        </w:tc>
        <w:tc>
          <w:tcPr>
            <w:tcW w:type="pct" w:w="30%"/>
            <w:tcBorders>
              <w:top w:val="single" w:color="BECFCC" w:sz="4"/>
              <w:left w:val="single" w:color="BECFCC" w:sz="4"/>
              <w:bottom w:val="single" w:color="BECFCC" w:sz="4"/>
              <w:right w:val="single" w:color="BECFCC" w:sz="4"/>
            </w:tcBorders>
            <w:shd w:fill="FFFFFF" w:val="clear"/>
          </w:tcPr>
          <w:p>
            <w:pPr>
              <w:spacing w:after="40"/>
            </w:pPr>
            <w:r>
              <w:rPr>
                <w:rFonts w:ascii="Calibri" w:eastAsia="Noto Sans SC"/>
                <w:color w:val="000000"/>
                <w:sz w:val="20"/>
                <w:szCs w:val="20"/>
              </w:rPr>
              <w:t xml:space="preserve">NO son folios SII; namespaces disjuntos</w:t>
            </w:r>
          </w:p>
        </w:tc>
      </w:tr>
      <w:tr>
        <w:trPr>
          <w:cantSplit/>
        </w:trPr>
        <w:tc>
          <w:tcPr>
            <w:tcW w:type="pct" w:w="30%"/>
            <w:tcBorders>
              <w:top w:val="single" w:color="BECFCC" w:sz="4"/>
              <w:left w:val="single" w:color="BECFCC" w:sz="4"/>
              <w:bottom w:val="single" w:color="BECFCC" w:sz="4"/>
              <w:right w:val="single" w:color="BECFCC" w:sz="4"/>
            </w:tcBorders>
            <w:shd w:fill="E8ECEB" w:val="clear"/>
          </w:tcPr>
          <w:p>
            <w:pPr>
              <w:spacing w:after="40"/>
            </w:pPr>
            <w:r>
              <w:rPr>
                <w:rFonts w:ascii="Calibri" w:eastAsia="Noto Sans SC"/>
                <w:color w:val="000000"/>
                <w:sz w:val="20"/>
                <w:szCs w:val="20"/>
              </w:rPr>
              <w:t xml:space="preserve">v_ledger_certified Ripley</w:t>
            </w:r>
          </w:p>
        </w:tc>
        <w:tc>
          <w:tcPr>
            <w:tcW w:type="pct" w:w="40%"/>
            <w:tcBorders>
              <w:top w:val="single" w:color="BECFCC" w:sz="4"/>
              <w:left w:val="single" w:color="BECFCC" w:sz="4"/>
              <w:bottom w:val="single" w:color="BECFCC" w:sz="4"/>
              <w:right w:val="single" w:color="BECFCC" w:sz="4"/>
            </w:tcBorders>
            <w:shd w:fill="FFFFFF" w:val="clear"/>
          </w:tcPr>
          <w:p>
            <w:pPr>
              <w:spacing w:after="40"/>
            </w:pPr>
            <w:r>
              <w:rPr>
                <w:rFonts w:ascii="Calibri" w:eastAsia="Noto Sans SC"/>
                <w:color w:val="000000"/>
                <w:sz w:val="20"/>
                <w:szCs w:val="20"/>
              </w:rPr>
              <w:t xml:space="preserve">215,961 CERTIFIED / 65,593 HAS_FOLIO / 5,863 NO_DOCUMENT</w:t>
            </w:r>
          </w:p>
        </w:tc>
        <w:tc>
          <w:tcPr>
            <w:tcW w:type="pct" w:w="30%"/>
            <w:tcBorders>
              <w:top w:val="single" w:color="BECFCC" w:sz="4"/>
              <w:left w:val="single" w:color="BECFCC" w:sz="4"/>
              <w:bottom w:val="single" w:color="BECFCC" w:sz="4"/>
              <w:right w:val="single" w:color="BECFCC" w:sz="4"/>
            </w:tcBorders>
            <w:shd w:fill="FFFFFF" w:val="clear"/>
          </w:tcPr>
          <w:p>
            <w:pPr>
              <w:spacing w:after="40"/>
            </w:pPr>
            <w:r>
              <w:rPr>
                <w:rFonts w:ascii="Calibri" w:eastAsia="Noto Sans SC"/>
                <w:color w:val="000000"/>
                <w:sz w:val="20"/>
                <w:szCs w:val="20"/>
              </w:rPr>
              <w:t xml:space="preserve">Vista productiva sigue marcando CERTIFIED circular</w:t>
            </w:r>
          </w:p>
        </w:tc>
      </w:tr>
      <w:tr>
        <w:trPr>
          <w:cantSplit/>
        </w:trPr>
        <w:tc>
          <w:tcPr>
            <w:tcW w:type="pct" w:w="30%"/>
            <w:tcBorders>
              <w:top w:val="single" w:color="BECFCC" w:sz="4"/>
              <w:left w:val="single" w:color="BECFCC" w:sz="4"/>
              <w:bottom w:val="single" w:color="BECFCC" w:sz="4"/>
              <w:right w:val="single" w:color="BECFCC" w:sz="4"/>
            </w:tcBorders>
            <w:shd w:fill="E8ECEB" w:val="clear"/>
          </w:tcPr>
          <w:p>
            <w:pPr>
              <w:spacing w:after="40"/>
            </w:pPr>
            <w:r>
              <w:rPr>
                <w:rFonts w:ascii="Calibri" w:eastAsia="Noto Sans SC"/>
                <w:color w:val="000000"/>
                <w:sz w:val="20"/>
                <w:szCs w:val="20"/>
              </w:rPr>
              <w:t xml:space="preserve">ripley_invoice_map</w:t>
            </w:r>
          </w:p>
        </w:tc>
        <w:tc>
          <w:tcPr>
            <w:tcW w:type="pct" w:w="40%"/>
            <w:tcBorders>
              <w:top w:val="single" w:color="BECFCC" w:sz="4"/>
              <w:left w:val="single" w:color="BECFCC" w:sz="4"/>
              <w:bottom w:val="single" w:color="BECFCC" w:sz="4"/>
              <w:right w:val="single" w:color="BECFCC" w:sz="4"/>
            </w:tcBorders>
            <w:shd w:fill="FFFFFF" w:val="clear"/>
          </w:tcPr>
          <w:p>
            <w:pPr>
              <w:spacing w:after="40"/>
            </w:pPr>
            <w:r>
              <w:rPr>
                <w:rFonts w:ascii="Calibri" w:eastAsia="Noto Sans SC"/>
                <w:color w:val="000000"/>
                <w:sz w:val="20"/>
                <w:szCs w:val="20"/>
              </w:rPr>
              <w:t xml:space="preserve">No existe en DB principal; v1 controlada 52/52 NO_DTE_FOUND</w:t>
            </w:r>
          </w:p>
        </w:tc>
        <w:tc>
          <w:tcPr>
            <w:tcW w:type="pct" w:w="30%"/>
            <w:tcBorders>
              <w:top w:val="single" w:color="BECFCC" w:sz="4"/>
              <w:left w:val="single" w:color="BECFCC" w:sz="4"/>
              <w:bottom w:val="single" w:color="BECFCC" w:sz="4"/>
              <w:right w:val="single" w:color="BECFCC" w:sz="4"/>
            </w:tcBorders>
            <w:shd w:fill="FFFFFF" w:val="clear"/>
          </w:tcPr>
          <w:p>
            <w:pPr>
              <w:spacing w:after="40"/>
            </w:pPr>
            <w:r>
              <w:rPr>
                <w:rFonts w:ascii="Calibri" w:eastAsia="Noto Sans SC"/>
                <w:color w:val="000000"/>
                <w:sz w:val="20"/>
                <w:szCs w:val="20"/>
              </w:rPr>
              <w:t xml:space="preserve">Llave fiscal no implementada</w:t>
            </w:r>
          </w:p>
        </w:tc>
      </w:tr>
      <w:tr>
        <w:trPr>
          <w:cantSplit/>
        </w:trPr>
        <w:tc>
          <w:tcPr>
            <w:tcW w:type="pct" w:w="30%"/>
            <w:tcBorders>
              <w:top w:val="single" w:color="BECFCC" w:sz="4"/>
              <w:left w:val="single" w:color="BECFCC" w:sz="4"/>
              <w:bottom w:val="single" w:color="BECFCC" w:sz="4"/>
              <w:right w:val="single" w:color="BECFCC" w:sz="4"/>
            </w:tcBorders>
            <w:shd w:fill="E8ECEB" w:val="clear"/>
          </w:tcPr>
          <w:p>
            <w:pPr>
              <w:spacing w:after="40"/>
            </w:pPr>
            <w:r>
              <w:rPr>
                <w:rFonts w:ascii="Calibri" w:eastAsia="Noto Sans SC"/>
                <w:color w:val="000000"/>
                <w:sz w:val="20"/>
                <w:szCs w:val="20"/>
              </w:rPr>
              <w:t xml:space="preserve">Tests</w:t>
            </w:r>
          </w:p>
        </w:tc>
        <w:tc>
          <w:tcPr>
            <w:tcW w:type="pct" w:w="40%"/>
            <w:tcBorders>
              <w:top w:val="single" w:color="BECFCC" w:sz="4"/>
              <w:left w:val="single" w:color="BECFCC" w:sz="4"/>
              <w:bottom w:val="single" w:color="BECFCC" w:sz="4"/>
              <w:right w:val="single" w:color="BECFCC" w:sz="4"/>
            </w:tcBorders>
            <w:shd w:fill="FFFFFF" w:val="clear"/>
          </w:tcPr>
          <w:p>
            <w:pPr>
              <w:spacing w:after="40"/>
            </w:pPr>
            <w:r>
              <w:rPr>
                <w:rFonts w:ascii="Calibri" w:eastAsia="Noto Sans SC"/>
                <w:color w:val="000000"/>
                <w:sz w:val="20"/>
                <w:szCs w:val="20"/>
              </w:rPr>
              <w:t xml:space="preserve">1106 colectados (~7 s); smoke+gate 31/31 (~5 s); 38 fallos baseline</w:t>
            </w:r>
          </w:p>
        </w:tc>
        <w:tc>
          <w:tcPr>
            <w:tcW w:type="pct" w:w="30%"/>
            <w:tcBorders>
              <w:top w:val="single" w:color="BECFCC" w:sz="4"/>
              <w:left w:val="single" w:color="BECFCC" w:sz="4"/>
              <w:bottom w:val="single" w:color="BECFCC" w:sz="4"/>
              <w:right w:val="single" w:color="BECFCC" w:sz="4"/>
            </w:tcBorders>
            <w:shd w:fill="FFFFFF" w:val="clear"/>
          </w:tcPr>
          <w:p>
            <w:pPr>
              <w:spacing w:after="40"/>
            </w:pPr>
            <w:r>
              <w:rPr>
                <w:rFonts w:ascii="Calibri" w:eastAsia="Noto Sans SC"/>
                <w:color w:val="000000"/>
                <w:sz w:val="20"/>
                <w:szCs w:val="20"/>
              </w:rPr>
              <w:t xml:space="preserve">Colección rápida; suite no verde</w:t>
            </w:r>
          </w:p>
        </w:tc>
      </w:tr>
      <w:tr>
        <w:trPr>
          <w:cantSplit/>
        </w:trPr>
        <w:tc>
          <w:tcPr>
            <w:tcW w:type="pct" w:w="30%"/>
            <w:tcBorders>
              <w:top w:val="single" w:color="BECFCC" w:sz="4"/>
              <w:left w:val="single" w:color="BECFCC" w:sz="4"/>
              <w:bottom w:val="single" w:color="BECFCC" w:sz="4"/>
              <w:right w:val="single" w:color="BECFCC" w:sz="4"/>
            </w:tcBorders>
            <w:shd w:fill="E8ECEB" w:val="clear"/>
          </w:tcPr>
          <w:p>
            <w:pPr>
              <w:spacing w:after="40"/>
            </w:pPr>
            <w:r>
              <w:rPr>
                <w:rFonts w:ascii="Calibri" w:eastAsia="Noto Sans SC"/>
                <w:color w:val="000000"/>
                <w:sz w:val="20"/>
                <w:szCs w:val="20"/>
              </w:rPr>
              <w:t xml:space="preserve">CI</w:t>
            </w:r>
          </w:p>
        </w:tc>
        <w:tc>
          <w:tcPr>
            <w:tcW w:type="pct" w:w="40%"/>
            <w:tcBorders>
              <w:top w:val="single" w:color="BECFCC" w:sz="4"/>
              <w:left w:val="single" w:color="BECFCC" w:sz="4"/>
              <w:bottom w:val="single" w:color="BECFCC" w:sz="4"/>
              <w:right w:val="single" w:color="BECFCC" w:sz="4"/>
            </w:tcBorders>
            <w:shd w:fill="FFFFFF" w:val="clear"/>
          </w:tcPr>
          <w:p>
            <w:pPr>
              <w:spacing w:after="40"/>
            </w:pPr>
            <w:r>
              <w:rPr>
                <w:rFonts w:ascii="Calibri" w:eastAsia="Noto Sans SC"/>
                <w:color w:val="000000"/>
                <w:sz w:val="20"/>
                <w:szCs w:val="20"/>
              </w:rPr>
              <w:t xml:space="preserve">1 workflow; lint/mypy no bloqueantes; DB ausente en git</w:t>
            </w:r>
          </w:p>
        </w:tc>
        <w:tc>
          <w:tcPr>
            <w:tcW w:type="pct" w:w="30%"/>
            <w:tcBorders>
              <w:top w:val="single" w:color="BECFCC" w:sz="4"/>
              <w:left w:val="single" w:color="BECFCC" w:sz="4"/>
              <w:bottom w:val="single" w:color="BECFCC" w:sz="4"/>
              <w:right w:val="single" w:color="BECFCC" w:sz="4"/>
            </w:tcBorders>
            <w:shd w:fill="FFFFFF" w:val="clear"/>
          </w:tcPr>
          <w:p>
            <w:pPr>
              <w:spacing w:after="40"/>
            </w:pPr>
            <w:r>
              <w:rPr>
                <w:rFonts w:ascii="Calibri" w:eastAsia="Noto Sans SC"/>
                <w:color w:val="000000"/>
                <w:sz w:val="20"/>
                <w:szCs w:val="20"/>
              </w:rPr>
              <w:t xml:space="preserve">Gates no ejecutan en checkout limpio</w:t>
            </w:r>
          </w:p>
        </w:tc>
      </w:tr>
    </w:tbl>
    <w:p>
      <w:pPr>
        <w:spacing w:after="120" w:line="312"/>
        <w:jc w:val="both"/>
      </w:pPr>
      <w:r>
        <w:rPr>
          <w:rFonts w:ascii="Calibri" w:eastAsia="Noto Sans SC"/>
          <w:color w:val="000000"/>
          <w:sz w:val="24"/>
          <w:szCs w:val="24"/>
        </w:rPr>
        <w:t xml:space="preserve">Fuentes de evidencia: worker_01_estructura.md (estructura vs README), worker_02_certificacion.md (capa de certificación), worker_03_adversarial.md (revisión adversarial B1–B9), worker_04_tests.md (suite y CI), review.md (consolidación) y brief.md (síntesis), todos en .cluster/audit-produccion-20260826/. Los hallazgos fueron verificados por múltiples agentes independientes; las consultas SQL y las corridas de pytest son reproducibles con los comandos documentados en cada worker.</w:t>
      </w:r>
    </w:p>
    <w:sectPr>
      <w:headerReference w:type="default" r:id="rId8"/>
      <w:footerReference w:type="default" r:id="rId9"/>
      <w:pgSz w:w="11906" w:h="16838" w:orient="portrait"/>
      <w:pgMar w:top="1440" w:right="1797" w:bottom="1440" w:left="1797"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 PAGE \* arabic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Auditoría de Producción — Marketplace Financial AI Engine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Noto Sans SC"/>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2026-08-26T13:11:37.476Z</dcterms:created>
  <dcterms:modified xsi:type="dcterms:W3CDTF">2026-08-26T13:11:37.476Z</dcterms:modified>
</cp:coreProperties>
</file>

<file path=docProps/custom.xml><?xml version="1.0" encoding="utf-8"?>
<Properties xmlns="http://schemas.openxmlformats.org/officeDocument/2006/custom-properties" xmlns:vt="http://schemas.openxmlformats.org/officeDocument/2006/docPropsVTypes"/>
</file>