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A2332"/>
          <w:sz w:val="28"/>
          <w:szCs w:val="28"/>
        </w:rPr>
        <w:t xml:space="preserve">PEGASUS DREAMSCAPES</w:t>
      </w:r>
    </w:p>
    <w:p>
      <w:pPr>
        <w:spacing w:after="120"/>
        <w:jc w:val="center"/>
      </w:pPr>
      <w:r>
        <w:rPr>
          <w:rFonts w:ascii="Arial" w:cs="Arial" w:eastAsia="Arial" w:hAnsi="Arial"/>
          <w:b/>
          <w:bCs/>
          <w:color w:val="1A2332"/>
          <w:sz w:val="64"/>
          <w:szCs w:val="64"/>
        </w:rPr>
        <w:t xml:space="preserve">OPERATING MANUAL</w:t>
      </w:r>
    </w:p>
    <w:p>
      <w:pPr>
        <w:spacing w:after="600"/>
        <w:jc w:val="center"/>
      </w:pPr>
      <w:r>
        <w:rPr>
          <w:rFonts w:ascii="Arial" w:cs="Arial" w:eastAsia="Arial" w:hAnsi="Arial"/>
          <w:b/>
          <w:bCs/>
          <w:color w:val="C87A3A"/>
          <w:sz w:val="40"/>
          <w:szCs w:val="40"/>
        </w:rPr>
        <w:t xml:space="preserve">v1.0</w:t>
      </w:r>
    </w:p>
    <w:p>
      <w:pPr>
        <w:spacing w:after="160"/>
        <w:jc w:val="center"/>
      </w:pPr>
      <w:r>
        <w:rPr>
          <w:rFonts w:ascii="Arial" w:cs="Arial" w:eastAsia="Arial" w:hAnsi="Arial"/>
          <w:i/>
          <w:iCs/>
          <w:color w:val="595959"/>
          <w:sz w:val="24"/>
          <w:szCs w:val="24"/>
        </w:rPr>
        <w:t xml:space="preserve">Sections 1, 2, 3</w:t>
      </w:r>
    </w:p>
    <w:p>
      <w:pPr>
        <w:spacing w:after="1200"/>
        <w:jc w:val="center"/>
      </w:pPr>
      <w:r>
        <w:rPr>
          <w:rFonts w:ascii="Arial" w:cs="Arial" w:eastAsia="Arial" w:hAnsi="Arial"/>
          <w:color w:val="595959"/>
          <w:sz w:val="20"/>
          <w:szCs w:val="20"/>
        </w:rPr>
        <w:t xml:space="preserve">Company Doctrine · Business Model · Markets, Buy Box, Kill Criteria</w:t>
      </w:r>
    </w:p>
    <w:p>
      <w:pPr>
        <w:spacing w:after="480"/>
        <w:jc w:val="center"/>
      </w:pPr>
      <w:r>
        <w:rPr>
          <w:rFonts w:ascii="Arial" w:cs="Arial" w:eastAsia="Arial" w:hAnsi="Arial"/>
          <w:b/>
          <w:bCs/>
          <w:i/>
          <w:iCs/>
          <w:color w:val="C87A3A"/>
          <w:sz w:val="28"/>
          <w:szCs w:val="28"/>
        </w:rPr>
        <w:t xml:space="preserve">Dream it. Build it. Live it.</w:t>
      </w:r>
    </w:p>
    <w:p>
      <w:pPr>
        <w:spacing w:after="1200"/>
        <w:jc w:val="center"/>
      </w:pPr>
      <w:r>
        <w:rPr>
          <w:rFonts w:ascii="Arial" w:cs="Arial" w:eastAsia="Arial" w:hAnsi="Arial"/>
          <w:i/>
          <w:iCs/>
          <w:color w:val="1A2332"/>
          <w:sz w:val="22"/>
          <w:szCs w:val="22"/>
        </w:rPr>
        <w:t xml:space="preserve">Where others see impossible, we see a path.</w:t>
      </w:r>
    </w:p>
    <w:p>
      <w:pPr>
        <w:spacing w:after="60"/>
        <w:jc w:val="center"/>
      </w:pPr>
      <w:r>
        <w:rPr>
          <w:rFonts w:ascii="Arial" w:cs="Arial" w:eastAsia="Arial" w:hAnsi="Arial"/>
          <w:b/>
          <w:bCs/>
          <w:sz w:val="22"/>
          <w:szCs w:val="22"/>
        </w:rPr>
        <w:t xml:space="preserve">Tenant: </w:t>
      </w:r>
      <w:r>
        <w:rPr>
          <w:rFonts w:ascii="Arial" w:cs="Arial" w:eastAsia="Arial" w:hAnsi="Arial"/>
          <w:sz w:val="22"/>
          <w:szCs w:val="22"/>
        </w:rPr>
        <w:t xml:space="preserve">Pegasus DreamScapes Corp — Tenant ID 001</w:t>
      </w:r>
    </w:p>
    <w:p>
      <w:pPr>
        <w:spacing w:after="60"/>
        <w:jc w:val="center"/>
      </w:pPr>
      <w:r>
        <w:rPr>
          <w:rFonts w:ascii="Arial" w:cs="Arial" w:eastAsia="Arial" w:hAnsi="Arial"/>
          <w:b/>
          <w:bCs/>
          <w:sz w:val="22"/>
          <w:szCs w:val="22"/>
        </w:rPr>
        <w:t xml:space="preserve">Document Owner: </w:t>
      </w:r>
      <w:r>
        <w:rPr>
          <w:rFonts w:ascii="Arial" w:cs="Arial" w:eastAsia="Arial" w:hAnsi="Arial"/>
          <w:sz w:val="22"/>
          <w:szCs w:val="22"/>
        </w:rPr>
        <w:t xml:space="preserve">Apollo Duran, Founder &amp; CEO</w:t>
      </w:r>
    </w:p>
    <w:p>
      <w:pPr>
        <w:spacing w:after="60"/>
        <w:jc w:val="center"/>
      </w:pPr>
      <w:r>
        <w:rPr>
          <w:rFonts w:ascii="Arial" w:cs="Arial" w:eastAsia="Arial" w:hAnsi="Arial"/>
          <w:b/>
          <w:bCs/>
          <w:sz w:val="22"/>
          <w:szCs w:val="22"/>
        </w:rPr>
        <w:t xml:space="preserve">Version: </w:t>
      </w:r>
      <w:r>
        <w:rPr>
          <w:rFonts w:ascii="Arial" w:cs="Arial" w:eastAsia="Arial" w:hAnsi="Arial"/>
          <w:sz w:val="22"/>
          <w:szCs w:val="22"/>
        </w:rPr>
        <w:t xml:space="preserve">v1.0 · Sections 1-3 of 15</w:t>
      </w:r>
    </w:p>
    <w:p>
      <w:pPr>
        <w:spacing w:after="60"/>
        <w:jc w:val="center"/>
      </w:pPr>
      <w:r>
        <w:rPr>
          <w:rFonts w:ascii="Arial" w:cs="Arial" w:eastAsia="Arial" w:hAnsi="Arial"/>
          <w:b/>
          <w:bCs/>
          <w:sz w:val="22"/>
          <w:szCs w:val="22"/>
        </w:rPr>
        <w:t xml:space="preserve">Last Updated: </w:t>
      </w:r>
      <w:r>
        <w:rPr>
          <w:rFonts w:ascii="Arial" w:cs="Arial" w:eastAsia="Arial" w:hAnsi="Arial"/>
          <w:sz w:val="22"/>
          <w:szCs w:val="22"/>
        </w:rPr>
        <w:t xml:space="preserve">May 6, 2026</w:t>
      </w:r>
    </w:p>
    <w:p>
      <w:pPr>
        <w:spacing w:after="60"/>
        <w:jc w:val="center"/>
      </w:pPr>
      <w:r>
        <w:rPr>
          <w:rFonts w:ascii="Arial" w:cs="Arial" w:eastAsia="Arial" w:hAnsi="Arial"/>
          <w:b/>
          <w:bCs/>
          <w:sz w:val="22"/>
          <w:szCs w:val="22"/>
        </w:rPr>
        <w:t xml:space="preserve">Status: </w:t>
      </w:r>
      <w:r>
        <w:rPr>
          <w:rFonts w:ascii="Arial" w:cs="Arial" w:eastAsia="Arial" w:hAnsi="Arial"/>
          <w:color w:val="C87A3A"/>
          <w:sz w:val="22"/>
          <w:szCs w:val="22"/>
        </w:rPr>
        <w:t xml:space="preserve">Draft Pending Founder Sign-Off</w:t>
      </w:r>
    </w:p>
    <w:p>
      <w:r>
        <w:br w:type="page"/>
      </w:r>
    </w:p>
    <w:p>
      <w:pPr>
        <w:pStyle w:val="Heading1"/>
        <w:spacing w:after="200" w:before="480"/>
      </w:pPr>
      <w:r>
        <w:rPr>
          <w:rFonts w:ascii="Arial" w:cs="Arial" w:eastAsia="Arial" w:hAnsi="Arial"/>
          <w:b/>
          <w:bCs/>
          <w:color w:val="1A2332"/>
          <w:sz w:val="36"/>
          <w:szCs w:val="36"/>
        </w:rPr>
        <w:t xml:space="preserve">How to Use This Manual</w:t>
      </w:r>
    </w:p>
    <w:p>
      <w:pPr>
        <w:spacing w:after="140"/>
        <w:jc w:val="both"/>
      </w:pPr>
      <w:r>
        <w:rPr>
          <w:rFonts w:ascii="Arial" w:cs="Arial" w:eastAsia="Arial" w:hAnsi="Arial"/>
          <w:sz w:val="22"/>
          <w:szCs w:val="22"/>
        </w:rPr>
        <w:t xml:space="preserve">This is the doctrine document. Every workflow inside Pegasus DreamScapes — every department charter, every standard operating procedure, every approval gate, every line of code in Pegasus HQ — derives from what is written here.</w:t>
      </w:r>
    </w:p>
    <w:p>
      <w:pPr>
        <w:spacing w:after="140"/>
        <w:jc w:val="both"/>
      </w:pPr>
      <w:r>
        <w:rPr>
          <w:rFonts w:ascii="Arial" w:cs="Arial" w:eastAsia="Arial" w:hAnsi="Arial"/>
          <w:sz w:val="22"/>
          <w:szCs w:val="22"/>
        </w:rPr>
        <w:t xml:space="preserve">When the company grows past one person, this manual is what makes that growth possible. A new hire reads this manual and understands what Pegasus does, what it does not do, how decisions get made, and where they fit. The manual is the operating contract between the founder, the team, capital partners, and the system itself.</w:t>
      </w:r>
    </w:p>
    <w:p>
      <w:pPr>
        <w:spacing w:after="140"/>
        <w:jc w:val="both"/>
      </w:pPr>
      <w:r>
        <w:rPr>
          <w:rFonts w:ascii="Arial" w:cs="Arial" w:eastAsia="Arial" w:hAnsi="Arial"/>
          <w:sz w:val="22"/>
          <w:szCs w:val="22"/>
        </w:rPr>
        <w:t xml:space="preserve">Three rules govern this document.</w:t>
      </w:r>
    </w:p>
    <w:p>
      <w:r>
        <w:t xml:space="preserve"/>
      </w:r>
    </w:p>
    <w:p>
      <w:pPr>
        <w:pStyle w:val="Heading4"/>
        <w:spacing w:after="100" w:before="220"/>
      </w:pPr>
      <w:r>
        <w:rPr>
          <w:rFonts w:ascii="Arial" w:cs="Arial" w:eastAsia="Arial" w:hAnsi="Arial"/>
          <w:b/>
          <w:bCs/>
          <w:color w:val="243044"/>
          <w:sz w:val="22"/>
          <w:szCs w:val="22"/>
        </w:rPr>
        <w:t xml:space="preserve">Rule 1 — Versioned, Not Edited in Place</w:t>
      </w:r>
    </w:p>
    <w:p>
      <w:pPr>
        <w:spacing w:after="140"/>
        <w:jc w:val="both"/>
      </w:pPr>
      <w:r>
        <w:rPr>
          <w:rFonts w:ascii="Arial" w:cs="Arial" w:eastAsia="Arial" w:hAnsi="Arial"/>
          <w:sz w:val="22"/>
          <w:szCs w:val="22"/>
        </w:rPr>
        <w:t xml:space="preserve">Changes ship as v1.1, v1.2, with a changelog. Old versions remain readable so doctrine drift is visible. The Pegasus Doctrine Locks Ledger is the source of truth from which this manual is derived; whenever a Lock is modified or added in the Ledger, the corresponding manual section is updated and the version is incremented.</w:t>
      </w:r>
    </w:p>
    <w:p>
      <w:pPr>
        <w:pStyle w:val="Heading4"/>
        <w:spacing w:after="100" w:before="220"/>
      </w:pPr>
      <w:r>
        <w:rPr>
          <w:rFonts w:ascii="Arial" w:cs="Arial" w:eastAsia="Arial" w:hAnsi="Arial"/>
          <w:b/>
          <w:bCs/>
          <w:color w:val="243044"/>
          <w:sz w:val="22"/>
          <w:szCs w:val="22"/>
        </w:rPr>
        <w:t xml:space="preserve">Rule 2 — Above the App</w:t>
      </w:r>
    </w:p>
    <w:p>
      <w:pPr>
        <w:spacing w:after="140"/>
        <w:jc w:val="both"/>
      </w:pPr>
      <w:r>
        <w:rPr>
          <w:rFonts w:ascii="Arial" w:cs="Arial" w:eastAsia="Arial" w:hAnsi="Arial"/>
          <w:sz w:val="22"/>
          <w:szCs w:val="22"/>
        </w:rPr>
        <w:t xml:space="preserve">If a feature in Pegasus HQ contradicts the manual, the feature is wrong, not the manual. The app encodes the doctrine. The doctrine does not bend to the app.</w:t>
      </w:r>
    </w:p>
    <w:p>
      <w:pPr>
        <w:pStyle w:val="Heading4"/>
        <w:spacing w:after="100" w:before="220"/>
      </w:pPr>
      <w:r>
        <w:rPr>
          <w:rFonts w:ascii="Arial" w:cs="Arial" w:eastAsia="Arial" w:hAnsi="Arial"/>
          <w:b/>
          <w:bCs/>
          <w:color w:val="243044"/>
          <w:sz w:val="22"/>
          <w:szCs w:val="22"/>
        </w:rPr>
        <w:t xml:space="preserve">Rule 3 — Short on Adjectives, Long on Rules</w:t>
      </w:r>
    </w:p>
    <w:p>
      <w:pPr>
        <w:spacing w:after="140"/>
        <w:jc w:val="both"/>
      </w:pPr>
      <w:r>
        <w:rPr>
          <w:rFonts w:ascii="Arial" w:cs="Arial" w:eastAsia="Arial" w:hAnsi="Arial"/>
          <w:sz w:val="22"/>
          <w:szCs w:val="22"/>
        </w:rPr>
        <w:t xml:space="preserve">If a sentence does not tell someone what to do, what to decide, or what to refuse, it should not be here.</w:t>
      </w:r>
    </w:p>
    <w:p>
      <w:r>
        <w:t xml:space="preserve"/>
      </w:r>
    </w:p>
    <w:p>
      <w:pPr>
        <w:pStyle w:val="Heading1"/>
        <w:spacing w:after="200" w:before="480"/>
      </w:pPr>
      <w:r>
        <w:rPr>
          <w:rFonts w:ascii="Arial" w:cs="Arial" w:eastAsia="Arial" w:hAnsi="Arial"/>
          <w:b/>
          <w:bCs/>
          <w:color w:val="1A2332"/>
          <w:sz w:val="36"/>
          <w:szCs w:val="36"/>
        </w:rPr>
        <w:t xml:space="preserve">Professional Review Notice</w:t>
      </w:r>
    </w:p>
    <w:p>
      <w:pPr>
        <w:spacing w:after="140"/>
        <w:jc w:val="both"/>
      </w:pPr>
      <w:r>
        <w:rPr>
          <w:rFonts w:ascii="Arial" w:cs="Arial" w:eastAsia="Arial" w:hAnsi="Arial"/>
          <w:sz w:val="22"/>
          <w:szCs w:val="22"/>
        </w:rPr>
        <w:t xml:space="preserve">This Operating Manual is an operating design document. It is not legal advice, tax advice, securities advice, insurance advice, brokerage advice, or contractor licensing advice. Doctrine can be locked internally; legal execution must still be reviewed by appropriately licensed professionals before any binding action is taken.</w:t>
      </w:r>
    </w:p>
    <w:p>
      <w:pPr>
        <w:spacing w:after="140"/>
        <w:jc w:val="both"/>
      </w:pPr>
      <w:r>
        <w:rPr>
          <w:rFonts w:ascii="Arial" w:cs="Arial" w:eastAsia="Arial" w:hAnsi="Arial"/>
          <w:sz w:val="22"/>
          <w:szCs w:val="22"/>
        </w:rPr>
        <w:t xml:space="preserve">Sections that depend on professional review are clearly marked. They include, without limitation: entity formation, S-Corp tax planning, RMO/qualifier arrangements, CSLB compliance, insurance and bond placement, KW dual-role disclosures, capital partner agreements, securities offerings, creative finance documents (subject-to, wraps, seller financing, equity splits, lease options), website privacy and CCPA language, Peggy AI recording and transcription consent, fair housing compliance, contract templates, and per-project SPE operating agreements.</w:t>
      </w:r>
    </w:p>
    <w:p>
      <w:r>
        <w:br w:type="page"/>
      </w:r>
    </w:p>
    <w:p>
      <w:pPr>
        <w:spacing w:after="60" w:before="600"/>
        <w:jc w:val="center"/>
      </w:pPr>
      <w:r>
        <w:rPr>
          <w:rFonts w:ascii="Arial" w:cs="Arial" w:eastAsia="Arial" w:hAnsi="Arial"/>
          <w:b/>
          <w:bCs/>
          <w:color w:val="C87A3A"/>
          <w:sz w:val="24"/>
          <w:szCs w:val="24"/>
        </w:rPr>
        <w:t xml:space="preserve">SECTION 1</w:t>
      </w:r>
    </w:p>
    <w:p>
      <w:pPr>
        <w:spacing w:after="600"/>
        <w:jc w:val="center"/>
      </w:pPr>
      <w:r>
        <w:rPr>
          <w:rFonts w:ascii="Arial" w:cs="Arial" w:eastAsia="Arial" w:hAnsi="Arial"/>
          <w:b/>
          <w:bCs/>
          <w:color w:val="1A2332"/>
          <w:sz w:val="48"/>
          <w:szCs w:val="48"/>
        </w:rPr>
        <w:t xml:space="preserve">Company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Pegasus does not compete by making the fastest lowball offer. Pegasus competes by seeing what others miss, structuring what others cannot, and executing with discipline.</w:t>
            </w:r>
          </w:p>
        </w:tc>
      </w:tr>
    </w:tbl>
    <w:p>
      <w:r>
        <w:t xml:space="preserve"/>
      </w:r>
    </w:p>
    <w:p>
      <w:pPr>
        <w:pStyle w:val="Heading2"/>
        <w:spacing w:after="160" w:before="360"/>
      </w:pPr>
      <w:r>
        <w:rPr>
          <w:rFonts w:ascii="Arial" w:cs="Arial" w:eastAsia="Arial" w:hAnsi="Arial"/>
          <w:b/>
          <w:bCs/>
          <w:color w:val="1A2332"/>
          <w:sz w:val="28"/>
          <w:szCs w:val="28"/>
        </w:rPr>
        <w:t xml:space="preserve">1.1 What Pegasus Is</w:t>
      </w:r>
    </w:p>
    <w:p>
      <w:pPr>
        <w:spacing w:after="140"/>
        <w:jc w:val="both"/>
      </w:pPr>
      <w:r>
        <w:rPr>
          <w:rFonts w:ascii="Arial" w:cs="Arial" w:eastAsia="Arial" w:hAnsi="Arial"/>
          <w:sz w:val="22"/>
          <w:szCs w:val="22"/>
        </w:rPr>
        <w:t xml:space="preserve">Pegasus DreamScapes is a strategy-first real estate operating company. The company turns property situations into structured outcomes through inbound lead capture, multi-path strategy underwriting, creative deal structuring, and disciplined execution across four operating departments and two cross-cutting pillars.</w:t>
      </w:r>
    </w:p>
    <w:p>
      <w:pPr>
        <w:spacing w:after="140"/>
        <w:jc w:val="both"/>
      </w:pPr>
      <w:r>
        <w:rPr>
          <w:rFonts w:ascii="Arial" w:cs="Arial" w:eastAsia="Arial" w:hAnsi="Arial"/>
          <w:sz w:val="22"/>
          <w:szCs w:val="22"/>
        </w:rPr>
        <w:t xml:space="preserve">Pegasus operates under the legal architecture of Pegasus DreamScapes Corp (S-Corp parent) with Pegasus Development LLC as its construction execution arm and per-project Special-Purpose-Entity LLCs for each active deal. The company is headquartered in Pleasant Hill, California, and operates throughout the San Francisco Bay Area, the East Bay, Solano County, and the Sacramento metro region (including Stockton and Modesto for buy-and-hold strategies).</w:t>
      </w:r>
    </w:p>
    <w:p>
      <w:pPr>
        <w:spacing w:after="140"/>
        <w:jc w:val="both"/>
      </w:pPr>
      <w:r>
        <w:rPr>
          <w:rFonts w:ascii="Arial" w:cs="Arial" w:eastAsia="Arial" w:hAnsi="Arial"/>
          <w:sz w:val="22"/>
          <w:szCs w:val="22"/>
        </w:rPr>
        <w:t xml:space="preserve">Pegasus designs deals across six locked Strategy Models — Wholesale, Wholetail, Fix &amp; Flip, Rental Hold, BRRRR, and Development — and selects from eight locked Deal Structures — Cash/Hard Money, Seller Financing Full, Seller Carry Second, Subject-To, Lease Option, Equity Split, Wraparound, and Joint Venture. Every serious deal is evaluated against both layers: what we will do with the property, and how we will acquire and capitalize it.</w:t>
      </w:r>
    </w:p>
    <w:p>
      <w:pPr>
        <w:pStyle w:val="Heading2"/>
        <w:spacing w:after="160" w:before="360"/>
      </w:pPr>
      <w:r>
        <w:rPr>
          <w:rFonts w:ascii="Arial" w:cs="Arial" w:eastAsia="Arial" w:hAnsi="Arial"/>
          <w:b/>
          <w:bCs/>
          <w:color w:val="1A2332"/>
          <w:sz w:val="28"/>
          <w:szCs w:val="28"/>
        </w:rPr>
        <w:t xml:space="preserve">1.2 What Pegasus Is Not</w:t>
      </w:r>
    </w:p>
    <w:p>
      <w:pPr>
        <w:spacing w:after="140"/>
        <w:jc w:val="both"/>
      </w:pPr>
      <w:r>
        <w:rPr>
          <w:rFonts w:ascii="Arial" w:cs="Arial" w:eastAsia="Arial" w:hAnsi="Arial"/>
          <w:sz w:val="22"/>
          <w:szCs w:val="22"/>
        </w:rPr>
        <w:t xml:space="preserve">Pegasus is not a wholesale shop, not a flip company, not a buy-and-hold landlord, and not a real estate brokerage. Pegasus is also not a Notion-style flexible workspace, a CRM, or a casual task manager. The company has a defined operating system, a defined doctrine, and a defined product (Pegasus HQ) that encodes both.</w:t>
      </w:r>
    </w:p>
    <w:p>
      <w:pPr>
        <w:spacing w:after="140"/>
        <w:jc w:val="both"/>
      </w:pPr>
      <w:r>
        <w:rPr>
          <w:rFonts w:ascii="Arial" w:cs="Arial" w:eastAsia="Arial" w:hAnsi="Arial"/>
          <w:sz w:val="22"/>
          <w:szCs w:val="22"/>
        </w:rPr>
        <w:t xml:space="preserve">Pegasus does not compete on speed of cash offer. Pegasus does not advertise itself as 'we buy houses cash.' Pegasus does not promise that every property is a profitable deal. Pegasus does not give legal, tax, securities, or licensing advice; Peggy AI is an intake assistant, not a licensed advisor. Pegasus does not solicit investor capital publicly under any circumstance.</w:t>
      </w:r>
    </w:p>
    <w:p>
      <w:pPr>
        <w:spacing w:after="140"/>
        <w:jc w:val="both"/>
      </w:pPr>
      <w:r>
        <w:rPr>
          <w:rFonts w:ascii="Arial" w:cs="Arial" w:eastAsia="Arial" w:hAnsi="Arial"/>
          <w:sz w:val="22"/>
          <w:szCs w:val="22"/>
        </w:rPr>
        <w:t xml:space="preserve">When a property does not fit the Pegasus operator buy box, the company does not fabricate a strategy to chase the deal. Pegasus tells the truth and routes the opportunity to its next best lawful path — including, when appropriate, declining and referring out.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A2332" w:val="clear"/>
            <w:tcMar>
              <w:top w:type="dxa" w:w="160"/>
              <w:left w:type="dxa" w:w="200"/>
              <w:bottom w:type="dxa" w:w="80"/>
              <w:right w:type="dxa" w:w="200"/>
            </w:tcMar>
          </w:tcPr>
          <w:p>
            <w:pPr>
              <w:spacing w:after="80"/>
            </w:pPr>
            <w:r>
              <w:rPr>
                <w:rFonts w:ascii="Arial" w:cs="Arial" w:eastAsia="Arial" w:hAnsi="Arial"/>
                <w:b/>
                <w:bCs/>
                <w:color w:val="C87A3A"/>
                <w:sz w:val="18"/>
                <w:szCs w:val="18"/>
              </w:rPr>
              <w:t xml:space="preserve">EXTERNAL PROMISE GUARDRAIL</w:t>
            </w:r>
          </w:p>
        </w:tc>
      </w:tr>
      <w:tr>
        <w:tc>
          <w:tcPr>
            <w:tcW w:type="dxa" w:w="9360"/>
            <w:tcBorders>
              <w:top w:val="single" w:color="BFBFBF" w:sz="4"/>
              <w:left w:val="single" w:color="BFBFBF" w:sz="4"/>
              <w:bottom w:val="single" w:color="BFBFBF" w:sz="4"/>
              <w:right w:val="single" w:color="BFBFBF" w:sz="4"/>
            </w:tcBorders>
            <w:shd w:fill="F0EDE6" w:val="clear"/>
            <w:tcMar>
              <w:top w:type="dxa" w:w="160"/>
              <w:left w:type="dxa" w:w="200"/>
              <w:bottom w:type="dxa" w:w="160"/>
              <w:right w:type="dxa" w:w="200"/>
            </w:tcMar>
          </w:tcPr>
          <w:p>
            <w:r>
              <w:rPr>
                <w:rFonts w:ascii="Arial" w:cs="Arial" w:eastAsia="Arial" w:hAnsi="Arial"/>
                <w:color w:val="1A2332"/>
                <w:sz w:val="22"/>
                <w:szCs w:val="22"/>
              </w:rPr>
              <w:t xml:space="preserve">Every property deserves a strategy review. If there is a path, Pegasus helps identify it. If there is not, Pegasus tells the truth and routes the opportunity to its next best lawful path.</w:t>
            </w:r>
          </w:p>
        </w:tc>
      </w:tr>
    </w:tbl>
    <w:p>
      <w:r>
        <w:t xml:space="preserve"/>
      </w:r>
    </w:p>
    <w:p>
      <w:pPr>
        <w:pStyle w:val="Heading2"/>
        <w:spacing w:after="160" w:before="360"/>
      </w:pPr>
      <w:r>
        <w:rPr>
          <w:rFonts w:ascii="Arial" w:cs="Arial" w:eastAsia="Arial" w:hAnsi="Arial"/>
          <w:b/>
          <w:bCs/>
          <w:color w:val="1A2332"/>
          <w:sz w:val="28"/>
          <w:szCs w:val="28"/>
        </w:rPr>
        <w:t xml:space="preserve">1.3 The Brand Hierarchy</w:t>
      </w:r>
    </w:p>
    <w:p>
      <w:pPr>
        <w:spacing w:after="140"/>
        <w:jc w:val="both"/>
      </w:pPr>
      <w:r>
        <w:rPr>
          <w:rFonts w:ascii="Arial" w:cs="Arial" w:eastAsia="Arial" w:hAnsi="Arial"/>
          <w:sz w:val="22"/>
          <w:szCs w:val="22"/>
        </w:rPr>
        <w:t xml:space="preserve">Pegasus uses a four-tier brand language hierarchy. Each tier has one job. None of them is required to do everything.</w:t>
      </w:r>
    </w:p>
    <w:p>
      <w:pPr>
        <w:pStyle w:val="Heading3"/>
        <w:spacing w:after="120" w:before="280"/>
      </w:pPr>
      <w:r>
        <w:rPr>
          <w:rFonts w:ascii="Arial" w:cs="Arial" w:eastAsia="Arial" w:hAnsi="Arial"/>
          <w:b/>
          <w:bCs/>
          <w:color w:val="C87A3A"/>
          <w:sz w:val="24"/>
          <w:szCs w:val="24"/>
        </w:rPr>
        <w:t xml:space="preserve">Tier 1 — Master Brand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Dream it. Build it. Live it.</w:t>
            </w:r>
          </w:p>
        </w:tc>
      </w:tr>
    </w:tbl>
    <w:p>
      <w:pPr>
        <w:spacing w:after="140"/>
        <w:jc w:val="both"/>
      </w:pPr>
      <w:r>
        <w:rPr>
          <w:rFonts w:ascii="Arial" w:cs="Arial" w:eastAsia="Arial" w:hAnsi="Arial"/>
          <w:sz w:val="22"/>
          <w:szCs w:val="22"/>
        </w:rPr>
        <w:t xml:space="preserve">This is the Pegasus DreamScapes empire line. It owns the parent identity. It survives every product, every department, every decade. It appears on business cards, brand-deck covers, master entity surfaces, and parent-company communications. It is locked and unchangeable except by versioned founder decision.</w:t>
      </w:r>
    </w:p>
    <w:p>
      <w:pPr>
        <w:pStyle w:val="Heading3"/>
        <w:spacing w:after="120" w:before="280"/>
      </w:pPr>
      <w:r>
        <w:rPr>
          <w:rFonts w:ascii="Arial" w:cs="Arial" w:eastAsia="Arial" w:hAnsi="Arial"/>
          <w:b/>
          <w:bCs/>
          <w:color w:val="C87A3A"/>
          <w:sz w:val="24"/>
          <w:szCs w:val="24"/>
        </w:rPr>
        <w:t xml:space="preserve">Tier 2 — Operating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The Deal Architect</w:t>
            </w:r>
          </w:p>
        </w:tc>
      </w:tr>
    </w:tbl>
    <w:p>
      <w:pPr>
        <w:spacing w:after="140"/>
        <w:jc w:val="both"/>
      </w:pPr>
      <w:r>
        <w:rPr>
          <w:rFonts w:ascii="Arial" w:cs="Arial" w:eastAsia="Arial" w:hAnsi="Arial"/>
          <w:sz w:val="22"/>
          <w:szCs w:val="22"/>
        </w:rPr>
        <w:t xml:space="preserve">This is the role Pegasus plays in the real estate market. It is a noun-phrase identity — the way a market refers to the company. The Deal Architect designs, structures, and executes real estate opportunities. This direction is locked; the public-confusion test (whether 'architect' might suggest architectural design services rather than deal design) will be confirmed before publication.</w:t>
      </w:r>
    </w:p>
    <w:p>
      <w:pPr>
        <w:pStyle w:val="Heading3"/>
        <w:spacing w:after="120" w:before="280"/>
      </w:pPr>
      <w:r>
        <w:rPr>
          <w:rFonts w:ascii="Arial" w:cs="Arial" w:eastAsia="Arial" w:hAnsi="Arial"/>
          <w:b/>
          <w:bCs/>
          <w:color w:val="C87A3A"/>
          <w:sz w:val="24"/>
          <w:szCs w:val="24"/>
        </w:rPr>
        <w:t xml:space="preserve">Tier 3 — Hero / Philosophical Subline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Where others see impossible, we see a path.</w:t>
            </w:r>
          </w:p>
        </w:tc>
      </w:tr>
    </w:tbl>
    <w:p>
      <w:pPr>
        <w:spacing w:after="140"/>
        <w:jc w:val="both"/>
      </w:pPr>
      <w:r>
        <w:rPr>
          <w:rFonts w:ascii="Arial" w:cs="Arial" w:eastAsia="Arial" w:hAnsi="Arial"/>
          <w:sz w:val="22"/>
          <w:szCs w:val="22"/>
        </w:rPr>
        <w:t xml:space="preserve">This is the philosophical promise that pairs with The Deal Architect on the website hero, the deck cover, and the back of business cards. The direction is locked; the exact wording is in active testing with a small audience sample before public lock. Alternative candidates remain open: 'Opportunity is designed, not found.' / 'We don't chase deals. We design them.'</w:t>
      </w:r>
    </w:p>
    <w:p>
      <w:pPr>
        <w:pStyle w:val="Heading3"/>
        <w:spacing w:after="120" w:before="280"/>
      </w:pPr>
      <w:r>
        <w:rPr>
          <w:rFonts w:ascii="Arial" w:cs="Arial" w:eastAsia="Arial" w:hAnsi="Arial"/>
          <w:b/>
          <w:bCs/>
          <w:color w:val="C87A3A"/>
          <w:sz w:val="24"/>
          <w:szCs w:val="24"/>
        </w:rPr>
        <w:t xml:space="preserve">Tier 4 — Internal Team Creed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We find opportunity where others see impossible. Every property gets a path. Every deal gets a plan. Every dollar has a place. Every action has an owner.</w:t>
            </w:r>
          </w:p>
        </w:tc>
      </w:tr>
    </w:tbl>
    <w:p>
      <w:pPr>
        <w:spacing w:after="140"/>
        <w:jc w:val="both"/>
      </w:pPr>
      <w:r>
        <w:rPr>
          <w:rFonts w:ascii="Arial" w:cs="Arial" w:eastAsia="Arial" w:hAnsi="Arial"/>
          <w:sz w:val="22"/>
          <w:szCs w:val="22"/>
        </w:rPr>
        <w:t xml:space="preserve">This is the line on the wall. The line that opens the Strategist onboarding deck. The line that closes a quarterly all-hands. It contains both the belief (why we are here) and the discipline (how we operate). When a new team member reads this on day one, they know both the soul and the system.</w:t>
      </w:r>
    </w:p>
    <w:p>
      <w:r>
        <w:t xml:space="preserve"/>
      </w:r>
    </w:p>
    <w:p>
      <w:pPr>
        <w:pStyle w:val="Heading2"/>
        <w:spacing w:after="160" w:before="360"/>
      </w:pPr>
      <w:r>
        <w:rPr>
          <w:rFonts w:ascii="Arial" w:cs="Arial" w:eastAsia="Arial" w:hAnsi="Arial"/>
          <w:b/>
          <w:bCs/>
          <w:color w:val="1A2332"/>
          <w:sz w:val="28"/>
          <w:szCs w:val="28"/>
        </w:rPr>
        <w:t xml:space="preserve">1.4 Strategy-First Doctrine</w:t>
      </w:r>
    </w:p>
    <w:p>
      <w:pPr>
        <w:spacing w:after="140"/>
        <w:jc w:val="both"/>
      </w:pPr>
      <w:r>
        <w:rPr>
          <w:rFonts w:ascii="Arial" w:cs="Arial" w:eastAsia="Arial" w:hAnsi="Arial"/>
          <w:sz w:val="22"/>
          <w:szCs w:val="22"/>
        </w:rPr>
        <w:t xml:space="preserve">Pegasus is not locked to one real estate strategy. Pegasus is strategy-first. For every property situation, the company asks the same six questions in order:</w:t>
      </w:r>
    </w:p>
    <w:p>
      <w:pPr>
        <w:pStyle w:val="ListParagraph"/>
        <w:numPr>
          <w:ilvl w:val="0"/>
          <w:numId w:val="2"/>
        </w:numPr>
        <w:spacing w:after="100"/>
      </w:pPr>
      <w:r>
        <w:rPr>
          <w:rFonts w:ascii="Arial" w:cs="Arial" w:eastAsia="Arial" w:hAnsi="Arial"/>
          <w:sz w:val="22"/>
          <w:szCs w:val="22"/>
        </w:rPr>
        <w:t xml:space="preserve">What is the property?</w:t>
      </w:r>
    </w:p>
    <w:p>
      <w:pPr>
        <w:pStyle w:val="ListParagraph"/>
        <w:numPr>
          <w:ilvl w:val="0"/>
          <w:numId w:val="2"/>
        </w:numPr>
        <w:spacing w:after="100"/>
      </w:pPr>
      <w:r>
        <w:rPr>
          <w:rFonts w:ascii="Arial" w:cs="Arial" w:eastAsia="Arial" w:hAnsi="Arial"/>
          <w:sz w:val="22"/>
          <w:szCs w:val="22"/>
        </w:rPr>
        <w:t xml:space="preserve">What is the situation? Who is the seller, what is their motivation, what is their timeline?</w:t>
      </w:r>
    </w:p>
    <w:p>
      <w:pPr>
        <w:pStyle w:val="ListParagraph"/>
        <w:numPr>
          <w:ilvl w:val="0"/>
          <w:numId w:val="2"/>
        </w:numPr>
        <w:spacing w:after="100"/>
      </w:pPr>
      <w:r>
        <w:rPr>
          <w:rFonts w:ascii="Arial" w:cs="Arial" w:eastAsia="Arial" w:hAnsi="Arial"/>
          <w:sz w:val="22"/>
          <w:szCs w:val="22"/>
        </w:rPr>
        <w:t xml:space="preserve">What does the owner or partner want?</w:t>
      </w:r>
    </w:p>
    <w:p>
      <w:pPr>
        <w:pStyle w:val="ListParagraph"/>
        <w:numPr>
          <w:ilvl w:val="0"/>
          <w:numId w:val="2"/>
        </w:numPr>
        <w:spacing w:after="100"/>
      </w:pPr>
      <w:r>
        <w:rPr>
          <w:rFonts w:ascii="Arial" w:cs="Arial" w:eastAsia="Arial" w:hAnsi="Arial"/>
          <w:sz w:val="22"/>
          <w:szCs w:val="22"/>
        </w:rPr>
        <w:t xml:space="preserve">What is the best economic path? Considering acquisition, partnership, listing, referral, incubation, or pass.</w:t>
      </w:r>
    </w:p>
    <w:p>
      <w:pPr>
        <w:pStyle w:val="ListParagraph"/>
        <w:numPr>
          <w:ilvl w:val="0"/>
          <w:numId w:val="2"/>
        </w:numPr>
        <w:spacing w:after="100"/>
      </w:pPr>
      <w:r>
        <w:rPr>
          <w:rFonts w:ascii="Arial" w:cs="Arial" w:eastAsia="Arial" w:hAnsi="Arial"/>
          <w:sz w:val="22"/>
          <w:szCs w:val="22"/>
        </w:rPr>
        <w:t xml:space="preserve">What is the safest structure? Considering acquisition method, financing, debt, equity, control, and risk allocation.</w:t>
      </w:r>
    </w:p>
    <w:p>
      <w:pPr>
        <w:pStyle w:val="ListParagraph"/>
        <w:numPr>
          <w:ilvl w:val="0"/>
          <w:numId w:val="2"/>
        </w:numPr>
        <w:spacing w:after="100"/>
      </w:pPr>
      <w:r>
        <w:rPr>
          <w:rFonts w:ascii="Arial" w:cs="Arial" w:eastAsia="Arial" w:hAnsi="Arial"/>
          <w:sz w:val="22"/>
          <w:szCs w:val="22"/>
        </w:rPr>
        <w:t xml:space="preserve">Should Pegasus participate? If yes, in what role and lane. If no, where does the lead go?</w:t>
      </w:r>
    </w:p>
    <w:p>
      <w:r>
        <w:t xml:space="preserve"/>
      </w:r>
    </w:p>
    <w:p>
      <w:pPr>
        <w:spacing w:after="140"/>
        <w:jc w:val="both"/>
      </w:pPr>
      <w:r>
        <w:rPr>
          <w:rFonts w:ascii="Arial" w:cs="Arial" w:eastAsia="Arial" w:hAnsi="Arial"/>
          <w:sz w:val="22"/>
          <w:szCs w:val="22"/>
        </w:rPr>
        <w:t xml:space="preserve">These six questions produce the Strategy Stack and Structure Stack that define every serious deal. They are not a checklist; they are a discipline. A Strategist who skips any of them is not doing the work.</w:t>
      </w:r>
    </w:p>
    <w:p>
      <w:pPr>
        <w:pStyle w:val="Heading2"/>
        <w:spacing w:after="160" w:before="360"/>
      </w:pPr>
      <w:r>
        <w:rPr>
          <w:rFonts w:ascii="Arial" w:cs="Arial" w:eastAsia="Arial" w:hAnsi="Arial"/>
          <w:b/>
          <w:bCs/>
          <w:color w:val="1A2332"/>
          <w:sz w:val="28"/>
          <w:szCs w:val="28"/>
        </w:rPr>
        <w:t xml:space="preserve">1.5 Strategy Stack and Structure Stack</w:t>
      </w:r>
    </w:p>
    <w:p>
      <w:pPr>
        <w:spacing w:after="140"/>
        <w:jc w:val="both"/>
      </w:pPr>
      <w:r>
        <w:rPr>
          <w:rFonts w:ascii="Arial" w:cs="Arial" w:eastAsia="Arial" w:hAnsi="Arial"/>
          <w:sz w:val="22"/>
          <w:szCs w:val="22"/>
        </w:rPr>
        <w:t xml:space="preserve">The single most important architectural insight in the Pegasus operating system is the separation of strategy from structure. Most operators have one weapon — cash offer at 70% of After-Repair Value minus rehab — and they walk away from any deal that doesn't fit. Pegasus operates on two independent dimensions.</w:t>
      </w:r>
    </w:p>
    <w:p>
      <w:pPr>
        <w:pStyle w:val="Heading4"/>
        <w:spacing w:after="100" w:before="220"/>
      </w:pPr>
      <w:r>
        <w:rPr>
          <w:rFonts w:ascii="Arial" w:cs="Arial" w:eastAsia="Arial" w:hAnsi="Arial"/>
          <w:b/>
          <w:bCs/>
          <w:color w:val="243044"/>
          <w:sz w:val="22"/>
          <w:szCs w:val="22"/>
        </w:rPr>
        <w:t xml:space="preserve">The Strategy Stack — what we DO with the property</w:t>
      </w:r>
    </w:p>
    <w:p>
      <w:pPr>
        <w:spacing w:after="140"/>
        <w:jc w:val="both"/>
      </w:pPr>
      <w:r>
        <w:rPr>
          <w:rFonts w:ascii="Arial" w:cs="Arial" w:eastAsia="Arial" w:hAnsi="Arial"/>
          <w:sz w:val="22"/>
          <w:szCs w:val="22"/>
        </w:rPr>
        <w:t xml:space="preserve">The Strategy Stack draws from six locked Strategy Models: Wholesale, Wholetail, Fix &amp; Flip, Rental Hold, BRRRR, and Development (including ADU and ground-up construction). For any serious deal, Pegasus identifies a primary strategy (Plan A) and at least one backup strategy (Plan B). A third path (Plan C) is preferred whenever realistic.</w:t>
      </w:r>
    </w:p>
    <w:p>
      <w:pPr>
        <w:pStyle w:val="Heading4"/>
        <w:spacing w:after="100" w:before="220"/>
      </w:pPr>
      <w:r>
        <w:rPr>
          <w:rFonts w:ascii="Arial" w:cs="Arial" w:eastAsia="Arial" w:hAnsi="Arial"/>
          <w:b/>
          <w:bCs/>
          <w:color w:val="243044"/>
          <w:sz w:val="22"/>
          <w:szCs w:val="22"/>
        </w:rPr>
        <w:t xml:space="preserve">The Structure Stack — HOW we acquire, control, and capitalize</w:t>
      </w:r>
    </w:p>
    <w:p>
      <w:pPr>
        <w:spacing w:after="140"/>
        <w:jc w:val="both"/>
      </w:pPr>
      <w:r>
        <w:rPr>
          <w:rFonts w:ascii="Arial" w:cs="Arial" w:eastAsia="Arial" w:hAnsi="Arial"/>
          <w:sz w:val="22"/>
          <w:szCs w:val="22"/>
        </w:rPr>
        <w:t xml:space="preserve">The Structure Stack draws from eight locked Deal Structures: Cash / Hard Money, Seller Financing Full, Seller Carry Second, Subject-To, Lease Option, Equity Split / Hybrid Sale, Wraparound Mortgage, and Joint Venture / Equity Partnership. Each plan in the Strategy Stack is paired with a structure that aligns seller motivation with buyer constraints.</w:t>
      </w:r>
    </w:p>
    <w:p>
      <w:r>
        <w:t xml:space="preserve"/>
      </w:r>
    </w:p>
    <w:p>
      <w:pPr>
        <w:pStyle w:val="Heading4"/>
        <w:spacing w:after="100" w:before="220"/>
      </w:pPr>
      <w:r>
        <w:rPr>
          <w:rFonts w:ascii="Arial" w:cs="Arial" w:eastAsia="Arial" w:hAnsi="Arial"/>
          <w:b/>
          <w:bCs/>
          <w:color w:val="243044"/>
          <w:sz w:val="22"/>
          <w:szCs w:val="22"/>
        </w:rPr>
        <w:t xml:space="preserve">The Three-Plan Standard</w:t>
      </w:r>
    </w:p>
    <w:p>
      <w:pPr>
        <w:spacing w:after="140"/>
        <w:jc w:val="both"/>
      </w:pPr>
      <w:r>
        <w:rPr>
          <w:rFonts w:ascii="Arial" w:cs="Arial" w:eastAsia="Arial" w:hAnsi="Arial"/>
          <w:sz w:val="22"/>
          <w:szCs w:val="22"/>
        </w:rPr>
        <w:t xml:space="preserve">Every serious deal evaluated by Pegasus produces three plans, each pairing a strategy with a structure:</w:t>
      </w:r>
    </w:p>
    <w:p>
      <w:pPr>
        <w:pStyle w:val="ListParagraph"/>
        <w:numPr>
          <w:ilvl w:val="0"/>
          <w:numId w:val="3"/>
        </w:numPr>
        <w:spacing w:after="80"/>
      </w:pPr>
      <w:r>
        <w:rPr>
          <w:rFonts w:ascii="Arial" w:cs="Arial" w:eastAsia="Arial" w:hAnsi="Arial"/>
          <w:sz w:val="22"/>
          <w:szCs w:val="22"/>
        </w:rPr>
        <w:t xml:space="preserve">Plan A — primary strategy + structure</w:t>
      </w:r>
    </w:p>
    <w:p>
      <w:pPr>
        <w:pStyle w:val="ListParagraph"/>
        <w:numPr>
          <w:ilvl w:val="0"/>
          <w:numId w:val="3"/>
        </w:numPr>
        <w:spacing w:after="80"/>
      </w:pPr>
      <w:r>
        <w:rPr>
          <w:rFonts w:ascii="Arial" w:cs="Arial" w:eastAsia="Arial" w:hAnsi="Arial"/>
          <w:sz w:val="22"/>
          <w:szCs w:val="22"/>
        </w:rPr>
        <w:t xml:space="preserve">Plan B — backup strategy + structure</w:t>
      </w:r>
    </w:p>
    <w:p>
      <w:pPr>
        <w:pStyle w:val="ListParagraph"/>
        <w:numPr>
          <w:ilvl w:val="0"/>
          <w:numId w:val="3"/>
        </w:numPr>
        <w:spacing w:after="80"/>
      </w:pPr>
      <w:r>
        <w:rPr>
          <w:rFonts w:ascii="Arial" w:cs="Arial" w:eastAsia="Arial" w:hAnsi="Arial"/>
          <w:sz w:val="22"/>
          <w:szCs w:val="22"/>
        </w:rPr>
        <w:t xml:space="preserve">Plan C — downside/recovery path when realistic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A2332" w:val="clear"/>
            <w:tcMar>
              <w:top w:type="dxa" w:w="160"/>
              <w:left w:type="dxa" w:w="200"/>
              <w:bottom w:type="dxa" w:w="80"/>
              <w:right w:type="dxa" w:w="200"/>
            </w:tcMar>
          </w:tcPr>
          <w:p>
            <w:pPr>
              <w:spacing w:after="80"/>
            </w:pPr>
            <w:r>
              <w:rPr>
                <w:rFonts w:ascii="Arial" w:cs="Arial" w:eastAsia="Arial" w:hAnsi="Arial"/>
                <w:b/>
                <w:bCs/>
                <w:color w:val="C87A3A"/>
                <w:sz w:val="18"/>
                <w:szCs w:val="18"/>
              </w:rPr>
              <w:t xml:space="preserve">THE PLAN B RULE</w:t>
            </w:r>
          </w:p>
        </w:tc>
      </w:tr>
      <w:tr>
        <w:tc>
          <w:tcPr>
            <w:tcW w:type="dxa" w:w="9360"/>
            <w:tcBorders>
              <w:top w:val="single" w:color="BFBFBF" w:sz="4"/>
              <w:left w:val="single" w:color="BFBFBF" w:sz="4"/>
              <w:bottom w:val="single" w:color="BFBFBF" w:sz="4"/>
              <w:right w:val="single" w:color="BFBFBF" w:sz="4"/>
            </w:tcBorders>
            <w:shd w:fill="F0EDE6" w:val="clear"/>
            <w:tcMar>
              <w:top w:type="dxa" w:w="160"/>
              <w:left w:type="dxa" w:w="200"/>
              <w:bottom w:type="dxa" w:w="160"/>
              <w:right w:type="dxa" w:w="200"/>
            </w:tcMar>
          </w:tcPr>
          <w:p>
            <w:r>
              <w:rPr>
                <w:rFonts w:ascii="Arial" w:cs="Arial" w:eastAsia="Arial" w:hAnsi="Arial"/>
                <w:color w:val="1A2332"/>
                <w:sz w:val="22"/>
                <w:szCs w:val="22"/>
              </w:rPr>
              <w:t xml:space="preserve">No Plan B, no approval. A deal with no honest backup path does not advance to the Strategy Approval Gate. Single-Path Deals are exceptions, not defaults — they require Apollo's written attestation explaining why no Plan B is honestly viable.</w:t>
            </w:r>
          </w:p>
        </w:tc>
      </w:tr>
    </w:tbl>
    <w:p>
      <w:r>
        <w:t xml:space="preserve"/>
      </w:r>
    </w:p>
    <w:p>
      <w:pPr>
        <w:spacing w:after="140"/>
        <w:jc w:val="both"/>
      </w:pPr>
      <w:r>
        <w:rPr>
          <w:rFonts w:ascii="Arial" w:cs="Arial" w:eastAsia="Arial" w:hAnsi="Arial"/>
          <w:sz w:val="22"/>
          <w:szCs w:val="22"/>
        </w:rPr>
        <w:t xml:space="preserve">Creative finance is allowed. Creative finance is never casual. Any non-cash structure (Subject-To, wraps, seller financing, equity splits, lease options, JV with capital component) requires attorney review before execution, a populated risk register, payment and critical-date tracking inside Pegasus HQ, and an exit/default plan documented in the War Room.</w:t>
      </w:r>
    </w:p>
    <w:p>
      <w:pPr>
        <w:pStyle w:val="Heading2"/>
        <w:spacing w:after="160" w:before="360"/>
      </w:pPr>
      <w:r>
        <w:rPr>
          <w:rFonts w:ascii="Arial" w:cs="Arial" w:eastAsia="Arial" w:hAnsi="Arial"/>
          <w:b/>
          <w:bCs/>
          <w:color w:val="1A2332"/>
          <w:sz w:val="28"/>
          <w:szCs w:val="28"/>
        </w:rPr>
        <w:t xml:space="preserve">1.6 The No-Lead-Dies Doctrine</w:t>
      </w:r>
    </w:p>
    <w:p>
      <w:pPr>
        <w:spacing w:after="140"/>
        <w:jc w:val="both"/>
      </w:pPr>
      <w:r>
        <w:rPr>
          <w:rFonts w:ascii="Arial" w:cs="Arial" w:eastAsia="Arial" w:hAnsi="Arial"/>
          <w:sz w:val="22"/>
          <w:szCs w:val="22"/>
        </w:rPr>
        <w:t xml:space="preserve">Every Seed accepted from the Triage Queue routes to one of eight monetization lanes within 24 business hours. The lane assignment determines workflow, owner, service-level agreement, and revenue path. The lanes are listed below in the order Pegasus typically considers them.</w:t>
      </w:r>
    </w:p>
    <w:p>
      <w:r>
        <w:t xml:space="preserve"/>
      </w:r>
    </w:p>
    <w:p>
      <w:pPr>
        <w:pStyle w:val="ListParagraph"/>
        <w:numPr>
          <w:ilvl w:val="0"/>
          <w:numId w:val="2"/>
        </w:numPr>
        <w:spacing w:after="100"/>
      </w:pPr>
      <w:r>
        <w:rPr>
          <w:rFonts w:ascii="Arial" w:cs="Arial" w:eastAsia="Arial" w:hAnsi="Arial"/>
          <w:sz w:val="22"/>
          <w:szCs w:val="22"/>
        </w:rPr>
        <w:t xml:space="preserve">Pegasus Acquisition — Pegasus buys, controls, or partners-into the property and executes a Strategy/Structure Stack.</w:t>
      </w:r>
    </w:p>
    <w:p>
      <w:pPr>
        <w:pStyle w:val="ListParagraph"/>
        <w:numPr>
          <w:ilvl w:val="0"/>
          <w:numId w:val="2"/>
        </w:numPr>
        <w:spacing w:after="100"/>
      </w:pPr>
      <w:r>
        <w:rPr>
          <w:rFonts w:ascii="Arial" w:cs="Arial" w:eastAsia="Arial" w:hAnsi="Arial"/>
          <w:sz w:val="22"/>
          <w:szCs w:val="22"/>
        </w:rPr>
        <w:t xml:space="preserve">Wholesale Assignment — Pegasus controls the contract and assigns it to a third-party investor buyer for an assignment fee.</w:t>
      </w:r>
    </w:p>
    <w:p>
      <w:pPr>
        <w:pStyle w:val="ListParagraph"/>
        <w:numPr>
          <w:ilvl w:val="0"/>
          <w:numId w:val="2"/>
        </w:numPr>
        <w:spacing w:after="100"/>
      </w:pPr>
      <w:r>
        <w:rPr>
          <w:rFonts w:ascii="Arial" w:cs="Arial" w:eastAsia="Arial" w:hAnsi="Arial"/>
          <w:sz w:val="22"/>
          <w:szCs w:val="22"/>
        </w:rPr>
        <w:t xml:space="preserve">JV / Partnership — Pegasus and an external party co-execute. The external party brings property, capital, contract, or relationship; Pegasus brings systems, strategy, and execution.</w:t>
      </w:r>
    </w:p>
    <w:p>
      <w:pPr>
        <w:pStyle w:val="ListParagraph"/>
        <w:numPr>
          <w:ilvl w:val="0"/>
          <w:numId w:val="2"/>
        </w:numPr>
        <w:spacing w:after="100"/>
      </w:pPr>
      <w:r>
        <w:rPr>
          <w:rFonts w:ascii="Arial" w:cs="Arial" w:eastAsia="Arial" w:hAnsi="Arial"/>
          <w:sz w:val="22"/>
          <w:szCs w:val="22"/>
        </w:rPr>
        <w:t xml:space="preserve">KW Listing Lane — Apollo wears his Keller Williams Real Estate Salesperson hat and offers traditional listing services to a seller whose property does not fit the Pegasus operator buy box. Requires written dual-role disclosure logged in HQ.</w:t>
      </w:r>
    </w:p>
    <w:p>
      <w:pPr>
        <w:pStyle w:val="ListParagraph"/>
        <w:numPr>
          <w:ilvl w:val="0"/>
          <w:numId w:val="2"/>
        </w:numPr>
        <w:spacing w:after="100"/>
      </w:pPr>
      <w:r>
        <w:rPr>
          <w:rFonts w:ascii="Arial" w:cs="Arial" w:eastAsia="Arial" w:hAnsi="Arial"/>
          <w:sz w:val="22"/>
          <w:szCs w:val="22"/>
        </w:rPr>
        <w:t xml:space="preserve">Referral Lane — Pegasus refers the seller to a trusted third party (agent, contractor, ADU builder, attorney, lender, property manager) when no Pegasus path is appropriate. Referral fees are accepted only where lawful and documented.</w:t>
      </w:r>
    </w:p>
    <w:p>
      <w:pPr>
        <w:pStyle w:val="ListParagraph"/>
        <w:numPr>
          <w:ilvl w:val="0"/>
          <w:numId w:val="2"/>
        </w:numPr>
        <w:spacing w:after="100"/>
      </w:pPr>
      <w:r>
        <w:rPr>
          <w:rFonts w:ascii="Arial" w:cs="Arial" w:eastAsia="Arial" w:hAnsi="Arial"/>
          <w:sz w:val="22"/>
          <w:szCs w:val="22"/>
        </w:rPr>
        <w:t xml:space="preserve">MarketFlow / Private Distribution — Pegasus distributes a controlled deal to a private network of pre-qualified investors. In v1, MarketFlow is a private network only; public marketplace launch is gated on broker compliance review.</w:t>
      </w:r>
    </w:p>
    <w:p>
      <w:pPr>
        <w:pStyle w:val="ListParagraph"/>
        <w:numPr>
          <w:ilvl w:val="0"/>
          <w:numId w:val="2"/>
        </w:numPr>
        <w:spacing w:after="100"/>
      </w:pPr>
      <w:r>
        <w:rPr>
          <w:rFonts w:ascii="Arial" w:cs="Arial" w:eastAsia="Arial" w:hAnsi="Arial"/>
          <w:sz w:val="22"/>
          <w:szCs w:val="22"/>
        </w:rPr>
        <w:t xml:space="preserve">Incubation / Nurture — A Seed with future potential but wrong-time conditions enters Incubation with scheduled follow-up cadences (30/60/90-day, 6-month). Peggy and the Operations Coordinator manage the cadence; HQ surfaces the Seed when conditions change.</w:t>
      </w:r>
    </w:p>
    <w:p>
      <w:pPr>
        <w:pStyle w:val="ListParagraph"/>
        <w:numPr>
          <w:ilvl w:val="0"/>
          <w:numId w:val="2"/>
        </w:numPr>
        <w:spacing w:after="100"/>
      </w:pPr>
      <w:r>
        <w:rPr>
          <w:rFonts w:ascii="Arial" w:cs="Arial" w:eastAsia="Arial" w:hAnsi="Arial"/>
          <w:sz w:val="22"/>
          <w:szCs w:val="22"/>
        </w:rPr>
        <w:t xml:space="preserve">Archive Intelligence — Even a dead lead teaches Pegasus. Pricing patterns, neighborhood data, seller psychology, comp accuracy, and ADU feasibility flow into the Property Intelligence Graph. The Seed is closed; the data is not.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No Seed sits without a lane. No lane sits without an owner. No owner sits without a next action.</w:t>
            </w:r>
          </w:p>
        </w:tc>
      </w:tr>
    </w:tbl>
    <w:p>
      <w:r>
        <w:t xml:space="preserve"/>
      </w:r>
    </w:p>
    <w:p>
      <w:pPr>
        <w:pStyle w:val="Heading2"/>
        <w:spacing w:after="160" w:before="360"/>
      </w:pPr>
      <w:r>
        <w:rPr>
          <w:rFonts w:ascii="Arial" w:cs="Arial" w:eastAsia="Arial" w:hAnsi="Arial"/>
          <w:b/>
          <w:bCs/>
          <w:color w:val="1A2332"/>
          <w:sz w:val="28"/>
          <w:szCs w:val="28"/>
        </w:rPr>
        <w:t xml:space="preserve">1.7 Role Mode Doctrine</w:t>
      </w:r>
    </w:p>
    <w:p>
      <w:pPr>
        <w:spacing w:after="140"/>
        <w:jc w:val="both"/>
      </w:pPr>
      <w:r>
        <w:rPr>
          <w:rFonts w:ascii="Arial" w:cs="Arial" w:eastAsia="Arial" w:hAnsi="Arial"/>
          <w:sz w:val="22"/>
          <w:szCs w:val="22"/>
        </w:rPr>
        <w:t xml:space="preserve">Apollo wears multiple hats in v1. Strategists who join later may also operate across multiple roles. The Pegasus operating system requires that every action — every Opportunity, every communication, every contract, every approval, every disclosure — knows which role mode the actor is currently in.</w:t>
      </w:r>
    </w:p>
    <w:p>
      <w:pPr>
        <w:spacing w:after="140"/>
        <w:jc w:val="both"/>
      </w:pPr>
      <w:r>
        <w:rPr>
          <w:rFonts w:ascii="Arial" w:cs="Arial" w:eastAsia="Arial" w:hAnsi="Arial"/>
          <w:sz w:val="22"/>
          <w:szCs w:val="22"/>
        </w:rPr>
        <w:t xml:space="preserve">Six role modes are defined:</w:t>
      </w:r>
    </w:p>
    <w:p>
      <w:pPr>
        <w:pStyle w:val="ListParagraph"/>
        <w:numPr>
          <w:ilvl w:val="0"/>
          <w:numId w:val="2"/>
        </w:numPr>
        <w:spacing w:after="100"/>
      </w:pPr>
      <w:r>
        <w:rPr>
          <w:rFonts w:ascii="Arial" w:cs="Arial" w:eastAsia="Arial" w:hAnsi="Arial"/>
          <w:sz w:val="22"/>
          <w:szCs w:val="22"/>
        </w:rPr>
        <w:t xml:space="preserve">Pegasus Buyer / Operator — when Pegasus may buy, control, wholesale, flip, BRRRR, or otherwise operate around the property.</w:t>
      </w:r>
    </w:p>
    <w:p>
      <w:pPr>
        <w:pStyle w:val="ListParagraph"/>
        <w:numPr>
          <w:ilvl w:val="0"/>
          <w:numId w:val="2"/>
        </w:numPr>
        <w:spacing w:after="100"/>
      </w:pPr>
      <w:r>
        <w:rPr>
          <w:rFonts w:ascii="Arial" w:cs="Arial" w:eastAsia="Arial" w:hAnsi="Arial"/>
          <w:sz w:val="22"/>
          <w:szCs w:val="22"/>
        </w:rPr>
        <w:t xml:space="preserve">KW Realtor — when Apollo is acting as a licensed Real Estate Salesperson under Keller Williams East Bay. Triggers automatic license-ID and broker disclosure rendering.</w:t>
      </w:r>
    </w:p>
    <w:p>
      <w:pPr>
        <w:pStyle w:val="ListParagraph"/>
        <w:numPr>
          <w:ilvl w:val="0"/>
          <w:numId w:val="2"/>
        </w:numPr>
        <w:spacing w:after="100"/>
      </w:pPr>
      <w:r>
        <w:rPr>
          <w:rFonts w:ascii="Arial" w:cs="Arial" w:eastAsia="Arial" w:hAnsi="Arial"/>
          <w:sz w:val="22"/>
          <w:szCs w:val="22"/>
        </w:rPr>
        <w:t xml:space="preserve">JV / Operating Partner — when Pegasus is co-executing with an external party who has brought a property, capital, contract, or relationship.</w:t>
      </w:r>
    </w:p>
    <w:p>
      <w:pPr>
        <w:pStyle w:val="ListParagraph"/>
        <w:numPr>
          <w:ilvl w:val="0"/>
          <w:numId w:val="2"/>
        </w:numPr>
        <w:spacing w:after="100"/>
      </w:pPr>
      <w:r>
        <w:rPr>
          <w:rFonts w:ascii="Arial" w:cs="Arial" w:eastAsia="Arial" w:hAnsi="Arial"/>
          <w:sz w:val="22"/>
          <w:szCs w:val="22"/>
        </w:rPr>
        <w:t xml:space="preserve">Strategy Desk — when Pegasus is providing a free pre-assessment or strategy review with no commitment from either side.</w:t>
      </w:r>
    </w:p>
    <w:p>
      <w:pPr>
        <w:pStyle w:val="ListParagraph"/>
        <w:numPr>
          <w:ilvl w:val="0"/>
          <w:numId w:val="2"/>
        </w:numPr>
        <w:spacing w:after="100"/>
      </w:pPr>
      <w:r>
        <w:rPr>
          <w:rFonts w:ascii="Arial" w:cs="Arial" w:eastAsia="Arial" w:hAnsi="Arial"/>
          <w:sz w:val="22"/>
          <w:szCs w:val="22"/>
        </w:rPr>
        <w:t xml:space="preserve">Pegasus Development — when Pegasus Development LLC is performing licensed construction work. Triggers RMO oversight requirements.</w:t>
      </w:r>
    </w:p>
    <w:p>
      <w:pPr>
        <w:pStyle w:val="ListParagraph"/>
        <w:numPr>
          <w:ilvl w:val="0"/>
          <w:numId w:val="2"/>
        </w:numPr>
        <w:spacing w:after="100"/>
      </w:pPr>
      <w:r>
        <w:rPr>
          <w:rFonts w:ascii="Arial" w:cs="Arial" w:eastAsia="Arial" w:hAnsi="Arial"/>
          <w:sz w:val="22"/>
          <w:szCs w:val="22"/>
        </w:rPr>
        <w:t xml:space="preserve">Capital Conversation — when discussing capital partner economics. Triggers private channel discipline and securities-counsel review for any documents.</w:t>
      </w:r>
    </w:p>
    <w:p>
      <w:r>
        <w:t xml:space="preserve"/>
      </w:r>
    </w:p>
    <w:p>
      <w:pPr>
        <w:spacing w:after="140"/>
        <w:jc w:val="both"/>
      </w:pPr>
      <w:r>
        <w:rPr>
          <w:rFonts w:ascii="Arial" w:cs="Arial" w:eastAsia="Arial" w:hAnsi="Arial"/>
          <w:sz w:val="22"/>
          <w:szCs w:val="22"/>
        </w:rPr>
        <w:t xml:space="preserve">Role Mode determines disclosure language, signature blocks, document templates, approval routing, Peggy's permitted vocabulary, compliance requirements, and compensation lane. The Pegasus operator lane and the KW Realtor lane must remain visually and procedurally separate. Verbal role-switching is prohibited; every role switch is a written event logged in Pegasus HQ.</w:t>
      </w:r>
    </w:p>
    <w:p>
      <w:pPr>
        <w:pStyle w:val="Heading2"/>
        <w:spacing w:after="160" w:before="360"/>
      </w:pPr>
      <w:r>
        <w:rPr>
          <w:rFonts w:ascii="Arial" w:cs="Arial" w:eastAsia="Arial" w:hAnsi="Arial"/>
          <w:b/>
          <w:bCs/>
          <w:color w:val="1A2332"/>
          <w:sz w:val="28"/>
          <w:szCs w:val="28"/>
        </w:rPr>
        <w:t xml:space="preserve">1.8 RACI Doctrine</w:t>
      </w:r>
    </w:p>
    <w:p>
      <w:pPr>
        <w:spacing w:after="140"/>
        <w:jc w:val="both"/>
      </w:pPr>
      <w:r>
        <w:rPr>
          <w:rFonts w:ascii="Arial" w:cs="Arial" w:eastAsia="Arial" w:hAnsi="Arial"/>
          <w:sz w:val="22"/>
          <w:szCs w:val="22"/>
        </w:rPr>
        <w:t xml:space="preserve">Every major action defines four roles, drawn from the standard RACI framework:</w:t>
      </w:r>
    </w:p>
    <w:p>
      <w:pPr>
        <w:pStyle w:val="ListParagraph"/>
        <w:numPr>
          <w:ilvl w:val="0"/>
          <w:numId w:val="3"/>
        </w:numPr>
        <w:spacing w:after="80"/>
      </w:pPr>
      <w:r>
        <w:rPr>
          <w:rFonts w:ascii="Arial" w:cs="Arial" w:eastAsia="Arial" w:hAnsi="Arial"/>
          <w:sz w:val="22"/>
          <w:szCs w:val="22"/>
        </w:rPr>
        <w:t xml:space="preserve">Responsible — who does the work.</w:t>
      </w:r>
    </w:p>
    <w:p>
      <w:pPr>
        <w:pStyle w:val="ListParagraph"/>
        <w:numPr>
          <w:ilvl w:val="0"/>
          <w:numId w:val="3"/>
        </w:numPr>
        <w:spacing w:after="80"/>
      </w:pPr>
      <w:r>
        <w:rPr>
          <w:rFonts w:ascii="Arial" w:cs="Arial" w:eastAsia="Arial" w:hAnsi="Arial"/>
          <w:sz w:val="22"/>
          <w:szCs w:val="22"/>
        </w:rPr>
        <w:t xml:space="preserve">Accountable — who owns the outcome.</w:t>
      </w:r>
    </w:p>
    <w:p>
      <w:pPr>
        <w:pStyle w:val="ListParagraph"/>
        <w:numPr>
          <w:ilvl w:val="0"/>
          <w:numId w:val="3"/>
        </w:numPr>
        <w:spacing w:after="80"/>
      </w:pPr>
      <w:r>
        <w:rPr>
          <w:rFonts w:ascii="Arial" w:cs="Arial" w:eastAsia="Arial" w:hAnsi="Arial"/>
          <w:sz w:val="22"/>
          <w:szCs w:val="22"/>
        </w:rPr>
        <w:t xml:space="preserve">Consulted — who gives input.</w:t>
      </w:r>
    </w:p>
    <w:p>
      <w:pPr>
        <w:pStyle w:val="ListParagraph"/>
        <w:numPr>
          <w:ilvl w:val="0"/>
          <w:numId w:val="3"/>
        </w:numPr>
        <w:spacing w:after="80"/>
      </w:pPr>
      <w:r>
        <w:rPr>
          <w:rFonts w:ascii="Arial" w:cs="Arial" w:eastAsia="Arial" w:hAnsi="Arial"/>
          <w:sz w:val="22"/>
          <w:szCs w:val="22"/>
        </w:rPr>
        <w:t xml:space="preserve">Informed — who needs updates.</w:t>
      </w:r>
    </w:p>
    <w:p>
      <w:r>
        <w:t xml:space="preserve"/>
      </w:r>
    </w:p>
    <w:p>
      <w:pPr>
        <w:spacing w:after="140"/>
        <w:jc w:val="both"/>
      </w:pPr>
      <w:r>
        <w:rPr>
          <w:rFonts w:ascii="Arial" w:cs="Arial" w:eastAsia="Arial" w:hAnsi="Arial"/>
          <w:sz w:val="22"/>
          <w:szCs w:val="22"/>
        </w:rPr>
        <w:t xml:space="preserve">RACI applies to every workflow gate: Triage Decision, Strategy Approval, Capital Gate, Construction Kickoff, Draw Request, Change Order, Disposition, Refinance, Learn Gate. For each, the four roles are documented in the Operating Manual department charters and reflected in Pegasus HQ as approval routing rules. RACI is not a suggestion. It is the difference between a company and a hobby.</w:t>
      </w:r>
    </w:p>
    <w:p>
      <w:pPr>
        <w:pStyle w:val="Heading2"/>
        <w:spacing w:after="160" w:before="360"/>
      </w:pPr>
      <w:r>
        <w:rPr>
          <w:rFonts w:ascii="Arial" w:cs="Arial" w:eastAsia="Arial" w:hAnsi="Arial"/>
          <w:b/>
          <w:bCs/>
          <w:color w:val="1A2332"/>
          <w:sz w:val="28"/>
          <w:szCs w:val="28"/>
        </w:rPr>
        <w:t xml:space="preserve">1.9 The Five-Screen Purpose Doctrine</w:t>
      </w:r>
    </w:p>
    <w:p>
      <w:pPr>
        <w:spacing w:after="140"/>
        <w:jc w:val="both"/>
      </w:pPr>
      <w:r>
        <w:rPr>
          <w:rFonts w:ascii="Arial" w:cs="Arial" w:eastAsia="Arial" w:hAnsi="Arial"/>
          <w:sz w:val="22"/>
          <w:szCs w:val="22"/>
        </w:rPr>
        <w:t xml:space="preserve">Every screen, workflow, and module in Pegasus HQ must help users accomplish at least one of five purposes:</w:t>
      </w:r>
    </w:p>
    <w:p>
      <w:pPr>
        <w:pStyle w:val="ListParagraph"/>
        <w:numPr>
          <w:ilvl w:val="0"/>
          <w:numId w:val="3"/>
        </w:numPr>
        <w:spacing w:after="80"/>
      </w:pPr>
      <w:r>
        <w:rPr>
          <w:rFonts w:ascii="Arial" w:cs="Arial" w:eastAsia="Arial" w:hAnsi="Arial"/>
          <w:sz w:val="22"/>
          <w:szCs w:val="22"/>
        </w:rPr>
        <w:t xml:space="preserve">Decide — surface information that informs a judgment call.</w:t>
      </w:r>
    </w:p>
    <w:p>
      <w:pPr>
        <w:pStyle w:val="ListParagraph"/>
        <w:numPr>
          <w:ilvl w:val="0"/>
          <w:numId w:val="3"/>
        </w:numPr>
        <w:spacing w:after="80"/>
      </w:pPr>
      <w:r>
        <w:rPr>
          <w:rFonts w:ascii="Arial" w:cs="Arial" w:eastAsia="Arial" w:hAnsi="Arial"/>
          <w:sz w:val="22"/>
          <w:szCs w:val="22"/>
        </w:rPr>
        <w:t xml:space="preserve">Do — present the next concrete action and reduce friction to execution.</w:t>
      </w:r>
    </w:p>
    <w:p>
      <w:pPr>
        <w:pStyle w:val="ListParagraph"/>
        <w:numPr>
          <w:ilvl w:val="0"/>
          <w:numId w:val="3"/>
        </w:numPr>
        <w:spacing w:after="80"/>
      </w:pPr>
      <w:r>
        <w:rPr>
          <w:rFonts w:ascii="Arial" w:cs="Arial" w:eastAsia="Arial" w:hAnsi="Arial"/>
          <w:sz w:val="22"/>
          <w:szCs w:val="22"/>
        </w:rPr>
        <w:t xml:space="preserve">Approve — collect a documented decision from someone with authority.</w:t>
      </w:r>
    </w:p>
    <w:p>
      <w:pPr>
        <w:pStyle w:val="ListParagraph"/>
        <w:numPr>
          <w:ilvl w:val="0"/>
          <w:numId w:val="3"/>
        </w:numPr>
        <w:spacing w:after="80"/>
      </w:pPr>
      <w:r>
        <w:rPr>
          <w:rFonts w:ascii="Arial" w:cs="Arial" w:eastAsia="Arial" w:hAnsi="Arial"/>
          <w:sz w:val="22"/>
          <w:szCs w:val="22"/>
        </w:rPr>
        <w:t xml:space="preserve">Track — show progress, status, age, and variance.</w:t>
      </w:r>
    </w:p>
    <w:p>
      <w:pPr>
        <w:pStyle w:val="ListParagraph"/>
        <w:numPr>
          <w:ilvl w:val="0"/>
          <w:numId w:val="3"/>
        </w:numPr>
        <w:spacing w:after="80"/>
      </w:pPr>
      <w:r>
        <w:rPr>
          <w:rFonts w:ascii="Arial" w:cs="Arial" w:eastAsia="Arial" w:hAnsi="Arial"/>
          <w:sz w:val="22"/>
          <w:szCs w:val="22"/>
        </w:rPr>
        <w:t xml:space="preserve">Learn — capture lessons, scorecards, and intelligence for future deals.</w:t>
      </w:r>
    </w:p>
    <w:p>
      <w:r>
        <w:t xml:space="preserve"/>
      </w:r>
    </w:p>
    <w:p>
      <w:pPr>
        <w:spacing w:after="140"/>
        <w:jc w:val="both"/>
      </w:pPr>
      <w:r>
        <w:rPr>
          <w:rFonts w:ascii="Arial" w:cs="Arial" w:eastAsia="Arial" w:hAnsi="Arial"/>
          <w:sz w:val="22"/>
          <w:szCs w:val="22"/>
        </w:rPr>
        <w:t xml:space="preserve">If a feature does not help with at least one of these, it is probably clutter. The five-screen rule is the antidote to feature creep and the fastest review for whether a proposed addition belongs in the product.</w:t>
      </w:r>
    </w:p>
    <w:p>
      <w:pPr>
        <w:pStyle w:val="Heading2"/>
        <w:spacing w:after="160" w:before="360"/>
      </w:pPr>
      <w:r>
        <w:rPr>
          <w:rFonts w:ascii="Arial" w:cs="Arial" w:eastAsia="Arial" w:hAnsi="Arial"/>
          <w:b/>
          <w:bCs/>
          <w:color w:val="1A2332"/>
          <w:sz w:val="28"/>
          <w:szCs w:val="28"/>
        </w:rPr>
        <w:t xml:space="preserve">1.10 Money Discipline</w:t>
      </w:r>
    </w:p>
    <w:p>
      <w:pPr>
        <w:spacing w:after="140"/>
        <w:jc w:val="both"/>
      </w:pPr>
      <w:r>
        <w:rPr>
          <w:rFonts w:ascii="Arial" w:cs="Arial" w:eastAsia="Arial" w:hAnsi="Arial"/>
          <w:sz w:val="22"/>
          <w:szCs w:val="22"/>
        </w:rPr>
        <w:t xml:space="preserve">Pegasus operates on three non-negotiable financial principles. They are documented in detail in Section 9 (Capital and Waterfall Framework) of this manual; their summary belongs here in the doctrine section.</w:t>
      </w:r>
    </w:p>
    <w:p>
      <w:pPr>
        <w:pStyle w:val="Heading4"/>
        <w:spacing w:after="100" w:before="220"/>
      </w:pPr>
      <w:r>
        <w:rPr>
          <w:rFonts w:ascii="Arial" w:cs="Arial" w:eastAsia="Arial" w:hAnsi="Arial"/>
          <w:b/>
          <w:bCs/>
          <w:color w:val="243044"/>
          <w:sz w:val="22"/>
          <w:szCs w:val="22"/>
        </w:rPr>
        <w:t xml:space="preserve">Principle 1 — Every Dollar Has a Place</w:t>
      </w:r>
    </w:p>
    <w:p>
      <w:pPr>
        <w:spacing w:after="140"/>
        <w:jc w:val="both"/>
      </w:pPr>
      <w:r>
        <w:rPr>
          <w:rFonts w:ascii="Arial" w:cs="Arial" w:eastAsia="Arial" w:hAnsi="Arial"/>
          <w:sz w:val="22"/>
          <w:szCs w:val="22"/>
        </w:rPr>
        <w:t xml:space="preserve">Pegasus DreamScapes Corp, Pegasus Development LLC, and each per-deal SPE LLC operate from separate bank accounts. No commingling. Every deal has its own books. Every transfer between entities is documented with purpose, amount, source account, destination account, linked Opportunity or SPE, approval, and accounting category.</w:t>
      </w:r>
    </w:p>
    <w:p>
      <w:pPr>
        <w:pStyle w:val="Heading4"/>
        <w:spacing w:after="100" w:before="220"/>
      </w:pPr>
      <w:r>
        <w:rPr>
          <w:rFonts w:ascii="Arial" w:cs="Arial" w:eastAsia="Arial" w:hAnsi="Arial"/>
          <w:b/>
          <w:bCs/>
          <w:color w:val="243044"/>
          <w:sz w:val="22"/>
          <w:szCs w:val="22"/>
        </w:rPr>
        <w:t xml:space="preserve">Principle 2 — Reserves Are Sacred</w:t>
      </w:r>
    </w:p>
    <w:p>
      <w:pPr>
        <w:spacing w:after="140"/>
        <w:jc w:val="both"/>
      </w:pPr>
      <w:r>
        <w:rPr>
          <w:rFonts w:ascii="Arial" w:cs="Arial" w:eastAsia="Arial" w:hAnsi="Arial"/>
          <w:sz w:val="22"/>
          <w:szCs w:val="22"/>
        </w:rPr>
        <w:t xml:space="preserve">Pegasus DreamScapes Corp maintains minimum operating reserves equal to 90 days of fixed overhead PLUS 15% of total deployed deal capital at all times, plus a separate tax reserve account funded by setting aside 25-30% of every owner distribution. If a contemplated deal would break the reserves floor, the Capital Gate refuses to advance the deal without explicit founder override and documented reasoning.</w:t>
      </w:r>
    </w:p>
    <w:p>
      <w:pPr>
        <w:pStyle w:val="Heading4"/>
        <w:spacing w:after="100" w:before="220"/>
      </w:pPr>
      <w:r>
        <w:rPr>
          <w:rFonts w:ascii="Arial" w:cs="Arial" w:eastAsia="Arial" w:hAnsi="Arial"/>
          <w:b/>
          <w:bCs/>
          <w:color w:val="243044"/>
          <w:sz w:val="22"/>
          <w:szCs w:val="22"/>
        </w:rPr>
        <w:t xml:space="preserve">Principle 3 — Wires Are Verified, Always</w:t>
      </w:r>
    </w:p>
    <w:p>
      <w:pPr>
        <w:spacing w:after="140"/>
        <w:jc w:val="both"/>
      </w:pPr>
      <w:r>
        <w:rPr>
          <w:rFonts w:ascii="Arial" w:cs="Arial" w:eastAsia="Arial" w:hAnsi="Arial"/>
          <w:sz w:val="22"/>
          <w:szCs w:val="22"/>
        </w:rPr>
        <w:t xml:space="preserve">No wire is sent based on emailed instructions. Ever. All wire instructions are verbally confirmed via a phone number obtained independently from the title or escrow officer's official website — not from the email. Verification is documented in HQ. Wires above $25,000 require a second review (Apollo plus Finance Lead, or Apollo plus attorney).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A2332" w:val="clear"/>
            <w:tcMar>
              <w:top w:type="dxa" w:w="160"/>
              <w:left w:type="dxa" w:w="200"/>
              <w:bottom w:type="dxa" w:w="80"/>
              <w:right w:type="dxa" w:w="200"/>
            </w:tcMar>
          </w:tcPr>
          <w:p>
            <w:pPr>
              <w:spacing w:after="80"/>
            </w:pPr>
            <w:r>
              <w:rPr>
                <w:rFonts w:ascii="Arial" w:cs="Arial" w:eastAsia="Arial" w:hAnsi="Arial"/>
                <w:b/>
                <w:bCs/>
                <w:color w:val="C87A3A"/>
                <w:sz w:val="18"/>
                <w:szCs w:val="18"/>
              </w:rPr>
              <w:t xml:space="preserve">MONEY DOCTRINE</w:t>
            </w:r>
          </w:p>
        </w:tc>
      </w:tr>
      <w:tr>
        <w:tc>
          <w:tcPr>
            <w:tcW w:type="dxa" w:w="9360"/>
            <w:tcBorders>
              <w:top w:val="single" w:color="BFBFBF" w:sz="4"/>
              <w:left w:val="single" w:color="BFBFBF" w:sz="4"/>
              <w:bottom w:val="single" w:color="BFBFBF" w:sz="4"/>
              <w:right w:val="single" w:color="BFBFBF" w:sz="4"/>
            </w:tcBorders>
            <w:shd w:fill="F0EDE6" w:val="clear"/>
            <w:tcMar>
              <w:top w:type="dxa" w:w="160"/>
              <w:left w:type="dxa" w:w="200"/>
              <w:bottom w:type="dxa" w:w="160"/>
              <w:right w:type="dxa" w:w="200"/>
            </w:tcMar>
          </w:tcPr>
          <w:p>
            <w:r>
              <w:rPr>
                <w:rFonts w:ascii="Arial" w:cs="Arial" w:eastAsia="Arial" w:hAnsi="Arial"/>
                <w:color w:val="1A2332"/>
                <w:sz w:val="22"/>
                <w:szCs w:val="22"/>
              </w:rPr>
              <w:t xml:space="preserve">Every entity has its own account. Every deal has its own books. Every dollar has a place. No commingling. No casual wires. No fantasy bonuses paid before realized profit clears the waterfall.</w:t>
            </w:r>
          </w:p>
        </w:tc>
      </w:tr>
    </w:tbl>
    <w:p>
      <w:r>
        <w:t xml:space="preserve"/>
      </w:r>
    </w:p>
    <w:p>
      <w:pPr>
        <w:pStyle w:val="Heading2"/>
        <w:spacing w:after="160" w:before="360"/>
      </w:pPr>
      <w:r>
        <w:rPr>
          <w:rFonts w:ascii="Arial" w:cs="Arial" w:eastAsia="Arial" w:hAnsi="Arial"/>
          <w:b/>
          <w:bCs/>
          <w:color w:val="1A2332"/>
          <w:sz w:val="28"/>
          <w:szCs w:val="28"/>
        </w:rPr>
        <w:t xml:space="preserve">1.11 Compliance Posture</w:t>
      </w:r>
    </w:p>
    <w:p>
      <w:pPr>
        <w:spacing w:after="140"/>
        <w:jc w:val="both"/>
      </w:pPr>
      <w:r>
        <w:rPr>
          <w:rFonts w:ascii="Arial" w:cs="Arial" w:eastAsia="Arial" w:hAnsi="Arial"/>
          <w:sz w:val="22"/>
          <w:szCs w:val="22"/>
        </w:rPr>
        <w:t xml:space="preserve">Pegasus operates in regulated terrain. The company touches real estate brokerage compliance (California Department of Real Estate), contractor licensing compliance (California Contractors State License Board), capital solicitation compliance (federal and state securities law), privacy compliance (California Consumer Privacy Act), recording-consent compliance (California Penal Code §632), fair housing compliance (federal Fair Housing Act and California equivalents), and creative-finance compliance (CFPB Regulation Z and state lending rules where applicable).</w:t>
      </w:r>
    </w:p>
    <w:p>
      <w:pPr>
        <w:spacing w:after="140"/>
        <w:jc w:val="both"/>
      </w:pPr>
      <w:r>
        <w:rPr>
          <w:rFonts w:ascii="Arial" w:cs="Arial" w:eastAsia="Arial" w:hAnsi="Arial"/>
          <w:sz w:val="22"/>
          <w:szCs w:val="22"/>
        </w:rPr>
        <w:t xml:space="preserve">The Pegasus posture toward compliance is documented as a series of operating rails in Section 12 (Compliance) of this manual. The headline principle is simple: doctrine can be locked internally, but legal execution is reviewed by appropriately licensed professionals before any binding action.</w:t>
      </w:r>
    </w:p>
    <w:p>
      <w:pPr>
        <w:spacing w:after="140"/>
        <w:jc w:val="both"/>
      </w:pPr>
      <w:r>
        <w:rPr>
          <w:rFonts w:ascii="Arial" w:cs="Arial" w:eastAsia="Arial" w:hAnsi="Arial"/>
          <w:sz w:val="22"/>
          <w:szCs w:val="22"/>
        </w:rPr>
        <w:t xml:space="preserve">Pegasus engages an external advisory bench composed of, at minimum: a California real estate attorney, a real-estate-specialist CPA, a CSLB-experienced compliance counsel (engaged before any Pegasus Development LLC licensed work), a securities counsel (engaged before any outside-investor capital solicitation), an insurance broker covering general liability, builder's risk, errors-and-omissions, vacant-home, and cyber liability, a real-estate-specialist bookkeeper, and the existing Keller Williams broker compliance contact.</w:t>
      </w:r>
    </w:p>
    <w:p>
      <w:pPr>
        <w:pStyle w:val="Heading2"/>
        <w:spacing w:after="160" w:before="360"/>
      </w:pPr>
      <w:r>
        <w:rPr>
          <w:rFonts w:ascii="Arial" w:cs="Arial" w:eastAsia="Arial" w:hAnsi="Arial"/>
          <w:b/>
          <w:bCs/>
          <w:color w:val="1A2332"/>
          <w:sz w:val="28"/>
          <w:szCs w:val="28"/>
        </w:rPr>
        <w:t xml:space="preserve">1.12 Cultural Standard</w:t>
      </w:r>
    </w:p>
    <w:p>
      <w:pPr>
        <w:spacing w:after="140"/>
        <w:jc w:val="both"/>
      </w:pPr>
      <w:r>
        <w:rPr>
          <w:rFonts w:ascii="Arial" w:cs="Arial" w:eastAsia="Arial" w:hAnsi="Arial"/>
          <w:sz w:val="22"/>
          <w:szCs w:val="22"/>
        </w:rPr>
        <w:t xml:space="preserve">The cultural standard at Pegasus is short and enforceable. It is documented in detail in Section 15 (Culture) of this manual; its summary belongs here as the closing of the company doctrine.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A2332" w:val="clear"/>
            <w:tcMar>
              <w:top w:type="dxa" w:w="160"/>
              <w:left w:type="dxa" w:w="200"/>
              <w:bottom w:type="dxa" w:w="80"/>
              <w:right w:type="dxa" w:w="200"/>
            </w:tcMar>
          </w:tcPr>
          <w:p>
            <w:pPr>
              <w:spacing w:after="80"/>
            </w:pPr>
            <w:r>
              <w:rPr>
                <w:rFonts w:ascii="Arial" w:cs="Arial" w:eastAsia="Arial" w:hAnsi="Arial"/>
                <w:b/>
                <w:bCs/>
                <w:color w:val="C87A3A"/>
                <w:sz w:val="18"/>
                <w:szCs w:val="18"/>
              </w:rPr>
              <w:t xml:space="preserve">THE OPERATING STANDARD</w:t>
            </w:r>
          </w:p>
        </w:tc>
      </w:tr>
      <w:tr>
        <w:tc>
          <w:tcPr>
            <w:tcW w:type="dxa" w:w="9360"/>
            <w:tcBorders>
              <w:top w:val="single" w:color="BFBFBF" w:sz="4"/>
              <w:left w:val="single" w:color="BFBFBF" w:sz="4"/>
              <w:bottom w:val="single" w:color="BFBFBF" w:sz="4"/>
              <w:right w:val="single" w:color="BFBFBF" w:sz="4"/>
            </w:tcBorders>
            <w:shd w:fill="F0EDE6" w:val="clear"/>
            <w:tcMar>
              <w:top w:type="dxa" w:w="160"/>
              <w:left w:type="dxa" w:w="200"/>
              <w:bottom w:type="dxa" w:w="160"/>
              <w:right w:type="dxa" w:w="200"/>
            </w:tcMar>
          </w:tcPr>
          <w:p>
            <w:r>
              <w:rPr>
                <w:rFonts w:ascii="Arial" w:cs="Arial" w:eastAsia="Arial" w:hAnsi="Arial"/>
                <w:color w:val="1A2332"/>
                <w:sz w:val="22"/>
                <w:szCs w:val="22"/>
              </w:rPr>
              <w:t xml:space="preserve">No verbal chaos. No fake certainty. No loose money. No role confusion. No bad deals forced. No action without an owner. No dollar without a place. No professional review skipped. No promise made publicly that the doctrine cannot honor privately.</w:t>
            </w:r>
          </w:p>
        </w:tc>
      </w:tr>
    </w:tbl>
    <w:p>
      <w:r>
        <w:t xml:space="preserve"/>
      </w:r>
    </w:p>
    <w:p>
      <w:pPr>
        <w:spacing w:after="140"/>
        <w:jc w:val="both"/>
      </w:pPr>
      <w:r>
        <w:rPr>
          <w:rFonts w:ascii="Arial" w:cs="Arial" w:eastAsia="Arial" w:hAnsi="Arial"/>
          <w:sz w:val="22"/>
          <w:szCs w:val="22"/>
        </w:rPr>
        <w:t xml:space="preserve">Pegasus is built to scale. The cultural standard is what makes scaling possible. A second Strategist hires a third Strategist who eventually replaces Apollo on a deal — and the seller experience does not change, because the doctrine, the system, and the standard are stronger than any individual operator. That is the work this manual exists to make possible.</w:t>
      </w:r>
    </w:p>
    <w:p>
      <w:r>
        <w:br w:type="page"/>
      </w:r>
    </w:p>
    <w:p>
      <w:pPr>
        <w:spacing w:after="60" w:before="600"/>
        <w:jc w:val="center"/>
      </w:pPr>
      <w:r>
        <w:rPr>
          <w:rFonts w:ascii="Arial" w:cs="Arial" w:eastAsia="Arial" w:hAnsi="Arial"/>
          <w:b/>
          <w:bCs/>
          <w:color w:val="C87A3A"/>
          <w:sz w:val="24"/>
          <w:szCs w:val="24"/>
        </w:rPr>
        <w:t xml:space="preserve">SECTION 2</w:t>
      </w:r>
    </w:p>
    <w:p>
      <w:pPr>
        <w:spacing w:after="600"/>
        <w:jc w:val="center"/>
      </w:pPr>
      <w:r>
        <w:rPr>
          <w:rFonts w:ascii="Arial" w:cs="Arial" w:eastAsia="Arial" w:hAnsi="Arial"/>
          <w:b/>
          <w:bCs/>
          <w:color w:val="1A2332"/>
          <w:sz w:val="44"/>
          <w:szCs w:val="44"/>
        </w:rPr>
        <w:t xml:space="preserve">Business Model and Revenue 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The system should monetize every lead through its highest lawful value path.</w:t>
            </w:r>
          </w:p>
        </w:tc>
      </w:tr>
    </w:tbl>
    <w:p>
      <w:r>
        <w:t xml:space="preserve"/>
      </w:r>
    </w:p>
    <w:p>
      <w:pPr>
        <w:pStyle w:val="Heading2"/>
        <w:spacing w:after="160" w:before="360"/>
      </w:pPr>
      <w:r>
        <w:rPr>
          <w:rFonts w:ascii="Arial" w:cs="Arial" w:eastAsia="Arial" w:hAnsi="Arial"/>
          <w:b/>
          <w:bCs/>
          <w:color w:val="1A2332"/>
          <w:sz w:val="28"/>
          <w:szCs w:val="28"/>
        </w:rPr>
        <w:t xml:space="preserve">2.1 The Pegasus Operating Engine</w:t>
      </w:r>
    </w:p>
    <w:p>
      <w:pPr>
        <w:spacing w:after="140"/>
        <w:jc w:val="both"/>
      </w:pPr>
      <w:r>
        <w:rPr>
          <w:rFonts w:ascii="Arial" w:cs="Arial" w:eastAsia="Arial" w:hAnsi="Arial"/>
          <w:sz w:val="22"/>
          <w:szCs w:val="22"/>
        </w:rPr>
        <w:t xml:space="preserve">Pegasus DreamScapes operates as an inbound-first lead-capture engine paired with a multi-lane monetization system. The engine has four moving parts: a brand and front door that attracts property situations; an AI-assisted intake (Peggy) that captures, qualifies, and scores; a structured operating system (Pegasus HQ) that triages, designs, approves, and executes; and a distribution layer that routes any non-acquired deal to its highest lawful value path.</w:t>
      </w:r>
    </w:p>
    <w:p>
      <w:pPr>
        <w:spacing w:after="140"/>
        <w:jc w:val="both"/>
      </w:pPr>
      <w:r>
        <w:rPr>
          <w:rFonts w:ascii="Arial" w:cs="Arial" w:eastAsia="Arial" w:hAnsi="Arial"/>
          <w:sz w:val="22"/>
          <w:szCs w:val="22"/>
        </w:rPr>
        <w:t xml:space="preserve">The brand promise — 'The Deal Architect; where others see impossible, we see a path' — is the trust signal that converts cold attention into qualified Submissions. The strategy-first doctrine and creative-structure capability is the operational moat that lets Pegasus monetize a wider universe of properties than any single-strategy competitor. The Pegasus HQ operating system is the discipline layer that makes the moat compound rather than collapse under volume.</w:t>
      </w:r>
    </w:p>
    <w:p>
      <w:pPr>
        <w:spacing w:after="140"/>
        <w:jc w:val="both"/>
      </w:pPr>
      <w:r>
        <w:rPr>
          <w:rFonts w:ascii="Arial" w:cs="Arial" w:eastAsia="Arial" w:hAnsi="Arial"/>
          <w:sz w:val="22"/>
          <w:szCs w:val="22"/>
        </w:rPr>
        <w:t xml:space="preserve">Revenue is generated from realized profit on closed deals across the lanes detailed below. Pegasus does not generate revenue from inbound consultation, from public investor solicitation, or from any service line that requires licensure Pegasus does not yet hold. Future revenue lines (paid Strategy Memos, Pegasus HQ SaaS licensing, MarketFlow public marketplace, Pegasus Development public ADU/construction services) are explicitly deferred in v1.</w:t>
      </w:r>
    </w:p>
    <w:p>
      <w:pPr>
        <w:pStyle w:val="Heading2"/>
        <w:spacing w:after="160" w:before="360"/>
      </w:pPr>
      <w:r>
        <w:rPr>
          <w:rFonts w:ascii="Arial" w:cs="Arial" w:eastAsia="Arial" w:hAnsi="Arial"/>
          <w:b/>
          <w:bCs/>
          <w:color w:val="1A2332"/>
          <w:sz w:val="28"/>
          <w:szCs w:val="28"/>
        </w:rPr>
        <w:t xml:space="preserve">2.2 Revenue Architecture Overview</w:t>
      </w:r>
    </w:p>
    <w:p>
      <w:pPr>
        <w:spacing w:after="140"/>
        <w:jc w:val="both"/>
      </w:pPr>
      <w:r>
        <w:rPr>
          <w:rFonts w:ascii="Arial" w:cs="Arial" w:eastAsia="Arial" w:hAnsi="Arial"/>
          <w:sz w:val="22"/>
          <w:szCs w:val="22"/>
        </w:rPr>
        <w:t xml:space="preserve">Pegasus revenue lanes are ranked by capital efficiency, v1 priority, and operational maturity required. Lanes marked P0 are bread-and-butter cash generators for v1. Lanes marked P1 are active and scaling. Lanes marked P2 are limited or phased. Lanes marked P3 are future revenue lines, intentionally deferred.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24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Pegasus Acquisition (Fix &amp; Flip)</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P0 — Primary v1 cash generator. Bay Area focus.</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Pegasus Acquisition (BRRRR + ADU)</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P0 — Primary v1 wealth builder. Sacramento metro focus.</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Wholesale Assignment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P1 — Active when deal flow exceeds capital.</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JV / Partnership</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P1 — Active when external party brings property, capital, or contract.</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KW Realty Listing Lane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P1 — Active spillover funnel for non-fit Pegasus seekers.</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Pegasus Development Construction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P2 — Internal projects only in v1. JV in v1.5. Public v2.</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Asset Management Yield (BRRRR Hold)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P2 — Long-tail wealth engine. Activates as portfolio grows.</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Future SaaS / MarketFlow Public</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P3 — Deferred until product maturity and legal review complete.</w:t>
            </w:r>
          </w:p>
        </w:tc>
      </w:tr>
    </w:tbl>
    <w:p>
      <w:r>
        <w:t xml:space="preserve"/>
      </w:r>
    </w:p>
    <w:p>
      <w:pPr>
        <w:pStyle w:val="Heading2"/>
        <w:spacing w:after="160" w:before="360"/>
      </w:pPr>
      <w:r>
        <w:rPr>
          <w:rFonts w:ascii="Arial" w:cs="Arial" w:eastAsia="Arial" w:hAnsi="Arial"/>
          <w:b/>
          <w:bCs/>
          <w:color w:val="1A2332"/>
          <w:sz w:val="28"/>
          <w:szCs w:val="28"/>
        </w:rPr>
        <w:t xml:space="preserve">2.3 The Eight Monetization Lanes — Detailed</w:t>
      </w:r>
    </w:p>
    <w:p>
      <w:pPr>
        <w:pStyle w:val="Heading3"/>
        <w:spacing w:after="120" w:before="280"/>
      </w:pPr>
      <w:r>
        <w:rPr>
          <w:rFonts w:ascii="Arial" w:cs="Arial" w:eastAsia="Arial" w:hAnsi="Arial"/>
          <w:b/>
          <w:bCs/>
          <w:color w:val="C87A3A"/>
          <w:sz w:val="24"/>
          <w:szCs w:val="24"/>
        </w:rPr>
        <w:t xml:space="preserve">Lane 1 — Pegasus Acquisition</w:t>
      </w:r>
    </w:p>
    <w:p>
      <w:pPr>
        <w:spacing w:after="140"/>
        <w:jc w:val="both"/>
      </w:pPr>
      <w:r>
        <w:rPr>
          <w:rFonts w:ascii="Arial" w:cs="Arial" w:eastAsia="Arial" w:hAnsi="Arial"/>
          <w:sz w:val="22"/>
          <w:szCs w:val="22"/>
        </w:rPr>
        <w:t xml:space="preserve">Pegasus buys, controls, or executes a Strategy / Structure Stack against the property. This is the highest-margin lane because Pegasus retains the full upside of the design — the strategic insight, the structure that aligned seller motivation with buyer constraints, the construction or stabilization, and the exit. The lane subdivides by Strategy Model:</w:t>
      </w:r>
    </w:p>
    <w:p>
      <w:pPr>
        <w:pStyle w:val="ListParagraph"/>
        <w:numPr>
          <w:ilvl w:val="0"/>
          <w:numId w:val="3"/>
        </w:numPr>
        <w:spacing w:after="80"/>
      </w:pPr>
      <w:r>
        <w:rPr>
          <w:rFonts w:ascii="Arial" w:cs="Arial" w:eastAsia="Arial" w:hAnsi="Arial"/>
          <w:sz w:val="22"/>
          <w:szCs w:val="22"/>
        </w:rPr>
        <w:t xml:space="preserve">Fix &amp; Flip — acquire, renovate, resell. Standard hold 6-9 months. Target net profit minimum $75,000 per deal. Bay Area / East Bay / Solano focus in v1.</w:t>
      </w:r>
    </w:p>
    <w:p>
      <w:pPr>
        <w:pStyle w:val="ListParagraph"/>
        <w:numPr>
          <w:ilvl w:val="0"/>
          <w:numId w:val="3"/>
        </w:numPr>
        <w:spacing w:after="80"/>
      </w:pPr>
      <w:r>
        <w:rPr>
          <w:rFonts w:ascii="Arial" w:cs="Arial" w:eastAsia="Arial" w:hAnsi="Arial"/>
          <w:sz w:val="22"/>
          <w:szCs w:val="22"/>
        </w:rPr>
        <w:t xml:space="preserve">BRRRR + ADU — acquire, renovate, build accessory dwelling unit, refinance to recover most or all capital, hold for cash flow and appreciation. Sacramento / Stockton / Modesto focus. ADU adds 18-22% ARV uplift baseline.</w:t>
      </w:r>
    </w:p>
    <w:p>
      <w:pPr>
        <w:pStyle w:val="ListParagraph"/>
        <w:numPr>
          <w:ilvl w:val="0"/>
          <w:numId w:val="3"/>
        </w:numPr>
        <w:spacing w:after="80"/>
      </w:pPr>
      <w:r>
        <w:rPr>
          <w:rFonts w:ascii="Arial" w:cs="Arial" w:eastAsia="Arial" w:hAnsi="Arial"/>
          <w:sz w:val="22"/>
          <w:szCs w:val="22"/>
        </w:rPr>
        <w:t xml:space="preserve">Wholetail — light cosmetic improvement plus retail-channel sale. Used when ARV upside justifies retail timing without full rehab risk.</w:t>
      </w:r>
    </w:p>
    <w:p>
      <w:pPr>
        <w:pStyle w:val="ListParagraph"/>
        <w:numPr>
          <w:ilvl w:val="0"/>
          <w:numId w:val="3"/>
        </w:numPr>
        <w:spacing w:after="80"/>
      </w:pPr>
      <w:r>
        <w:rPr>
          <w:rFonts w:ascii="Arial" w:cs="Arial" w:eastAsia="Arial" w:hAnsi="Arial"/>
          <w:sz w:val="22"/>
          <w:szCs w:val="22"/>
        </w:rPr>
        <w:t xml:space="preserve">Rental Hold — stabilized acquisition with clean tenant; long-term hold for cash flow plus appreciation. Used selectively when valuation supports the hold without forced-value work.</w:t>
      </w:r>
    </w:p>
    <w:p>
      <w:pPr>
        <w:pStyle w:val="ListParagraph"/>
        <w:numPr>
          <w:ilvl w:val="0"/>
          <w:numId w:val="3"/>
        </w:numPr>
        <w:spacing w:after="80"/>
      </w:pPr>
      <w:r>
        <w:rPr>
          <w:rFonts w:ascii="Arial" w:cs="Arial" w:eastAsia="Arial" w:hAnsi="Arial"/>
          <w:sz w:val="22"/>
          <w:szCs w:val="22"/>
        </w:rPr>
        <w:t xml:space="preserve">Development — ground-up new construction or substantial entitlement-driven rehabilitation. Used selectively in v1; entitlement risk is automatically disqualifying unless an experienced co-developer carries it.</w:t>
      </w:r>
    </w:p>
    <w:p>
      <w:r>
        <w:t xml:space="preserve"/>
      </w:r>
    </w:p>
    <w:p>
      <w:pPr>
        <w:spacing w:after="140"/>
        <w:jc w:val="both"/>
      </w:pPr>
      <w:r>
        <w:rPr>
          <w:rFonts w:ascii="Arial" w:cs="Arial" w:eastAsia="Arial" w:hAnsi="Arial"/>
          <w:sz w:val="22"/>
          <w:szCs w:val="22"/>
        </w:rPr>
        <w:t xml:space="preserve">Revenue: project-level net profit flows through the per-deal SPE LLC waterfall. Capital partners receive return of capital plus preferred return; Pegasus receives the General Partner share.</w:t>
      </w:r>
    </w:p>
    <w:p>
      <w:pPr>
        <w:pStyle w:val="Heading3"/>
        <w:spacing w:after="120" w:before="280"/>
      </w:pPr>
      <w:r>
        <w:rPr>
          <w:rFonts w:ascii="Arial" w:cs="Arial" w:eastAsia="Arial" w:hAnsi="Arial"/>
          <w:b/>
          <w:bCs/>
          <w:color w:val="C87A3A"/>
          <w:sz w:val="24"/>
          <w:szCs w:val="24"/>
        </w:rPr>
        <w:t xml:space="preserve">Lane 2 — Wholesale Assignment</w:t>
      </w:r>
    </w:p>
    <w:p>
      <w:pPr>
        <w:spacing w:after="140"/>
        <w:jc w:val="both"/>
      </w:pPr>
      <w:r>
        <w:rPr>
          <w:rFonts w:ascii="Arial" w:cs="Arial" w:eastAsia="Arial" w:hAnsi="Arial"/>
          <w:sz w:val="22"/>
          <w:szCs w:val="22"/>
        </w:rPr>
        <w:t xml:space="preserve">Pegasus controls a property under a Purchase and Sale Agreement that includes assignment rights, then assigns the contract to a third-party investor buyer for an assignment fee. The lane is activated when (a) the deal does not fit Pegasus's operator buy box but still has spread to an end-buyer, (b) Pegasus is at capital constraint and chooses to wholesale rather than acquire, or (c) the seller's timeline does not match Pegasus's underwriting bandwidth.</w:t>
      </w:r>
    </w:p>
    <w:p>
      <w:pPr>
        <w:spacing w:after="140"/>
        <w:jc w:val="both"/>
      </w:pPr>
      <w:r>
        <w:rPr>
          <w:rFonts w:ascii="Arial" w:cs="Arial" w:eastAsia="Arial" w:hAnsi="Arial"/>
          <w:sz w:val="22"/>
          <w:szCs w:val="22"/>
        </w:rPr>
        <w:t xml:space="preserve">Revenue: assignment fee paid by end buyer at close. Minimum target $15,000 per assignment; walk if spread to end buyer is below 10% of ARV. The lane requires a buyer bench developed proactively in v1 — not reactively when the constraint hits.</w:t>
      </w:r>
    </w:p>
    <w:p>
      <w:pPr>
        <w:pStyle w:val="Heading3"/>
        <w:spacing w:after="120" w:before="280"/>
      </w:pPr>
      <w:r>
        <w:rPr>
          <w:rFonts w:ascii="Arial" w:cs="Arial" w:eastAsia="Arial" w:hAnsi="Arial"/>
          <w:b/>
          <w:bCs/>
          <w:color w:val="C87A3A"/>
          <w:sz w:val="24"/>
          <w:szCs w:val="24"/>
        </w:rPr>
        <w:t xml:space="preserve">Lane 3 — JV / Partnership</w:t>
      </w:r>
    </w:p>
    <w:p>
      <w:pPr>
        <w:spacing w:after="140"/>
        <w:jc w:val="both"/>
      </w:pPr>
      <w:r>
        <w:rPr>
          <w:rFonts w:ascii="Arial" w:cs="Arial" w:eastAsia="Arial" w:hAnsi="Arial"/>
          <w:sz w:val="22"/>
          <w:szCs w:val="22"/>
        </w:rPr>
        <w:t xml:space="preserve">An external party (a wholesaler with a controlled contract, a property owner who wants to retain upside, an outside investor with capital, a strategic operator) brings something to Pegasus, and Pegasus brings systems, strategy, capital where appropriate, and execution. JV economics are deal-specific and documented in the per-deal SPE operating agreement.</w:t>
      </w:r>
    </w:p>
    <w:p>
      <w:pPr>
        <w:spacing w:after="140"/>
        <w:jc w:val="both"/>
      </w:pPr>
      <w:r>
        <w:rPr>
          <w:rFonts w:ascii="Arial" w:cs="Arial" w:eastAsia="Arial" w:hAnsi="Arial"/>
          <w:sz w:val="22"/>
          <w:szCs w:val="22"/>
        </w:rPr>
        <w:t xml:space="preserve">Revenue: Pegasus's share of profit per the JV agreement after waterfall execution. Typical Pegasus take ranges 30-50% of net profit depending on relative contributions. JV intake requires signed PSA or assignment contract, proof of seller authority, comps, photos, and deadline before review — non-negotiable.</w:t>
      </w:r>
    </w:p>
    <w:p>
      <w:pPr>
        <w:pStyle w:val="Heading3"/>
        <w:spacing w:after="120" w:before="280"/>
      </w:pPr>
      <w:r>
        <w:rPr>
          <w:rFonts w:ascii="Arial" w:cs="Arial" w:eastAsia="Arial" w:hAnsi="Arial"/>
          <w:b/>
          <w:bCs/>
          <w:color w:val="C87A3A"/>
          <w:sz w:val="24"/>
          <w:szCs w:val="24"/>
        </w:rPr>
        <w:t xml:space="preserve">Lane 4 — KW Realty Listing Lane</w:t>
      </w:r>
    </w:p>
    <w:p>
      <w:pPr>
        <w:spacing w:after="140"/>
        <w:jc w:val="both"/>
      </w:pPr>
      <w:r>
        <w:rPr>
          <w:rFonts w:ascii="Arial" w:cs="Arial" w:eastAsia="Arial" w:hAnsi="Arial"/>
          <w:sz w:val="22"/>
          <w:szCs w:val="22"/>
        </w:rPr>
        <w:t xml:space="preserve">When a Pegasus Seed turns out to be a property best served by a traditional MLS listing, Apollo wears his Keller Williams Real Estate Salesperson hat and offers listing services. The role switch requires written dual-role disclosure (signed by seller before any KW conversation begins), and the KW conversation operates under Keller Williams East Bay's compliance, splits, and broker oversight.</w:t>
      </w:r>
    </w:p>
    <w:p>
      <w:pPr>
        <w:spacing w:after="140"/>
        <w:jc w:val="both"/>
      </w:pPr>
      <w:r>
        <w:rPr>
          <w:rFonts w:ascii="Arial" w:cs="Arial" w:eastAsia="Arial" w:hAnsi="Arial"/>
          <w:sz w:val="22"/>
          <w:szCs w:val="22"/>
        </w:rPr>
        <w:t xml:space="preserve">Revenue: Apollo's KW commission per the standard KW splits. Pegasus DreamScapes Corp does not receive a Pegasus fee for this lane — the KW commission flows to Apollo personally as a licensed Salesperson. The lane exists as a spillover funnel that captures sellers Pegasus cannot serve as an investor.</w:t>
      </w:r>
    </w:p>
    <w:p>
      <w:pPr>
        <w:pStyle w:val="Heading3"/>
        <w:spacing w:after="120" w:before="280"/>
      </w:pPr>
      <w:r>
        <w:rPr>
          <w:rFonts w:ascii="Arial" w:cs="Arial" w:eastAsia="Arial" w:hAnsi="Arial"/>
          <w:b/>
          <w:bCs/>
          <w:color w:val="C87A3A"/>
          <w:sz w:val="24"/>
          <w:szCs w:val="24"/>
        </w:rPr>
        <w:t xml:space="preserve">Lane 5 — Referral Lane</w:t>
      </w:r>
    </w:p>
    <w:p>
      <w:pPr>
        <w:spacing w:after="140"/>
        <w:jc w:val="both"/>
      </w:pPr>
      <w:r>
        <w:rPr>
          <w:rFonts w:ascii="Arial" w:cs="Arial" w:eastAsia="Arial" w:hAnsi="Arial"/>
          <w:sz w:val="22"/>
          <w:szCs w:val="22"/>
        </w:rPr>
        <w:t xml:space="preserve">When a Seed is best served by a third party Pegasus does not control (an outside agent, a contractor, an ADU specialty builder, an attorney for a probate situation, a hard money lender for a seller seeking to reposition rather than sell), Pegasus refers the seller and accepts a documented referral fee where lawful.</w:t>
      </w:r>
    </w:p>
    <w:p>
      <w:pPr>
        <w:spacing w:after="140"/>
        <w:jc w:val="both"/>
      </w:pPr>
      <w:r>
        <w:rPr>
          <w:rFonts w:ascii="Arial" w:cs="Arial" w:eastAsia="Arial" w:hAnsi="Arial"/>
          <w:sz w:val="22"/>
          <w:szCs w:val="22"/>
        </w:rPr>
        <w:t xml:space="preserve">Revenue: referral fees per executed agreement. The Referral Lane is intentionally lower-volume and higher-relationship; it is the doctrine's commitment to never let a lead die, applied to the cases where Pegasus is the wrong vehicle.</w:t>
      </w:r>
    </w:p>
    <w:p>
      <w:pPr>
        <w:pStyle w:val="Heading3"/>
        <w:spacing w:after="120" w:before="280"/>
      </w:pPr>
      <w:r>
        <w:rPr>
          <w:rFonts w:ascii="Arial" w:cs="Arial" w:eastAsia="Arial" w:hAnsi="Arial"/>
          <w:b/>
          <w:bCs/>
          <w:color w:val="C87A3A"/>
          <w:sz w:val="24"/>
          <w:szCs w:val="24"/>
        </w:rPr>
        <w:t xml:space="preserve">Lane 6 — MarketFlow / Private Distribution</w:t>
      </w:r>
    </w:p>
    <w:p>
      <w:pPr>
        <w:spacing w:after="140"/>
        <w:jc w:val="both"/>
      </w:pPr>
      <w:r>
        <w:rPr>
          <w:rFonts w:ascii="Arial" w:cs="Arial" w:eastAsia="Arial" w:hAnsi="Arial"/>
          <w:sz w:val="22"/>
          <w:szCs w:val="22"/>
        </w:rPr>
        <w:t xml:space="preserve">Pegasus distributes a controlled deal to a private network of pre-qualified investors. In v1, MarketFlow is a private channel only — never a public marketplace. Inventory is restricted to (a) contracts Pegasus controls via signed PSA or assignment, (b) JV opportunities with documented partner consent, (c) referrals through licensed lanes with written disclosure, and (d) investor-only private offerings reviewed by securities counsel.</w:t>
      </w:r>
    </w:p>
    <w:p>
      <w:pPr>
        <w:spacing w:after="140"/>
        <w:jc w:val="both"/>
      </w:pPr>
      <w:r>
        <w:rPr>
          <w:rFonts w:ascii="Arial" w:cs="Arial" w:eastAsia="Arial" w:hAnsi="Arial"/>
          <w:sz w:val="22"/>
          <w:szCs w:val="22"/>
        </w:rPr>
        <w:t xml:space="preserve">Revenue: assignment fees, JV co-execution shares, or private-distribution fees per documented agreement. Public MarketFlow launch is deferred until broker compliance review and securities counsel sign-off complete.</w:t>
      </w:r>
    </w:p>
    <w:p>
      <w:pPr>
        <w:pStyle w:val="Heading3"/>
        <w:spacing w:after="120" w:before="280"/>
      </w:pPr>
      <w:r>
        <w:rPr>
          <w:rFonts w:ascii="Arial" w:cs="Arial" w:eastAsia="Arial" w:hAnsi="Arial"/>
          <w:b/>
          <w:bCs/>
          <w:color w:val="C87A3A"/>
          <w:sz w:val="24"/>
          <w:szCs w:val="24"/>
        </w:rPr>
        <w:t xml:space="preserve">Lane 7 — Incubation / Nurture</w:t>
      </w:r>
    </w:p>
    <w:p>
      <w:pPr>
        <w:spacing w:after="140"/>
        <w:jc w:val="both"/>
      </w:pPr>
      <w:r>
        <w:rPr>
          <w:rFonts w:ascii="Arial" w:cs="Arial" w:eastAsia="Arial" w:hAnsi="Arial"/>
          <w:sz w:val="22"/>
          <w:szCs w:val="22"/>
        </w:rPr>
        <w:t xml:space="preserve">A Seed with future potential but wrong-time conditions enters Incubation. Reasons include: seller price expectation too high today but market conditions may shift; seller not psychologically ready to act; property requires a future event (probate close, divorce decree, lease expiration); creative structure may work later; Pegasus capital constraint will lift in coming quarters.</w:t>
      </w:r>
    </w:p>
    <w:p>
      <w:pPr>
        <w:spacing w:after="140"/>
        <w:jc w:val="both"/>
      </w:pPr>
      <w:r>
        <w:rPr>
          <w:rFonts w:ascii="Arial" w:cs="Arial" w:eastAsia="Arial" w:hAnsi="Arial"/>
          <w:sz w:val="22"/>
          <w:szCs w:val="22"/>
        </w:rPr>
        <w:t xml:space="preserve">Revenue: zero immediate; downstream revenue from the lane that ultimately monetizes the Seed when conditions align. Incubation cadence: 30-day, 60-day, 90-day, 6-month follow-ups managed by Peggy and the Operations Coordinator. HQ surfaces the Seed when conditions change (price drops, market signals shift, seller re-engages).</w:t>
      </w:r>
    </w:p>
    <w:p>
      <w:pPr>
        <w:pStyle w:val="Heading3"/>
        <w:spacing w:after="120" w:before="280"/>
      </w:pPr>
      <w:r>
        <w:rPr>
          <w:rFonts w:ascii="Arial" w:cs="Arial" w:eastAsia="Arial" w:hAnsi="Arial"/>
          <w:b/>
          <w:bCs/>
          <w:color w:val="C87A3A"/>
          <w:sz w:val="24"/>
          <w:szCs w:val="24"/>
        </w:rPr>
        <w:t xml:space="preserve">Lane 8 — Archive Intelligence</w:t>
      </w:r>
    </w:p>
    <w:p>
      <w:pPr>
        <w:spacing w:after="140"/>
        <w:jc w:val="both"/>
      </w:pPr>
      <w:r>
        <w:rPr>
          <w:rFonts w:ascii="Arial" w:cs="Arial" w:eastAsia="Arial" w:hAnsi="Arial"/>
          <w:sz w:val="22"/>
          <w:szCs w:val="22"/>
        </w:rPr>
        <w:t xml:space="preserve">Even a dead lead teaches Pegasus. Pricing patterns, neighborhood data, seller psychology, comp accuracy, motivation signals, ADU feasibility patterns, and creative-structure receptivity all flow into the Property Intelligence Graph regardless of whether the Seed converts to revenue.</w:t>
      </w:r>
    </w:p>
    <w:p>
      <w:pPr>
        <w:spacing w:after="140"/>
        <w:jc w:val="both"/>
      </w:pPr>
      <w:r>
        <w:rPr>
          <w:rFonts w:ascii="Arial" w:cs="Arial" w:eastAsia="Arial" w:hAnsi="Arial"/>
          <w:sz w:val="22"/>
          <w:szCs w:val="22"/>
        </w:rPr>
        <w:t xml:space="preserve">Revenue: zero direct; compounding indirect value from improved underwriting accuracy, faster Triage decisions, sharper buy-box calibration, and better future deals. The lane is the long-game investment. After 24 months and 200+ archived Seeds, the Property Intelligence Graph is one of Pegasus's competitive moats.</w:t>
      </w:r>
    </w:p>
    <w:p>
      <w:r>
        <w:t xml:space="preserve"/>
      </w:r>
    </w:p>
    <w:p>
      <w:pPr>
        <w:pStyle w:val="Heading2"/>
        <w:spacing w:after="160" w:before="360"/>
      </w:pPr>
      <w:r>
        <w:rPr>
          <w:rFonts w:ascii="Arial" w:cs="Arial" w:eastAsia="Arial" w:hAnsi="Arial"/>
          <w:b/>
          <w:bCs/>
          <w:color w:val="1A2332"/>
          <w:sz w:val="28"/>
          <w:szCs w:val="28"/>
        </w:rPr>
        <w:t xml:space="preserve">2.4 Revenue Lane Activation Hierarchy</w:t>
      </w:r>
    </w:p>
    <w:p>
      <w:pPr>
        <w:spacing w:after="140"/>
        <w:jc w:val="both"/>
      </w:pPr>
      <w:r>
        <w:rPr>
          <w:rFonts w:ascii="Arial" w:cs="Arial" w:eastAsia="Arial" w:hAnsi="Arial"/>
          <w:sz w:val="22"/>
          <w:szCs w:val="22"/>
        </w:rPr>
        <w:t xml:space="preserve">When a Seed is accepted from Triage, the lane assignment follows this priority order — not as a rigid sequence, but as the questions the Triage Strategist asks in order:</w:t>
      </w:r>
    </w:p>
    <w:p>
      <w:pPr>
        <w:pStyle w:val="ListParagraph"/>
        <w:numPr>
          <w:ilvl w:val="0"/>
          <w:numId w:val="2"/>
        </w:numPr>
        <w:spacing w:after="100"/>
      </w:pPr>
      <w:r>
        <w:rPr>
          <w:rFonts w:ascii="Arial" w:cs="Arial" w:eastAsia="Arial" w:hAnsi="Arial"/>
          <w:sz w:val="22"/>
          <w:szCs w:val="22"/>
        </w:rPr>
        <w:t xml:space="preserve">Does the property fit a Pegasus Acquisition strategy with a structure that aligns seller motivation? If yes — Pegasus Acquisition.</w:t>
      </w:r>
    </w:p>
    <w:p>
      <w:pPr>
        <w:pStyle w:val="ListParagraph"/>
        <w:numPr>
          <w:ilvl w:val="0"/>
          <w:numId w:val="2"/>
        </w:numPr>
        <w:spacing w:after="100"/>
      </w:pPr>
      <w:r>
        <w:rPr>
          <w:rFonts w:ascii="Arial" w:cs="Arial" w:eastAsia="Arial" w:hAnsi="Arial"/>
          <w:sz w:val="22"/>
          <w:szCs w:val="22"/>
        </w:rPr>
        <w:t xml:space="preserve">If no Pegasus Acquisition fit, but Pegasus can control the contract and the spread justifies it — Wholesale Assignment.</w:t>
      </w:r>
    </w:p>
    <w:p>
      <w:pPr>
        <w:pStyle w:val="ListParagraph"/>
        <w:numPr>
          <w:ilvl w:val="0"/>
          <w:numId w:val="2"/>
        </w:numPr>
        <w:spacing w:after="100"/>
      </w:pPr>
      <w:r>
        <w:rPr>
          <w:rFonts w:ascii="Arial" w:cs="Arial" w:eastAsia="Arial" w:hAnsi="Arial"/>
          <w:sz w:val="22"/>
          <w:szCs w:val="22"/>
        </w:rPr>
        <w:t xml:space="preserve">If a JV partner has brought the deal or could co-execute — JV / Partnership.</w:t>
      </w:r>
    </w:p>
    <w:p>
      <w:pPr>
        <w:pStyle w:val="ListParagraph"/>
        <w:numPr>
          <w:ilvl w:val="0"/>
          <w:numId w:val="2"/>
        </w:numPr>
        <w:spacing w:after="100"/>
      </w:pPr>
      <w:r>
        <w:rPr>
          <w:rFonts w:ascii="Arial" w:cs="Arial" w:eastAsia="Arial" w:hAnsi="Arial"/>
          <w:sz w:val="22"/>
          <w:szCs w:val="22"/>
        </w:rPr>
        <w:t xml:space="preserve">If the property is best served by a traditional MLS listing and the seller wants retail price — KW Realty Listing Lane (with dual-role disclosure).</w:t>
      </w:r>
    </w:p>
    <w:p>
      <w:pPr>
        <w:pStyle w:val="ListParagraph"/>
        <w:numPr>
          <w:ilvl w:val="0"/>
          <w:numId w:val="2"/>
        </w:numPr>
        <w:spacing w:after="100"/>
      </w:pPr>
      <w:r>
        <w:rPr>
          <w:rFonts w:ascii="Arial" w:cs="Arial" w:eastAsia="Arial" w:hAnsi="Arial"/>
          <w:sz w:val="22"/>
          <w:szCs w:val="22"/>
        </w:rPr>
        <w:t xml:space="preserve">If a third party Pegasus knows could serve the seller better — Referral Lane (with documented referral agreement where lawful).</w:t>
      </w:r>
    </w:p>
    <w:p>
      <w:pPr>
        <w:pStyle w:val="ListParagraph"/>
        <w:numPr>
          <w:ilvl w:val="0"/>
          <w:numId w:val="2"/>
        </w:numPr>
        <w:spacing w:after="100"/>
      </w:pPr>
      <w:r>
        <w:rPr>
          <w:rFonts w:ascii="Arial" w:cs="Arial" w:eastAsia="Arial" w:hAnsi="Arial"/>
          <w:sz w:val="22"/>
          <w:szCs w:val="22"/>
        </w:rPr>
        <w:t xml:space="preserve">If a Pegasus-controlled deal exists that fits a private-network investor better than Pegasus's own balance sheet — MarketFlow / Private Distribution.</w:t>
      </w:r>
    </w:p>
    <w:p>
      <w:pPr>
        <w:pStyle w:val="ListParagraph"/>
        <w:numPr>
          <w:ilvl w:val="0"/>
          <w:numId w:val="2"/>
        </w:numPr>
        <w:spacing w:after="100"/>
      </w:pPr>
      <w:r>
        <w:rPr>
          <w:rFonts w:ascii="Arial" w:cs="Arial" w:eastAsia="Arial" w:hAnsi="Arial"/>
          <w:sz w:val="22"/>
          <w:szCs w:val="22"/>
        </w:rPr>
        <w:t xml:space="preserve">If the timing is wrong but the situation has future potential — Incubation.</w:t>
      </w:r>
    </w:p>
    <w:p>
      <w:pPr>
        <w:pStyle w:val="ListParagraph"/>
        <w:numPr>
          <w:ilvl w:val="0"/>
          <w:numId w:val="2"/>
        </w:numPr>
        <w:spacing w:after="100"/>
      </w:pPr>
      <w:r>
        <w:rPr>
          <w:rFonts w:ascii="Arial" w:cs="Arial" w:eastAsia="Arial" w:hAnsi="Arial"/>
          <w:sz w:val="22"/>
          <w:szCs w:val="22"/>
        </w:rPr>
        <w:t xml:space="preserve">If no lawful, productive lane is available — Archive Intelligence (close the Seed; preserve the data).</w:t>
      </w:r>
    </w:p>
    <w:p>
      <w:r>
        <w:t xml:space="preserve"/>
      </w:r>
    </w:p>
    <w:p>
      <w:pPr>
        <w:spacing w:after="140"/>
        <w:jc w:val="both"/>
      </w:pPr>
      <w:r>
        <w:rPr>
          <w:rFonts w:ascii="Arial" w:cs="Arial" w:eastAsia="Arial" w:hAnsi="Arial"/>
          <w:sz w:val="22"/>
          <w:szCs w:val="22"/>
        </w:rPr>
        <w:t xml:space="preserve">Lane assignment is not optional. Triage Strategists cannot leave a Seed unassigned. Lane assignment is logged in HQ within 24 business hours of Triage acceptance.</w:t>
      </w:r>
    </w:p>
    <w:p>
      <w:pPr>
        <w:pStyle w:val="Heading2"/>
        <w:spacing w:after="160" w:before="360"/>
      </w:pPr>
      <w:r>
        <w:rPr>
          <w:rFonts w:ascii="Arial" w:cs="Arial" w:eastAsia="Arial" w:hAnsi="Arial"/>
          <w:b/>
          <w:bCs/>
          <w:color w:val="1A2332"/>
          <w:sz w:val="28"/>
          <w:szCs w:val="28"/>
        </w:rPr>
        <w:t xml:space="preserve">2.5 v1 Revenue Priorities</w:t>
      </w:r>
    </w:p>
    <w:p>
      <w:pPr>
        <w:spacing w:after="140"/>
        <w:jc w:val="both"/>
      </w:pPr>
      <w:r>
        <w:rPr>
          <w:rFonts w:ascii="Arial" w:cs="Arial" w:eastAsia="Arial" w:hAnsi="Arial"/>
          <w:sz w:val="22"/>
          <w:szCs w:val="22"/>
        </w:rPr>
        <w:t xml:space="preserve">In v1, Pegasus is capital-constrained and bandwidth-constrained. The revenue priorities are sequenced to match the operating reality:</w:t>
      </w:r>
    </w:p>
    <w:p>
      <w:pPr>
        <w:pStyle w:val="Heading4"/>
        <w:spacing w:after="100" w:before="220"/>
      </w:pPr>
      <w:r>
        <w:rPr>
          <w:rFonts w:ascii="Arial" w:cs="Arial" w:eastAsia="Arial" w:hAnsi="Arial"/>
          <w:b/>
          <w:bCs/>
          <w:color w:val="243044"/>
          <w:sz w:val="22"/>
          <w:szCs w:val="22"/>
        </w:rPr>
        <w:t xml:space="preserve">P0 — Primary v1 Revenue (Months 1-12)</w:t>
      </w:r>
    </w:p>
    <w:p>
      <w:pPr>
        <w:pStyle w:val="ListParagraph"/>
        <w:numPr>
          <w:ilvl w:val="0"/>
          <w:numId w:val="3"/>
        </w:numPr>
        <w:spacing w:after="80"/>
      </w:pPr>
      <w:r>
        <w:rPr>
          <w:rFonts w:ascii="Arial" w:cs="Arial" w:eastAsia="Arial" w:hAnsi="Arial"/>
          <w:sz w:val="22"/>
          <w:szCs w:val="22"/>
        </w:rPr>
        <w:t xml:space="preserve">Fix &amp; Flip in the Bay Area / East Bay / Solano. Two to four closings per year, $75K-$150K net profit per deal.</w:t>
      </w:r>
    </w:p>
    <w:p>
      <w:pPr>
        <w:pStyle w:val="ListParagraph"/>
        <w:numPr>
          <w:ilvl w:val="0"/>
          <w:numId w:val="3"/>
        </w:numPr>
        <w:spacing w:after="80"/>
      </w:pPr>
      <w:r>
        <w:rPr>
          <w:rFonts w:ascii="Arial" w:cs="Arial" w:eastAsia="Arial" w:hAnsi="Arial"/>
          <w:sz w:val="22"/>
          <w:szCs w:val="22"/>
        </w:rPr>
        <w:t xml:space="preserve">BRRRR + ADU in Sacramento / Stockton / Modesto. One to two closings per year, with first refi expected by month 12-15.</w:t>
      </w:r>
    </w:p>
    <w:p>
      <w:r>
        <w:t xml:space="preserve"/>
      </w:r>
    </w:p>
    <w:p>
      <w:pPr>
        <w:pStyle w:val="Heading4"/>
        <w:spacing w:after="100" w:before="220"/>
      </w:pPr>
      <w:r>
        <w:rPr>
          <w:rFonts w:ascii="Arial" w:cs="Arial" w:eastAsia="Arial" w:hAnsi="Arial"/>
          <w:b/>
          <w:bCs/>
          <w:color w:val="243044"/>
          <w:sz w:val="22"/>
          <w:szCs w:val="22"/>
        </w:rPr>
        <w:t xml:space="preserve">P1 — Secondary v1 Revenue (Months 4-12)</w:t>
      </w:r>
    </w:p>
    <w:p>
      <w:pPr>
        <w:pStyle w:val="ListParagraph"/>
        <w:numPr>
          <w:ilvl w:val="0"/>
          <w:numId w:val="3"/>
        </w:numPr>
        <w:spacing w:after="80"/>
      </w:pPr>
      <w:r>
        <w:rPr>
          <w:rFonts w:ascii="Arial" w:cs="Arial" w:eastAsia="Arial" w:hAnsi="Arial"/>
          <w:sz w:val="22"/>
          <w:szCs w:val="22"/>
        </w:rPr>
        <w:t xml:space="preserve">Wholesale Assignment for deals outside the Pegasus operator buy box. Eight to twelve closings per year, $15K-$30K assignment fees.</w:t>
      </w:r>
    </w:p>
    <w:p>
      <w:pPr>
        <w:pStyle w:val="ListParagraph"/>
        <w:numPr>
          <w:ilvl w:val="0"/>
          <w:numId w:val="3"/>
        </w:numPr>
        <w:spacing w:after="80"/>
      </w:pPr>
      <w:r>
        <w:rPr>
          <w:rFonts w:ascii="Arial" w:cs="Arial" w:eastAsia="Arial" w:hAnsi="Arial"/>
          <w:sz w:val="22"/>
          <w:szCs w:val="22"/>
        </w:rPr>
        <w:t xml:space="preserve">JV / Partnership for deals brought in by external partners. Three to six closings per year.</w:t>
      </w:r>
    </w:p>
    <w:p>
      <w:pPr>
        <w:pStyle w:val="ListParagraph"/>
        <w:numPr>
          <w:ilvl w:val="0"/>
          <w:numId w:val="3"/>
        </w:numPr>
        <w:spacing w:after="80"/>
      </w:pPr>
      <w:r>
        <w:rPr>
          <w:rFonts w:ascii="Arial" w:cs="Arial" w:eastAsia="Arial" w:hAnsi="Arial"/>
          <w:sz w:val="22"/>
          <w:szCs w:val="22"/>
        </w:rPr>
        <w:t xml:space="preserve">KW Realty Listing Lane for spillover sellers. Four to eight listings per year via Apollo's KW practice.</w:t>
      </w:r>
    </w:p>
    <w:p>
      <w:r>
        <w:t xml:space="preserve"/>
      </w:r>
    </w:p>
    <w:p>
      <w:pPr>
        <w:pStyle w:val="Heading4"/>
        <w:spacing w:after="100" w:before="220"/>
      </w:pPr>
      <w:r>
        <w:rPr>
          <w:rFonts w:ascii="Arial" w:cs="Arial" w:eastAsia="Arial" w:hAnsi="Arial"/>
          <w:b/>
          <w:bCs/>
          <w:color w:val="243044"/>
          <w:sz w:val="22"/>
          <w:szCs w:val="22"/>
        </w:rPr>
        <w:t xml:space="preserve">P2 — Phased v1 Revenue (Activates by Trigger)</w:t>
      </w:r>
    </w:p>
    <w:p>
      <w:pPr>
        <w:pStyle w:val="ListParagraph"/>
        <w:numPr>
          <w:ilvl w:val="0"/>
          <w:numId w:val="3"/>
        </w:numPr>
        <w:spacing w:after="80"/>
      </w:pPr>
      <w:r>
        <w:rPr>
          <w:rFonts w:ascii="Arial" w:cs="Arial" w:eastAsia="Arial" w:hAnsi="Arial"/>
          <w:sz w:val="22"/>
          <w:szCs w:val="22"/>
        </w:rPr>
        <w:t xml:space="preserve">Pegasus Development Construction — internal projects only. Margin captured inside SPE waterfalls; no separate Pegasus Development revenue line in v1.</w:t>
      </w:r>
    </w:p>
    <w:p>
      <w:pPr>
        <w:pStyle w:val="ListParagraph"/>
        <w:numPr>
          <w:ilvl w:val="0"/>
          <w:numId w:val="3"/>
        </w:numPr>
        <w:spacing w:after="80"/>
      </w:pPr>
      <w:r>
        <w:rPr>
          <w:rFonts w:ascii="Arial" w:cs="Arial" w:eastAsia="Arial" w:hAnsi="Arial"/>
          <w:sz w:val="22"/>
          <w:szCs w:val="22"/>
        </w:rPr>
        <w:t xml:space="preserve">Asset Management Yield — activates with first stabilized BRRRR rental, scales with portfolio.</w:t>
      </w:r>
    </w:p>
    <w:p>
      <w:r>
        <w:t xml:space="preserve"/>
      </w:r>
    </w:p>
    <w:p>
      <w:pPr>
        <w:pStyle w:val="Heading4"/>
        <w:spacing w:after="100" w:before="220"/>
      </w:pPr>
      <w:r>
        <w:rPr>
          <w:rFonts w:ascii="Arial" w:cs="Arial" w:eastAsia="Arial" w:hAnsi="Arial"/>
          <w:b/>
          <w:bCs/>
          <w:color w:val="243044"/>
          <w:sz w:val="22"/>
          <w:szCs w:val="22"/>
        </w:rPr>
        <w:t xml:space="preserve">P3 — Deferred Revenue Lines</w:t>
      </w:r>
    </w:p>
    <w:p>
      <w:pPr>
        <w:pStyle w:val="ListParagraph"/>
        <w:numPr>
          <w:ilvl w:val="0"/>
          <w:numId w:val="3"/>
        </w:numPr>
        <w:spacing w:after="80"/>
      </w:pPr>
      <w:r>
        <w:rPr>
          <w:rFonts w:ascii="Arial" w:cs="Arial" w:eastAsia="Arial" w:hAnsi="Arial"/>
          <w:sz w:val="22"/>
          <w:szCs w:val="22"/>
        </w:rPr>
        <w:t xml:space="preserve">Paid Strategy Memos — productized at $497-$997 per memo, launches v1.5 with defined scope and deliverable.</w:t>
      </w:r>
    </w:p>
    <w:p>
      <w:pPr>
        <w:pStyle w:val="ListParagraph"/>
        <w:numPr>
          <w:ilvl w:val="0"/>
          <w:numId w:val="3"/>
        </w:numPr>
        <w:spacing w:after="80"/>
      </w:pPr>
      <w:r>
        <w:rPr>
          <w:rFonts w:ascii="Arial" w:cs="Arial" w:eastAsia="Arial" w:hAnsi="Arial"/>
          <w:sz w:val="22"/>
          <w:szCs w:val="22"/>
        </w:rPr>
        <w:t xml:space="preserve">Pegasus Development public construction services — launches v2 only after BuildForge software, full insurance stack, contracts, and capacity are mature.</w:t>
      </w:r>
    </w:p>
    <w:p>
      <w:pPr>
        <w:pStyle w:val="ListParagraph"/>
        <w:numPr>
          <w:ilvl w:val="0"/>
          <w:numId w:val="3"/>
        </w:numPr>
        <w:spacing w:after="80"/>
      </w:pPr>
      <w:r>
        <w:rPr>
          <w:rFonts w:ascii="Arial" w:cs="Arial" w:eastAsia="Arial" w:hAnsi="Arial"/>
          <w:sz w:val="22"/>
          <w:szCs w:val="22"/>
        </w:rPr>
        <w:t xml:space="preserve">MarketFlow public marketplace — launches when broker compliance review and securities counsel sign-off complete.</w:t>
      </w:r>
    </w:p>
    <w:p>
      <w:pPr>
        <w:pStyle w:val="ListParagraph"/>
        <w:numPr>
          <w:ilvl w:val="0"/>
          <w:numId w:val="3"/>
        </w:numPr>
        <w:spacing w:after="80"/>
      </w:pPr>
      <w:r>
        <w:rPr>
          <w:rFonts w:ascii="Arial" w:cs="Arial" w:eastAsia="Arial" w:hAnsi="Arial"/>
          <w:sz w:val="22"/>
          <w:szCs w:val="22"/>
        </w:rPr>
        <w:t xml:space="preserve">Pegasus HQ / SaaS licensing — launches when product maturity proven through Pegasus Tenant 1 operations.</w:t>
      </w:r>
    </w:p>
    <w:p>
      <w:r>
        <w:t xml:space="preserve"/>
      </w:r>
    </w:p>
    <w:p>
      <w:pPr>
        <w:pStyle w:val="Heading2"/>
        <w:spacing w:after="160" w:before="360"/>
      </w:pPr>
      <w:r>
        <w:rPr>
          <w:rFonts w:ascii="Arial" w:cs="Arial" w:eastAsia="Arial" w:hAnsi="Arial"/>
          <w:b/>
          <w:bCs/>
          <w:color w:val="1A2332"/>
          <w:sz w:val="28"/>
          <w:szCs w:val="28"/>
        </w:rPr>
        <w:t xml:space="preserve">2.6 What Revenue Pegasus Does Not Pursue in v1</w:t>
      </w:r>
    </w:p>
    <w:p>
      <w:pPr>
        <w:spacing w:after="140"/>
        <w:jc w:val="both"/>
      </w:pPr>
      <w:r>
        <w:rPr>
          <w:rFonts w:ascii="Arial" w:cs="Arial" w:eastAsia="Arial" w:hAnsi="Arial"/>
          <w:sz w:val="22"/>
          <w:szCs w:val="22"/>
        </w:rPr>
        <w:t xml:space="preserve">Disciplined revenue choices require disciplined exclusions. The following are intentionally excluded from v1 revenue plans:</w:t>
      </w:r>
    </w:p>
    <w:p>
      <w:pPr>
        <w:pStyle w:val="ListParagraph"/>
        <w:numPr>
          <w:ilvl w:val="0"/>
          <w:numId w:val="3"/>
        </w:numPr>
        <w:spacing w:after="80"/>
      </w:pPr>
      <w:r>
        <w:rPr>
          <w:rFonts w:ascii="Arial" w:cs="Arial" w:eastAsia="Arial" w:hAnsi="Arial"/>
          <w:sz w:val="22"/>
          <w:szCs w:val="22"/>
        </w:rPr>
        <w:t xml:space="preserve">Public investor solicitation. No 'invest with us, earn X%' messaging on website, social, Peggy, or any marketing surface. Capital partners reviewed privately through attorney-supervised process only.</w:t>
      </w:r>
    </w:p>
    <w:p>
      <w:pPr>
        <w:pStyle w:val="ListParagraph"/>
        <w:numPr>
          <w:ilvl w:val="0"/>
          <w:numId w:val="3"/>
        </w:numPr>
        <w:spacing w:after="80"/>
      </w:pPr>
      <w:r>
        <w:rPr>
          <w:rFonts w:ascii="Arial" w:cs="Arial" w:eastAsia="Arial" w:hAnsi="Arial"/>
          <w:sz w:val="22"/>
          <w:szCs w:val="22"/>
        </w:rPr>
        <w:t xml:space="preserve">Open consultation as paid service. Free pre-assessment is a trust-and-conversion engine, not a revenue line. Paid consultation is a v1.5 productized offering with defined scope.</w:t>
      </w:r>
    </w:p>
    <w:p>
      <w:pPr>
        <w:pStyle w:val="ListParagraph"/>
        <w:numPr>
          <w:ilvl w:val="0"/>
          <w:numId w:val="3"/>
        </w:numPr>
        <w:spacing w:after="80"/>
      </w:pPr>
      <w:r>
        <w:rPr>
          <w:rFonts w:ascii="Arial" w:cs="Arial" w:eastAsia="Arial" w:hAnsi="Arial"/>
          <w:sz w:val="22"/>
          <w:szCs w:val="22"/>
        </w:rPr>
        <w:t xml:space="preserve">Ground-up development without experienced co-developer. Entitlement risk is too high for a capital-constrained operator without a proven development partner.</w:t>
      </w:r>
    </w:p>
    <w:p>
      <w:pPr>
        <w:pStyle w:val="ListParagraph"/>
        <w:numPr>
          <w:ilvl w:val="0"/>
          <w:numId w:val="3"/>
        </w:numPr>
        <w:spacing w:after="80"/>
      </w:pPr>
      <w:r>
        <w:rPr>
          <w:rFonts w:ascii="Arial" w:cs="Arial" w:eastAsia="Arial" w:hAnsi="Arial"/>
          <w:sz w:val="22"/>
          <w:szCs w:val="22"/>
        </w:rPr>
        <w:t xml:space="preserve">Out-of-state acquisitions. Pegasus operates within California in v1. Geographic expansion is a v2+ consideration.</w:t>
      </w:r>
    </w:p>
    <w:p>
      <w:pPr>
        <w:pStyle w:val="ListParagraph"/>
        <w:numPr>
          <w:ilvl w:val="0"/>
          <w:numId w:val="3"/>
        </w:numPr>
        <w:spacing w:after="80"/>
      </w:pPr>
      <w:r>
        <w:rPr>
          <w:rFonts w:ascii="Arial" w:cs="Arial" w:eastAsia="Arial" w:hAnsi="Arial"/>
          <w:sz w:val="22"/>
          <w:szCs w:val="22"/>
        </w:rPr>
        <w:t xml:space="preserve">Public construction or ADU services for outside parties. Pegasus Development LLC works on Pegasus or JV partner projects only in v1; v1.5 limited expansion to JV partner work; v2 public service launch.</w:t>
      </w:r>
    </w:p>
    <w:p>
      <w:pPr>
        <w:pStyle w:val="ListParagraph"/>
        <w:numPr>
          <w:ilvl w:val="0"/>
          <w:numId w:val="3"/>
        </w:numPr>
        <w:spacing w:after="80"/>
      </w:pPr>
      <w:r>
        <w:rPr>
          <w:rFonts w:ascii="Arial" w:cs="Arial" w:eastAsia="Arial" w:hAnsi="Arial"/>
          <w:sz w:val="22"/>
          <w:szCs w:val="22"/>
        </w:rPr>
        <w:t xml:space="preserve">Real estate brokerage fees outside Apollo's KW arrangement. Apollo operates as a Salesperson under KW; brokerage-level revenue requires Broker license (target: 2-3 years out).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Discipline is what makes the revenue compound. Every excluded lane is a future option preserved by saying no today.</w:t>
            </w:r>
          </w:p>
        </w:tc>
      </w:tr>
    </w:tbl>
    <w:p>
      <w:r>
        <w:br w:type="page"/>
      </w:r>
    </w:p>
    <w:p>
      <w:pPr>
        <w:spacing w:after="60" w:before="600"/>
        <w:jc w:val="center"/>
      </w:pPr>
      <w:r>
        <w:rPr>
          <w:rFonts w:ascii="Arial" w:cs="Arial" w:eastAsia="Arial" w:hAnsi="Arial"/>
          <w:b/>
          <w:bCs/>
          <w:color w:val="C87A3A"/>
          <w:sz w:val="24"/>
          <w:szCs w:val="24"/>
        </w:rPr>
        <w:t xml:space="preserve">SECTION 3</w:t>
      </w:r>
    </w:p>
    <w:p>
      <w:pPr>
        <w:spacing w:after="600"/>
        <w:jc w:val="center"/>
      </w:pPr>
      <w:r>
        <w:rPr>
          <w:rFonts w:ascii="Arial" w:cs="Arial" w:eastAsia="Arial" w:hAnsi="Arial"/>
          <w:b/>
          <w:bCs/>
          <w:color w:val="1A2332"/>
          <w:sz w:val="44"/>
          <w:szCs w:val="44"/>
        </w:rPr>
        <w:t xml:space="preserve">Markets, Buy Box, Kill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The buy box is not a wish list. It is the discipline that protects capital, time, and reputation from deals that look interesting but should never close.</w:t>
            </w:r>
          </w:p>
        </w:tc>
      </w:tr>
    </w:tbl>
    <w:p>
      <w:r>
        <w:t xml:space="preserve"/>
      </w:r>
    </w:p>
    <w:p>
      <w:pPr>
        <w:pStyle w:val="Heading2"/>
        <w:spacing w:after="160" w:before="360"/>
      </w:pPr>
      <w:r>
        <w:rPr>
          <w:rFonts w:ascii="Arial" w:cs="Arial" w:eastAsia="Arial" w:hAnsi="Arial"/>
          <w:b/>
          <w:bCs/>
          <w:color w:val="1A2332"/>
          <w:sz w:val="28"/>
          <w:szCs w:val="28"/>
        </w:rPr>
        <w:t xml:space="preserve">3.1 Geographic Strategy</w:t>
      </w:r>
    </w:p>
    <w:p>
      <w:pPr>
        <w:spacing w:after="140"/>
        <w:jc w:val="both"/>
      </w:pPr>
      <w:r>
        <w:rPr>
          <w:rFonts w:ascii="Arial" w:cs="Arial" w:eastAsia="Arial" w:hAnsi="Arial"/>
          <w:sz w:val="22"/>
          <w:szCs w:val="22"/>
        </w:rPr>
        <w:t xml:space="preserve">Pegasus DreamScapes operates within California in v1. Geographic concentration is intentional — operational fluency, regulatory familiarity, comparable-sale density, vendor-bench depth, lender relationships, and local-market reputation all compound when concentrated. Out-of-state expansion is a v2+ consideration that requires a documented case for return on the operational complexity it introduces.</w:t>
      </w:r>
    </w:p>
    <w:p>
      <w:pPr>
        <w:spacing w:after="140"/>
        <w:jc w:val="both"/>
      </w:pPr>
      <w:r>
        <w:rPr>
          <w:rFonts w:ascii="Arial" w:cs="Arial" w:eastAsia="Arial" w:hAnsi="Arial"/>
          <w:sz w:val="22"/>
          <w:szCs w:val="22"/>
        </w:rPr>
        <w:t xml:space="preserve">Within California, Pegasus operates two distinct market clusters that map to two distinct strategy profiles. The Bay Area cluster supports Fix &amp; Flip and high-velocity capital recycling; the Sacramento metro cluster supports BRRRR + ADU forced-value strategy and long-term wealth compounding. The Wholesale Assignment lane and the KW Realty Lane operate across both clusters.</w:t>
      </w:r>
    </w:p>
    <w:p>
      <w:pPr>
        <w:pStyle w:val="Heading2"/>
        <w:spacing w:after="160" w:before="360"/>
      </w:pPr>
      <w:r>
        <w:rPr>
          <w:rFonts w:ascii="Arial" w:cs="Arial" w:eastAsia="Arial" w:hAnsi="Arial"/>
          <w:b/>
          <w:bCs/>
          <w:color w:val="1A2332"/>
          <w:sz w:val="28"/>
          <w:szCs w:val="28"/>
        </w:rPr>
        <w:t xml:space="preserve">3.2 Primary Markets</w:t>
      </w:r>
    </w:p>
    <w:p>
      <w:pPr>
        <w:pStyle w:val="Heading3"/>
        <w:spacing w:after="120" w:before="280"/>
      </w:pPr>
      <w:r>
        <w:rPr>
          <w:rFonts w:ascii="Arial" w:cs="Arial" w:eastAsia="Arial" w:hAnsi="Arial"/>
          <w:b/>
          <w:bCs/>
          <w:color w:val="C87A3A"/>
          <w:sz w:val="24"/>
          <w:szCs w:val="24"/>
        </w:rPr>
        <w:t xml:space="preserve">Cluster A — Bay Area / East Bay / Solano County (Fix &amp; Flip)</w:t>
      </w:r>
    </w:p>
    <w:p>
      <w:pPr>
        <w:spacing w:after="140"/>
        <w:jc w:val="both"/>
      </w:pPr>
      <w:r>
        <w:rPr>
          <w:rFonts w:ascii="Arial" w:cs="Arial" w:eastAsia="Arial" w:hAnsi="Arial"/>
          <w:sz w:val="22"/>
          <w:szCs w:val="22"/>
        </w:rPr>
        <w:t xml:space="preserve">Pegasus's primary Fix &amp; Flip cluster covers Contra Costa County (Pleasant Hill, Walnut Creek, Concord, Martinez, Antioch, Brentwood, Pittsburg, Richmond), Alameda County (Hayward, San Leandro, Castro Valley, Oakland selected neighborhoods), and Solano County (Vallejo, Fairfield, Vacaville). The cluster offers high-velocity capital recycling (6-9 month hold cycles), strong retail buyer demand, mature comparable-sale markets, and a deep contractor bench.</w:t>
      </w:r>
    </w:p>
    <w:p>
      <w:pPr>
        <w:spacing w:after="140"/>
        <w:jc w:val="both"/>
      </w:pPr>
      <w:r>
        <w:rPr>
          <w:rFonts w:ascii="Arial" w:cs="Arial" w:eastAsia="Arial" w:hAnsi="Arial"/>
          <w:sz w:val="22"/>
          <w:szCs w:val="22"/>
        </w:rPr>
        <w:t xml:space="preserve">The cluster's challenges are also documented and managed: high acquisition prices that require disciplined max-allowable-offer math, high construction labor costs that require scope discipline, and strong tenant protections in some submarkets that complicate vacant-property assumptions. Pegasus's underwriting accounts for all three before any offer is made.</w:t>
      </w:r>
    </w:p>
    <w:p>
      <w:pPr>
        <w:pStyle w:val="Heading3"/>
        <w:spacing w:after="120" w:before="280"/>
      </w:pPr>
      <w:r>
        <w:rPr>
          <w:rFonts w:ascii="Arial" w:cs="Arial" w:eastAsia="Arial" w:hAnsi="Arial"/>
          <w:b/>
          <w:bCs/>
          <w:color w:val="C87A3A"/>
          <w:sz w:val="24"/>
          <w:szCs w:val="24"/>
        </w:rPr>
        <w:t xml:space="preserve">Cluster B — Sacramento Metro / San Joaquin Valley (BRRRR + ADU)</w:t>
      </w:r>
    </w:p>
    <w:p>
      <w:pPr>
        <w:spacing w:after="140"/>
        <w:jc w:val="both"/>
      </w:pPr>
      <w:r>
        <w:rPr>
          <w:rFonts w:ascii="Arial" w:cs="Arial" w:eastAsia="Arial" w:hAnsi="Arial"/>
          <w:sz w:val="22"/>
          <w:szCs w:val="22"/>
        </w:rPr>
        <w:t xml:space="preserve">Pegasus's primary BRRRR + ADU cluster covers Sacramento County (Sacramento, Elk Grove, Citrus Heights, Rancho Cordova), Yolo County (West Sacramento, Davis), San Joaquin County (Stockton, Lodi, Tracy), and Stanislaus County (Modesto, Turlock). The cluster offers favorable rent-to-price ratios, supportive ADU regulatory environment under California state law (SB 9, AB 1033, HCD ADU Handbook updates), strong rent demand, and acquisition prices that support DSCR-positive holds at scale.</w:t>
      </w:r>
    </w:p>
    <w:p>
      <w:pPr>
        <w:spacing w:after="140"/>
        <w:jc w:val="both"/>
      </w:pPr>
      <w:r>
        <w:rPr>
          <w:rFonts w:ascii="Arial" w:cs="Arial" w:eastAsia="Arial" w:hAnsi="Arial"/>
          <w:sz w:val="22"/>
          <w:szCs w:val="22"/>
        </w:rPr>
        <w:t xml:space="preserve">The cluster's challenges include slower retail appreciation than the Bay Area, longer marketing cycles for any rental that doesn't cash-flow correctly priced, and submarket-by-submarket variance in ADU permitting timelines and fees. Pegasus underwrites each city (and frequently each ZIP code) independently rather than blending the cluster average.</w:t>
      </w:r>
    </w:p>
    <w:p>
      <w:pPr>
        <w:pStyle w:val="Heading2"/>
        <w:spacing w:after="160" w:before="360"/>
      </w:pPr>
      <w:r>
        <w:rPr>
          <w:rFonts w:ascii="Arial" w:cs="Arial" w:eastAsia="Arial" w:hAnsi="Arial"/>
          <w:b/>
          <w:bCs/>
          <w:color w:val="1A2332"/>
          <w:sz w:val="28"/>
          <w:szCs w:val="28"/>
        </w:rPr>
        <w:t xml:space="preserve">3.3 Secondary Markets</w:t>
      </w:r>
    </w:p>
    <w:p>
      <w:pPr>
        <w:spacing w:after="140"/>
        <w:jc w:val="both"/>
      </w:pPr>
      <w:r>
        <w:rPr>
          <w:rFonts w:ascii="Arial" w:cs="Arial" w:eastAsia="Arial" w:hAnsi="Arial"/>
          <w:sz w:val="22"/>
          <w:szCs w:val="22"/>
        </w:rPr>
        <w:t xml:space="preserve">Pegasus monitors but does not actively pursue acquisitions in the following secondary markets in v1. These markets activate when (a) a specific Seed surfaces with strong fit, (b) a JV partner brings local execution capability, or (c) Pegasus expands deliberately based on portfolio learnings.</w:t>
      </w:r>
    </w:p>
    <w:p>
      <w:pPr>
        <w:pStyle w:val="ListParagraph"/>
        <w:numPr>
          <w:ilvl w:val="0"/>
          <w:numId w:val="3"/>
        </w:numPr>
        <w:spacing w:after="80"/>
      </w:pPr>
      <w:r>
        <w:rPr>
          <w:rFonts w:ascii="Arial" w:cs="Arial" w:eastAsia="Arial" w:hAnsi="Arial"/>
          <w:sz w:val="22"/>
          <w:szCs w:val="22"/>
        </w:rPr>
        <w:t xml:space="preserve">San Francisco proper — high acquisition prices, complex tenant law, narrow margin tolerance for Fix &amp; Flip. Activated only for selective high-margin opportunities.</w:t>
      </w:r>
    </w:p>
    <w:p>
      <w:pPr>
        <w:pStyle w:val="ListParagraph"/>
        <w:numPr>
          <w:ilvl w:val="0"/>
          <w:numId w:val="3"/>
        </w:numPr>
        <w:spacing w:after="80"/>
      </w:pPr>
      <w:r>
        <w:rPr>
          <w:rFonts w:ascii="Arial" w:cs="Arial" w:eastAsia="Arial" w:hAnsi="Arial"/>
          <w:sz w:val="22"/>
          <w:szCs w:val="22"/>
        </w:rPr>
        <w:t xml:space="preserve">North Bay (Marin, Sonoma, Napa) — strong retail values but low deal flow and specific submarket nuances. Passive monitoring only.</w:t>
      </w:r>
    </w:p>
    <w:p>
      <w:pPr>
        <w:pStyle w:val="ListParagraph"/>
        <w:numPr>
          <w:ilvl w:val="0"/>
          <w:numId w:val="3"/>
        </w:numPr>
        <w:spacing w:after="80"/>
      </w:pPr>
      <w:r>
        <w:rPr>
          <w:rFonts w:ascii="Arial" w:cs="Arial" w:eastAsia="Arial" w:hAnsi="Arial"/>
          <w:sz w:val="22"/>
          <w:szCs w:val="22"/>
        </w:rPr>
        <w:t xml:space="preserve">Central Valley north of Sacramento (Yuba City, Marysville, Chico) — supports BRRRR economics but operationally distant. Activates if JV partner brings local capacity.</w:t>
      </w:r>
    </w:p>
    <w:p>
      <w:pPr>
        <w:pStyle w:val="ListParagraph"/>
        <w:numPr>
          <w:ilvl w:val="0"/>
          <w:numId w:val="3"/>
        </w:numPr>
        <w:spacing w:after="80"/>
      </w:pPr>
      <w:r>
        <w:rPr>
          <w:rFonts w:ascii="Arial" w:cs="Arial" w:eastAsia="Arial" w:hAnsi="Arial"/>
          <w:sz w:val="22"/>
          <w:szCs w:val="22"/>
        </w:rPr>
        <w:t xml:space="preserve">Inland Empire (Riverside, San Bernardino) — supports BRRRR economics but geographically distant from Pegasus's primary operating clusters. Activates only via JV partner or v2 expansion.</w:t>
      </w:r>
    </w:p>
    <w:p>
      <w:pPr>
        <w:pStyle w:val="ListParagraph"/>
        <w:numPr>
          <w:ilvl w:val="0"/>
          <w:numId w:val="3"/>
        </w:numPr>
        <w:spacing w:after="80"/>
      </w:pPr>
      <w:r>
        <w:rPr>
          <w:rFonts w:ascii="Arial" w:cs="Arial" w:eastAsia="Arial" w:hAnsi="Arial"/>
          <w:sz w:val="22"/>
          <w:szCs w:val="22"/>
        </w:rPr>
        <w:t xml:space="preserve">Out-of-state markets (Phoenix, Las Vegas, Texas Triangle) — explicitly deferred to v2+. Geographic concentration in California is the v1 doctrine.</w:t>
      </w:r>
    </w:p>
    <w:p>
      <w:r>
        <w:t xml:space="preserve"/>
      </w:r>
    </w:p>
    <w:p>
      <w:pPr>
        <w:pStyle w:val="Heading2"/>
        <w:spacing w:after="160" w:before="360"/>
      </w:pPr>
      <w:r>
        <w:rPr>
          <w:rFonts w:ascii="Arial" w:cs="Arial" w:eastAsia="Arial" w:hAnsi="Arial"/>
          <w:b/>
          <w:bCs/>
          <w:color w:val="1A2332"/>
          <w:sz w:val="28"/>
          <w:szCs w:val="28"/>
        </w:rPr>
        <w:t xml:space="preserve">3.4 Buy Box by Strategy Model</w:t>
      </w:r>
    </w:p>
    <w:p>
      <w:pPr>
        <w:spacing w:after="140"/>
        <w:jc w:val="both"/>
      </w:pPr>
      <w:r>
        <w:rPr>
          <w:rFonts w:ascii="Arial" w:cs="Arial" w:eastAsia="Arial" w:hAnsi="Arial"/>
          <w:sz w:val="22"/>
          <w:szCs w:val="22"/>
        </w:rPr>
        <w:t xml:space="preserve">The buy box is the codified set of acquisition criteria for each Strategy Model. Buy box thresholds are PLANNING ASSUMPTIONS that calibrate Pegasus underwriting; they are tightened or loosened based on observed deal data after the first 12 months of operations. Buy box thresholds are stored in Pegasus HQ as configurable rules; the rules engine evaluates every Submission against the relevant buy box automatically as part of Triage scoring.</w:t>
      </w:r>
    </w:p>
    <w:p>
      <w:r>
        <w:t xml:space="preserve"/>
      </w:r>
    </w:p>
    <w:p>
      <w:pPr>
        <w:pStyle w:val="Heading3"/>
        <w:spacing w:after="120" w:before="280"/>
      </w:pPr>
      <w:r>
        <w:rPr>
          <w:rFonts w:ascii="Arial" w:cs="Arial" w:eastAsia="Arial" w:hAnsi="Arial"/>
          <w:b/>
          <w:bCs/>
          <w:color w:val="C87A3A"/>
          <w:sz w:val="24"/>
          <w:szCs w:val="24"/>
        </w:rPr>
        <w:t xml:space="preserve">Buy Box — Fix &amp; Flip</w:t>
      </w:r>
    </w:p>
    <w:p>
      <w:pPr>
        <w:spacing w:after="140"/>
        <w:jc w:val="both"/>
      </w:pPr>
      <w:r>
        <w:rPr>
          <w:rFonts w:ascii="Arial" w:cs="Arial" w:eastAsia="Arial" w:hAnsi="Arial"/>
          <w:sz w:val="22"/>
          <w:szCs w:val="22"/>
        </w:rPr>
        <w:t xml:space="preserve">Strategy Model: Fix &amp; Flip. Primary cluster: Bay Area / East Bay / Solano County.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24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Max All-In Basis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75% of After-Repair Value (ARV) including acquisition, rehab, holding costs, selling costs.</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Minimum Net Profit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$75,000 projected per deal.</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Minimum Cash-on-Cash ROI</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18% on cash-in over 6-9 month projected hold.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Hold Period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6-9 months target; 12 months hard cap before strategy review.</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Rehab Scope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Hard pass if rehab &gt; $150,000 without General Contractor scope locked and signed.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Comparable Sales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Minimum 3 active comps within 6 months and 0.5 mile radius for ARV defense.</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Tenant Status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Must be vacant or vacant-at-close with three forms of independent verification.</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Title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Clean within 30 days. Title issues unresolvable in 30 days are an automatic kill.</w:t>
            </w:r>
          </w:p>
        </w:tc>
      </w:tr>
    </w:tbl>
    <w:p>
      <w:r>
        <w:t xml:space="preserve"/>
      </w:r>
    </w:p>
    <w:p>
      <w:pPr>
        <w:pStyle w:val="Heading3"/>
        <w:spacing w:after="120" w:before="280"/>
      </w:pPr>
      <w:r>
        <w:rPr>
          <w:rFonts w:ascii="Arial" w:cs="Arial" w:eastAsia="Arial" w:hAnsi="Arial"/>
          <w:b/>
          <w:bCs/>
          <w:color w:val="C87A3A"/>
          <w:sz w:val="24"/>
          <w:szCs w:val="24"/>
        </w:rPr>
        <w:t xml:space="preserve">Buy Box — BRRRR + ADU</w:t>
      </w:r>
    </w:p>
    <w:p>
      <w:pPr>
        <w:spacing w:after="140"/>
        <w:jc w:val="both"/>
      </w:pPr>
      <w:r>
        <w:rPr>
          <w:rFonts w:ascii="Arial" w:cs="Arial" w:eastAsia="Arial" w:hAnsi="Arial"/>
          <w:sz w:val="22"/>
          <w:szCs w:val="22"/>
        </w:rPr>
        <w:t xml:space="preserve">Strategy Model: BRRRR (Buy, Rehab, Rent, Refinance, Repeat) plus optional Accessory Dwelling Unit construction. Primary cluster: Sacramento / Stockton / Modesto.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24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Post-Rehab DSCR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1.25 at 7.5% refi rate (Debt Service Coverage Ratio includes ADU rent if ADU built).</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Refinance Cash-Out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80% of total cash-in recoverable at refi (BRRRR core math).</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ADU ARV Uplift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18-22% baseline assumption; must validate by submarket comparable rent and value studies before locking.</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ADU Cost Estimate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Locked GC scope for ADU portion before offer; no rough-estimate ADU underwriting.</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Lot Feasibility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Lot size, setbacks, side access, utility availability confirmed by Development pre-screen before offer.</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Permitting Timeline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Submarket-specific assumption; budget 90-180 days for permits in Sacramento, longer in slower jurisdictions.</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Stabilized Occupancy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90 days target from CofO to first qualified tenant signed.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Refi Lender Pre-Qualification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DSCR lender relationship pre-established; pricing and DSCR criteria confirmed before acquisition.</w:t>
            </w:r>
          </w:p>
        </w:tc>
      </w:tr>
    </w:tbl>
    <w:p>
      <w:r>
        <w:t xml:space="preserve"/>
      </w:r>
    </w:p>
    <w:p>
      <w:pPr>
        <w:pStyle w:val="Heading3"/>
        <w:spacing w:after="120" w:before="280"/>
      </w:pPr>
      <w:r>
        <w:rPr>
          <w:rFonts w:ascii="Arial" w:cs="Arial" w:eastAsia="Arial" w:hAnsi="Arial"/>
          <w:b/>
          <w:bCs/>
          <w:color w:val="C87A3A"/>
          <w:sz w:val="24"/>
          <w:szCs w:val="24"/>
        </w:rPr>
        <w:t xml:space="preserve">Buy Box — Wholesale Assignment</w:t>
      </w:r>
    </w:p>
    <w:p>
      <w:pPr>
        <w:spacing w:after="140"/>
        <w:jc w:val="both"/>
      </w:pPr>
      <w:r>
        <w:rPr>
          <w:rFonts w:ascii="Arial" w:cs="Arial" w:eastAsia="Arial" w:hAnsi="Arial"/>
          <w:sz w:val="22"/>
          <w:szCs w:val="22"/>
        </w:rPr>
        <w:t xml:space="preserve">Strategy Model: Wholesale Assignment. Operates across both primary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24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Minimum Assignment Fee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$15,000 target per assignment.</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End-Buyer Spread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Walk if spread to end buyer is &lt; 10% of ARV.</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Contract Authority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Signed PSA with explicit assignment rights and earnest money deposited.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Buyer Bench Depth</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Pre-qualified investor buyers identified before contract signing; assignment match-time target ≤ 14 days.</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Earnest Money Risk</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Earnest money refundable per contingencies, OR Pegasus has high confidence in buyer match.</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Cycle Time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14-30 days from contract execution to assignment close target.</w:t>
            </w:r>
          </w:p>
        </w:tc>
      </w:tr>
    </w:tbl>
    <w:p>
      <w:r>
        <w:t xml:space="preserve"/>
      </w:r>
    </w:p>
    <w:p>
      <w:pPr>
        <w:pStyle w:val="Heading3"/>
        <w:spacing w:after="120" w:before="280"/>
      </w:pPr>
      <w:r>
        <w:rPr>
          <w:rFonts w:ascii="Arial" w:cs="Arial" w:eastAsia="Arial" w:hAnsi="Arial"/>
          <w:b/>
          <w:bCs/>
          <w:color w:val="C87A3A"/>
          <w:sz w:val="24"/>
          <w:szCs w:val="24"/>
        </w:rPr>
        <w:t xml:space="preserve">Buy Box — Wholetail</w:t>
      </w:r>
    </w:p>
    <w:p>
      <w:pPr>
        <w:spacing w:after="140"/>
        <w:jc w:val="both"/>
      </w:pPr>
      <w:r>
        <w:rPr>
          <w:rFonts w:ascii="Arial" w:cs="Arial" w:eastAsia="Arial" w:hAnsi="Arial"/>
          <w:sz w:val="22"/>
          <w:szCs w:val="22"/>
        </w:rPr>
        <w:t xml:space="preserve">Strategy Model: Wholetail (light cosmetic improvement, retail-channel sale). Operates across both primary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24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Improvement Scope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Light cosmetic only. No structural, mechanical, or major-system work. Hard cap $25,000 improvement budget.</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Hold Period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90 days from acquisition to listing.</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Net Profit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$30,000 projected minimum after closing costs and commissions.</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Buyer Channel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Retail MLS listing or off-market retail buyer. Not investor-buyer (that would be Wholesale Assignment).</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Comparable Sales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Strong retail comps; market days-on-market ≤ 30 days for similar properties.</w:t>
            </w:r>
          </w:p>
        </w:tc>
      </w:tr>
    </w:tbl>
    <w:p>
      <w:r>
        <w:t xml:space="preserve"/>
      </w:r>
    </w:p>
    <w:p>
      <w:pPr>
        <w:pStyle w:val="Heading3"/>
        <w:spacing w:after="120" w:before="280"/>
      </w:pPr>
      <w:r>
        <w:rPr>
          <w:rFonts w:ascii="Arial" w:cs="Arial" w:eastAsia="Arial" w:hAnsi="Arial"/>
          <w:b/>
          <w:bCs/>
          <w:color w:val="C87A3A"/>
          <w:sz w:val="24"/>
          <w:szCs w:val="24"/>
        </w:rPr>
        <w:t xml:space="preserve">Buy Box — Rental Hold</w:t>
      </w:r>
    </w:p>
    <w:p>
      <w:pPr>
        <w:spacing w:after="140"/>
        <w:jc w:val="both"/>
      </w:pPr>
      <w:r>
        <w:rPr>
          <w:rFonts w:ascii="Arial" w:cs="Arial" w:eastAsia="Arial" w:hAnsi="Arial"/>
          <w:sz w:val="22"/>
          <w:szCs w:val="22"/>
        </w:rPr>
        <w:t xml:space="preserve">Strategy Model: Rental Hold (long-term hold without forced-value work). Activates selectively when valuation supports the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24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DSCR at Acquisition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1.20 with current market rent and conventional financing.</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Cash-on-Cash Yield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5% Year 1 after all carrying costs and reserves.</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Property Condition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Stabilized — no rehab assumed in underwriting. Light maintenance only.</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Tenant Status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Either vacant-at-close or current tenant in good standing with verified rent history.</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Hold Horizon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5-10 years target. Refinance review at year 3 and year 7.</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Reserve Allocation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6 months PITI reserve allocated at acquisition.</w:t>
            </w:r>
          </w:p>
        </w:tc>
      </w:tr>
    </w:tbl>
    <w:p>
      <w:r>
        <w:t xml:space="preserve"/>
      </w:r>
    </w:p>
    <w:p>
      <w:pPr>
        <w:pStyle w:val="Heading3"/>
        <w:spacing w:after="120" w:before="280"/>
      </w:pPr>
      <w:r>
        <w:rPr>
          <w:rFonts w:ascii="Arial" w:cs="Arial" w:eastAsia="Arial" w:hAnsi="Arial"/>
          <w:b/>
          <w:bCs/>
          <w:color w:val="C87A3A"/>
          <w:sz w:val="24"/>
          <w:szCs w:val="24"/>
        </w:rPr>
        <w:t xml:space="preserve">Buy Box — Development / ADU / Ground-Up</w:t>
      </w:r>
    </w:p>
    <w:p>
      <w:pPr>
        <w:spacing w:after="140"/>
        <w:jc w:val="both"/>
      </w:pPr>
      <w:r>
        <w:rPr>
          <w:rFonts w:ascii="Arial" w:cs="Arial" w:eastAsia="Arial" w:hAnsi="Arial"/>
          <w:sz w:val="22"/>
          <w:szCs w:val="22"/>
        </w:rPr>
        <w:t xml:space="preserve">Strategy Model: Development (ground-up new construction or substantial entitlement-driven rehabilitation). Activates selectively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240"/>
            <w:tcBorders>
              <w:top w:val="single" w:color="BFBFBF" w:sz="4"/>
              <w:left w:val="single" w:color="BFBFBF" w:sz="4"/>
              <w:bottom w:val="single" w:color="BFBFBF" w:sz="4"/>
              <w:right w:val="single" w:color="BFBFBF" w:sz="4"/>
            </w:tcBorders>
            <w:shd w:fill="1A2332"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Developer Profit Margin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22% of total project cost projected.</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Project Timeline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18 months from acquisition to certificate-of-occupancy or stabilization.</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Entitlement Status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Pre-construction entitlement risk = automatic No unless an experienced co-developer carries it.</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Co-Developer Requirement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Required for any project with material entitlement or construction risk; Pegasus does not carry first-time-developer risk solo in v1.</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Capital Reserve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Project contingency budget ≥ 15% of construction budget.</w:t>
            </w:r>
          </w:p>
        </w:tc>
      </w:tr>
      <w:tr>
        <w:tc>
          <w:tcPr>
            <w:tcW w:type="dxa" w:w="3120"/>
            <w:tcBorders>
              <w:top w:val="single" w:color="BFBFBF" w:sz="4"/>
              <w:left w:val="single" w:color="BFBFBF" w:sz="4"/>
              <w:bottom w:val="single" w:color="BFBFBF" w:sz="4"/>
              <w:right w:val="single" w:color="BFBFBF" w:sz="4"/>
            </w:tcBorders>
            <w:shd w:fill="F0EDE6" w:val="clear"/>
            <w:tcMar>
              <w:top w:type="dxa" w:w="100"/>
              <w:left w:type="dxa" w:w="140"/>
              <w:bottom w:type="dxa" w:w="100"/>
              <w:right w:type="dxa" w:w="140"/>
            </w:tcMar>
          </w:tcPr>
          <w:p>
            <w:r>
              <w:rPr>
                <w:rFonts w:ascii="Arial" w:cs="Arial" w:eastAsia="Arial" w:hAnsi="Arial"/>
                <w:b/>
                <w:bCs/>
                <w:color w:val="1A2332"/>
                <w:sz w:val="20"/>
                <w:szCs w:val="20"/>
              </w:rPr>
              <w:t xml:space="preserve">Exit Strategy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Plan A and Plan B exit defined before acquisition; cannot rely solely on retail sale at peak market.</w:t>
            </w:r>
          </w:p>
        </w:tc>
      </w:tr>
    </w:tbl>
    <w:p>
      <w:r>
        <w:t xml:space="preserve"/>
      </w:r>
    </w:p>
    <w:p>
      <w:pPr>
        <w:pStyle w:val="Heading2"/>
        <w:spacing w:after="160" w:before="360"/>
      </w:pPr>
      <w:r>
        <w:rPr>
          <w:rFonts w:ascii="Arial" w:cs="Arial" w:eastAsia="Arial" w:hAnsi="Arial"/>
          <w:b/>
          <w:bCs/>
          <w:color w:val="1A2332"/>
          <w:sz w:val="28"/>
          <w:szCs w:val="28"/>
        </w:rPr>
        <w:t xml:space="preserve">3.5 Universal Kill Criteria</w:t>
      </w:r>
    </w:p>
    <w:p>
      <w:pPr>
        <w:spacing w:after="140"/>
        <w:jc w:val="both"/>
      </w:pPr>
      <w:r>
        <w:rPr>
          <w:rFonts w:ascii="Arial" w:cs="Arial" w:eastAsia="Arial" w:hAnsi="Arial"/>
          <w:sz w:val="22"/>
          <w:szCs w:val="22"/>
        </w:rPr>
        <w:t xml:space="preserve">These criteria apply to every Strategy Model and override any positive buy-box scoring. A Seed that triggers any universal kill criterion does not advance to a Pegasus Acquisition lane regardless of how attractive it otherwise looks. The Strategist may reroute the Seed to Wholesale, JV, KW, Referral, Incubation, or Archive based on the specific circumstance.</w:t>
      </w:r>
    </w:p>
    <w:p>
      <w:r>
        <w:t xml:space="preserve"/>
      </w:r>
    </w:p>
    <w:p>
      <w:pPr>
        <w:pStyle w:val="ListParagraph"/>
        <w:numPr>
          <w:ilvl w:val="0"/>
          <w:numId w:val="3"/>
        </w:numPr>
        <w:spacing w:after="80"/>
      </w:pPr>
      <w:r>
        <w:rPr>
          <w:rFonts w:ascii="Arial" w:cs="Arial" w:eastAsia="Arial" w:hAnsi="Arial"/>
          <w:sz w:val="22"/>
          <w:szCs w:val="22"/>
        </w:rPr>
        <w:t xml:space="preserve">Title issues unresolvable within 30 days of contract.</w:t>
      </w:r>
    </w:p>
    <w:p>
      <w:pPr>
        <w:pStyle w:val="ListParagraph"/>
        <w:numPr>
          <w:ilvl w:val="0"/>
          <w:numId w:val="3"/>
        </w:numPr>
        <w:spacing w:after="80"/>
      </w:pPr>
      <w:r>
        <w:rPr>
          <w:rFonts w:ascii="Arial" w:cs="Arial" w:eastAsia="Arial" w:hAnsi="Arial"/>
          <w:sz w:val="22"/>
          <w:szCs w:val="22"/>
        </w:rPr>
        <w:t xml:space="preserve">Environmental hazards requiring Phase II environmental review (lead, asbestos in friable form, soil contamination, undisclosed underground storage tanks).</w:t>
      </w:r>
    </w:p>
    <w:p>
      <w:pPr>
        <w:pStyle w:val="ListParagraph"/>
        <w:numPr>
          <w:ilvl w:val="0"/>
          <w:numId w:val="3"/>
        </w:numPr>
        <w:spacing w:after="80"/>
      </w:pPr>
      <w:r>
        <w:rPr>
          <w:rFonts w:ascii="Arial" w:cs="Arial" w:eastAsia="Arial" w:hAnsi="Arial"/>
          <w:sz w:val="22"/>
          <w:szCs w:val="22"/>
        </w:rPr>
        <w:t xml:space="preserve">Seller motivation score &lt; 6 of 10 in Peggy or Strategist triage.</w:t>
      </w:r>
    </w:p>
    <w:p>
      <w:pPr>
        <w:pStyle w:val="ListParagraph"/>
        <w:numPr>
          <w:ilvl w:val="0"/>
          <w:numId w:val="3"/>
        </w:numPr>
        <w:spacing w:after="80"/>
      </w:pPr>
      <w:r>
        <w:rPr>
          <w:rFonts w:ascii="Arial" w:cs="Arial" w:eastAsia="Arial" w:hAnsi="Arial"/>
          <w:sz w:val="22"/>
          <w:szCs w:val="22"/>
        </w:rPr>
        <w:t xml:space="preserve">Any single position requiring &gt; 40% of available Pegasus capital (concentration risk).</w:t>
      </w:r>
    </w:p>
    <w:p>
      <w:pPr>
        <w:pStyle w:val="ListParagraph"/>
        <w:numPr>
          <w:ilvl w:val="0"/>
          <w:numId w:val="3"/>
        </w:numPr>
        <w:spacing w:after="80"/>
      </w:pPr>
      <w:r>
        <w:rPr>
          <w:rFonts w:ascii="Arial" w:cs="Arial" w:eastAsia="Arial" w:hAnsi="Arial"/>
          <w:sz w:val="22"/>
          <w:szCs w:val="22"/>
        </w:rPr>
        <w:t xml:space="preserve">No clear seller authority — multiple-heir disputes, contested estates, or unresolved divorce judgments without documented authority.</w:t>
      </w:r>
    </w:p>
    <w:p>
      <w:pPr>
        <w:pStyle w:val="ListParagraph"/>
        <w:numPr>
          <w:ilvl w:val="0"/>
          <w:numId w:val="3"/>
        </w:numPr>
        <w:spacing w:after="80"/>
      </w:pPr>
      <w:r>
        <w:rPr>
          <w:rFonts w:ascii="Arial" w:cs="Arial" w:eastAsia="Arial" w:hAnsi="Arial"/>
          <w:sz w:val="22"/>
          <w:szCs w:val="22"/>
        </w:rPr>
        <w:t xml:space="preserve">No physical access for inspection within 14 days of contract.</w:t>
      </w:r>
    </w:p>
    <w:p>
      <w:pPr>
        <w:pStyle w:val="ListParagraph"/>
        <w:numPr>
          <w:ilvl w:val="0"/>
          <w:numId w:val="3"/>
        </w:numPr>
        <w:spacing w:after="80"/>
      </w:pPr>
      <w:r>
        <w:rPr>
          <w:rFonts w:ascii="Arial" w:cs="Arial" w:eastAsia="Arial" w:hAnsi="Arial"/>
          <w:sz w:val="22"/>
          <w:szCs w:val="22"/>
        </w:rPr>
        <w:t xml:space="preserve">No Plan B identified — and no Single-Path Deal exception approved by Apollo with written attestation.</w:t>
      </w:r>
    </w:p>
    <w:p>
      <w:pPr>
        <w:pStyle w:val="ListParagraph"/>
        <w:numPr>
          <w:ilvl w:val="0"/>
          <w:numId w:val="3"/>
        </w:numPr>
        <w:spacing w:after="80"/>
      </w:pPr>
      <w:r>
        <w:rPr>
          <w:rFonts w:ascii="Arial" w:cs="Arial" w:eastAsia="Arial" w:hAnsi="Arial"/>
          <w:sz w:val="22"/>
          <w:szCs w:val="22"/>
        </w:rPr>
        <w:t xml:space="preserve">No lawful Pegasus participation route — situations where Pegasus's involvement would create regulatory exposure (unlicensed brokerage activity, unlicensed contractor activity, capital solicitation issues, fair housing concerns).</w:t>
      </w:r>
    </w:p>
    <w:p>
      <w:pPr>
        <w:pStyle w:val="ListParagraph"/>
        <w:numPr>
          <w:ilvl w:val="0"/>
          <w:numId w:val="3"/>
        </w:numPr>
        <w:spacing w:after="80"/>
      </w:pPr>
      <w:r>
        <w:rPr>
          <w:rFonts w:ascii="Arial" w:cs="Arial" w:eastAsia="Arial" w:hAnsi="Arial"/>
          <w:sz w:val="22"/>
          <w:szCs w:val="22"/>
        </w:rPr>
        <w:t xml:space="preserve">No role-mode clarity — Pegasus cannot operate where the role-mode posture (investor / agent / consultant / contractor / capital partner) is unclear or contested.</w:t>
      </w:r>
    </w:p>
    <w:p>
      <w:pPr>
        <w:pStyle w:val="ListParagraph"/>
        <w:numPr>
          <w:ilvl w:val="0"/>
          <w:numId w:val="3"/>
        </w:numPr>
        <w:spacing w:after="80"/>
      </w:pPr>
      <w:r>
        <w:rPr>
          <w:rFonts w:ascii="Arial" w:cs="Arial" w:eastAsia="Arial" w:hAnsi="Arial"/>
          <w:sz w:val="22"/>
          <w:szCs w:val="22"/>
        </w:rPr>
        <w:t xml:space="preserve">No financing or capital path — when no honest combination of debt, equity, or seller financing closes the funding gap.</w:t>
      </w:r>
    </w:p>
    <w:p>
      <w:pPr>
        <w:pStyle w:val="ListParagraph"/>
        <w:numPr>
          <w:ilvl w:val="0"/>
          <w:numId w:val="3"/>
        </w:numPr>
        <w:spacing w:after="80"/>
      </w:pPr>
      <w:r>
        <w:rPr>
          <w:rFonts w:ascii="Arial" w:cs="Arial" w:eastAsia="Arial" w:hAnsi="Arial"/>
          <w:sz w:val="22"/>
          <w:szCs w:val="22"/>
        </w:rPr>
        <w:t xml:space="preserve">No identified exit — when neither retail sale, refinance, lease-up, JV close, nor wholesale assignment produces a documented exit path.</w:t>
      </w:r>
    </w:p>
    <w:p>
      <w:r>
        <w:t xml:space="preserve"/>
      </w:r>
    </w:p>
    <w:p>
      <w:pPr>
        <w:pStyle w:val="Heading2"/>
        <w:spacing w:after="160" w:before="360"/>
      </w:pPr>
      <w:r>
        <w:rPr>
          <w:rFonts w:ascii="Arial" w:cs="Arial" w:eastAsia="Arial" w:hAnsi="Arial"/>
          <w:b/>
          <w:bCs/>
          <w:color w:val="1A2332"/>
          <w:sz w:val="28"/>
          <w:szCs w:val="28"/>
        </w:rPr>
        <w:t xml:space="preserve">3.6 Strategy-Specific Kill Criteria</w:t>
      </w:r>
    </w:p>
    <w:p>
      <w:pPr>
        <w:pStyle w:val="Heading3"/>
        <w:spacing w:after="120" w:before="280"/>
      </w:pPr>
      <w:r>
        <w:rPr>
          <w:rFonts w:ascii="Arial" w:cs="Arial" w:eastAsia="Arial" w:hAnsi="Arial"/>
          <w:b/>
          <w:bCs/>
          <w:color w:val="C87A3A"/>
          <w:sz w:val="24"/>
          <w:szCs w:val="24"/>
        </w:rPr>
        <w:t xml:space="preserve">Fix &amp; Flip Kill Criteria</w:t>
      </w:r>
    </w:p>
    <w:p>
      <w:pPr>
        <w:pStyle w:val="ListParagraph"/>
        <w:numPr>
          <w:ilvl w:val="0"/>
          <w:numId w:val="3"/>
        </w:numPr>
        <w:spacing w:after="80"/>
      </w:pPr>
      <w:r>
        <w:rPr>
          <w:rFonts w:ascii="Arial" w:cs="Arial" w:eastAsia="Arial" w:hAnsi="Arial"/>
          <w:sz w:val="22"/>
          <w:szCs w:val="22"/>
        </w:rPr>
        <w:t xml:space="preserve">Rehab budget &gt; $150,000 without locked General Contractor scope.</w:t>
      </w:r>
    </w:p>
    <w:p>
      <w:pPr>
        <w:pStyle w:val="ListParagraph"/>
        <w:numPr>
          <w:ilvl w:val="0"/>
          <w:numId w:val="3"/>
        </w:numPr>
        <w:spacing w:after="80"/>
      </w:pPr>
      <w:r>
        <w:rPr>
          <w:rFonts w:ascii="Arial" w:cs="Arial" w:eastAsia="Arial" w:hAnsi="Arial"/>
          <w:sz w:val="22"/>
          <w:szCs w:val="22"/>
        </w:rPr>
        <w:t xml:space="preserve">Comparable-sale defense weaker than 3 active comps within 6 months and 0.5 mile.</w:t>
      </w:r>
    </w:p>
    <w:p>
      <w:pPr>
        <w:pStyle w:val="ListParagraph"/>
        <w:numPr>
          <w:ilvl w:val="0"/>
          <w:numId w:val="3"/>
        </w:numPr>
        <w:spacing w:after="80"/>
      </w:pPr>
      <w:r>
        <w:rPr>
          <w:rFonts w:ascii="Arial" w:cs="Arial" w:eastAsia="Arial" w:hAnsi="Arial"/>
          <w:sz w:val="22"/>
          <w:szCs w:val="22"/>
        </w:rPr>
        <w:t xml:space="preserve">Submarket days-on-market for similar finished product &gt; 60 days at projected list price.</w:t>
      </w:r>
    </w:p>
    <w:p>
      <w:pPr>
        <w:pStyle w:val="ListParagraph"/>
        <w:numPr>
          <w:ilvl w:val="0"/>
          <w:numId w:val="3"/>
        </w:numPr>
        <w:spacing w:after="80"/>
      </w:pPr>
      <w:r>
        <w:rPr>
          <w:rFonts w:ascii="Arial" w:cs="Arial" w:eastAsia="Arial" w:hAnsi="Arial"/>
          <w:sz w:val="22"/>
          <w:szCs w:val="22"/>
        </w:rPr>
        <w:t xml:space="preserve">Vacant-at-close cannot be verified via three independent methods.</w:t>
      </w:r>
    </w:p>
    <w:p>
      <w:r>
        <w:t xml:space="preserve"/>
      </w:r>
    </w:p>
    <w:p>
      <w:pPr>
        <w:pStyle w:val="Heading3"/>
        <w:spacing w:after="120" w:before="280"/>
      </w:pPr>
      <w:r>
        <w:rPr>
          <w:rFonts w:ascii="Arial" w:cs="Arial" w:eastAsia="Arial" w:hAnsi="Arial"/>
          <w:b/>
          <w:bCs/>
          <w:color w:val="C87A3A"/>
          <w:sz w:val="24"/>
          <w:szCs w:val="24"/>
        </w:rPr>
        <w:t xml:space="preserve">BRRRR Kill Criteria</w:t>
      </w:r>
    </w:p>
    <w:p>
      <w:pPr>
        <w:pStyle w:val="ListParagraph"/>
        <w:numPr>
          <w:ilvl w:val="0"/>
          <w:numId w:val="3"/>
        </w:numPr>
        <w:spacing w:after="80"/>
      </w:pPr>
      <w:r>
        <w:rPr>
          <w:rFonts w:ascii="Arial" w:cs="Arial" w:eastAsia="Arial" w:hAnsi="Arial"/>
          <w:sz w:val="22"/>
          <w:szCs w:val="22"/>
        </w:rPr>
        <w:t xml:space="preserve">Refi math fails at 7.5% rate stress-test (DSCR &lt; 1.25 at refi).</w:t>
      </w:r>
    </w:p>
    <w:p>
      <w:pPr>
        <w:pStyle w:val="ListParagraph"/>
        <w:numPr>
          <w:ilvl w:val="0"/>
          <w:numId w:val="3"/>
        </w:numPr>
        <w:spacing w:after="80"/>
      </w:pPr>
      <w:r>
        <w:rPr>
          <w:rFonts w:ascii="Arial" w:cs="Arial" w:eastAsia="Arial" w:hAnsi="Arial"/>
          <w:sz w:val="22"/>
          <w:szCs w:val="22"/>
        </w:rPr>
        <w:t xml:space="preserve">ADU permitting timeline or fees materially exceed submarket assumptions and refi math.</w:t>
      </w:r>
    </w:p>
    <w:p>
      <w:pPr>
        <w:pStyle w:val="ListParagraph"/>
        <w:numPr>
          <w:ilvl w:val="0"/>
          <w:numId w:val="3"/>
        </w:numPr>
        <w:spacing w:after="80"/>
      </w:pPr>
      <w:r>
        <w:rPr>
          <w:rFonts w:ascii="Arial" w:cs="Arial" w:eastAsia="Arial" w:hAnsi="Arial"/>
          <w:sz w:val="22"/>
          <w:szCs w:val="22"/>
        </w:rPr>
        <w:t xml:space="preserve">Cash-out at refi recovers &lt; 70% of cash-in (BRRRR fundamental fails).</w:t>
      </w:r>
    </w:p>
    <w:p>
      <w:pPr>
        <w:pStyle w:val="ListParagraph"/>
        <w:numPr>
          <w:ilvl w:val="0"/>
          <w:numId w:val="3"/>
        </w:numPr>
        <w:spacing w:after="80"/>
      </w:pPr>
      <w:r>
        <w:rPr>
          <w:rFonts w:ascii="Arial" w:cs="Arial" w:eastAsia="Arial" w:hAnsi="Arial"/>
          <w:sz w:val="22"/>
          <w:szCs w:val="22"/>
        </w:rPr>
        <w:t xml:space="preserve">Submarket rent comparables thin or trending negatively.</w:t>
      </w:r>
    </w:p>
    <w:p>
      <w:r>
        <w:t xml:space="preserve"/>
      </w:r>
    </w:p>
    <w:p>
      <w:pPr>
        <w:pStyle w:val="Heading3"/>
        <w:spacing w:after="120" w:before="280"/>
      </w:pPr>
      <w:r>
        <w:rPr>
          <w:rFonts w:ascii="Arial" w:cs="Arial" w:eastAsia="Arial" w:hAnsi="Arial"/>
          <w:b/>
          <w:bCs/>
          <w:color w:val="C87A3A"/>
          <w:sz w:val="24"/>
          <w:szCs w:val="24"/>
        </w:rPr>
        <w:t xml:space="preserve">Wholesale Assignment Kill Criteria</w:t>
      </w:r>
    </w:p>
    <w:p>
      <w:pPr>
        <w:pStyle w:val="ListParagraph"/>
        <w:numPr>
          <w:ilvl w:val="0"/>
          <w:numId w:val="3"/>
        </w:numPr>
        <w:spacing w:after="80"/>
      </w:pPr>
      <w:r>
        <w:rPr>
          <w:rFonts w:ascii="Arial" w:cs="Arial" w:eastAsia="Arial" w:hAnsi="Arial"/>
          <w:sz w:val="22"/>
          <w:szCs w:val="22"/>
        </w:rPr>
        <w:t xml:space="preserve">Earnest money exceeds $5,000 without hard contingencies.</w:t>
      </w:r>
    </w:p>
    <w:p>
      <w:pPr>
        <w:pStyle w:val="ListParagraph"/>
        <w:numPr>
          <w:ilvl w:val="0"/>
          <w:numId w:val="3"/>
        </w:numPr>
        <w:spacing w:after="80"/>
      </w:pPr>
      <w:r>
        <w:rPr>
          <w:rFonts w:ascii="Arial" w:cs="Arial" w:eastAsia="Arial" w:hAnsi="Arial"/>
          <w:sz w:val="22"/>
          <w:szCs w:val="22"/>
        </w:rPr>
        <w:t xml:space="preserve">Buyer bench unable to identify likely match within 14 days.</w:t>
      </w:r>
    </w:p>
    <w:p>
      <w:pPr>
        <w:pStyle w:val="ListParagraph"/>
        <w:numPr>
          <w:ilvl w:val="0"/>
          <w:numId w:val="3"/>
        </w:numPr>
        <w:spacing w:after="80"/>
      </w:pPr>
      <w:r>
        <w:rPr>
          <w:rFonts w:ascii="Arial" w:cs="Arial" w:eastAsia="Arial" w:hAnsi="Arial"/>
          <w:sz w:val="22"/>
          <w:szCs w:val="22"/>
        </w:rPr>
        <w:t xml:space="preserve">Contract is unassignable per state law or document language.</w:t>
      </w:r>
    </w:p>
    <w:p>
      <w:pPr>
        <w:pStyle w:val="ListParagraph"/>
        <w:numPr>
          <w:ilvl w:val="0"/>
          <w:numId w:val="3"/>
        </w:numPr>
        <w:spacing w:after="80"/>
      </w:pPr>
      <w:r>
        <w:rPr>
          <w:rFonts w:ascii="Arial" w:cs="Arial" w:eastAsia="Arial" w:hAnsi="Arial"/>
          <w:sz w:val="22"/>
          <w:szCs w:val="22"/>
        </w:rPr>
        <w:t xml:space="preserve">Spread to end buyer &lt; 10% of ARV.</w:t>
      </w:r>
    </w:p>
    <w:p>
      <w:r>
        <w:t xml:space="preserve"/>
      </w:r>
    </w:p>
    <w:p>
      <w:pPr>
        <w:pStyle w:val="Heading3"/>
        <w:spacing w:after="120" w:before="280"/>
      </w:pPr>
      <w:r>
        <w:rPr>
          <w:rFonts w:ascii="Arial" w:cs="Arial" w:eastAsia="Arial" w:hAnsi="Arial"/>
          <w:b/>
          <w:bCs/>
          <w:color w:val="C87A3A"/>
          <w:sz w:val="24"/>
          <w:szCs w:val="24"/>
        </w:rPr>
        <w:t xml:space="preserve">Subject-To and Wraparound Kill Criteria (Structure-Specific)</w:t>
      </w:r>
    </w:p>
    <w:p>
      <w:pPr>
        <w:pStyle w:val="ListParagraph"/>
        <w:numPr>
          <w:ilvl w:val="0"/>
          <w:numId w:val="3"/>
        </w:numPr>
        <w:spacing w:after="80"/>
      </w:pPr>
      <w:r>
        <w:rPr>
          <w:rFonts w:ascii="Arial" w:cs="Arial" w:eastAsia="Arial" w:hAnsi="Arial"/>
          <w:sz w:val="22"/>
          <w:szCs w:val="22"/>
        </w:rPr>
        <w:t xml:space="preserve">Underlying loan is FHA, VA, or has explicit due-on-sale enforcement history.</w:t>
      </w:r>
    </w:p>
    <w:p>
      <w:pPr>
        <w:pStyle w:val="ListParagraph"/>
        <w:numPr>
          <w:ilvl w:val="0"/>
          <w:numId w:val="3"/>
        </w:numPr>
        <w:spacing w:after="80"/>
      </w:pPr>
      <w:r>
        <w:rPr>
          <w:rFonts w:ascii="Arial" w:cs="Arial" w:eastAsia="Arial" w:hAnsi="Arial"/>
          <w:sz w:val="22"/>
          <w:szCs w:val="22"/>
        </w:rPr>
        <w:t xml:space="preserve">Seller cannot demonstrate ability to handle credit-report exposure if loan stays in their name.</w:t>
      </w:r>
    </w:p>
    <w:p>
      <w:pPr>
        <w:pStyle w:val="ListParagraph"/>
        <w:numPr>
          <w:ilvl w:val="0"/>
          <w:numId w:val="3"/>
        </w:numPr>
        <w:spacing w:after="80"/>
      </w:pPr>
      <w:r>
        <w:rPr>
          <w:rFonts w:ascii="Arial" w:cs="Arial" w:eastAsia="Arial" w:hAnsi="Arial"/>
          <w:sz w:val="22"/>
          <w:szCs w:val="22"/>
        </w:rPr>
        <w:t xml:space="preserve">No exit-refi pre-qualified as backup if due-on-sale is triggered.</w:t>
      </w:r>
    </w:p>
    <w:p>
      <w:pPr>
        <w:pStyle w:val="ListParagraph"/>
        <w:numPr>
          <w:ilvl w:val="0"/>
          <w:numId w:val="3"/>
        </w:numPr>
        <w:spacing w:after="80"/>
      </w:pPr>
      <w:r>
        <w:rPr>
          <w:rFonts w:ascii="Arial" w:cs="Arial" w:eastAsia="Arial" w:hAnsi="Arial"/>
          <w:sz w:val="22"/>
          <w:szCs w:val="22"/>
        </w:rPr>
        <w:t xml:space="preserve">Pegasus reserves cannot cover 3 months of underlying mortgage payment in emergency.</w:t>
      </w:r>
    </w:p>
    <w:p>
      <w:r>
        <w:t xml:space="preserve"/>
      </w:r>
    </w:p>
    <w:p>
      <w:pPr>
        <w:pStyle w:val="Heading2"/>
        <w:spacing w:after="160" w:before="360"/>
      </w:pPr>
      <w:r>
        <w:rPr>
          <w:rFonts w:ascii="Arial" w:cs="Arial" w:eastAsia="Arial" w:hAnsi="Arial"/>
          <w:b/>
          <w:bCs/>
          <w:color w:val="1A2332"/>
          <w:sz w:val="28"/>
          <w:szCs w:val="28"/>
        </w:rPr>
        <w:t xml:space="preserve">3.7 Market Expansion Logic</w:t>
      </w:r>
    </w:p>
    <w:p>
      <w:pPr>
        <w:spacing w:after="140"/>
        <w:jc w:val="both"/>
      </w:pPr>
      <w:r>
        <w:rPr>
          <w:rFonts w:ascii="Arial" w:cs="Arial" w:eastAsia="Arial" w:hAnsi="Arial"/>
          <w:sz w:val="22"/>
          <w:szCs w:val="22"/>
        </w:rPr>
        <w:t xml:space="preserve">Geographic concentration in California is the v1 doctrine. Expansion to new markets follows a documented logic, not opportunistic chasing of perceived deals.</w:t>
      </w:r>
    </w:p>
    <w:p>
      <w:pPr>
        <w:pStyle w:val="Heading4"/>
        <w:spacing w:after="100" w:before="220"/>
      </w:pPr>
      <w:r>
        <w:rPr>
          <w:rFonts w:ascii="Arial" w:cs="Arial" w:eastAsia="Arial" w:hAnsi="Arial"/>
          <w:b/>
          <w:bCs/>
          <w:color w:val="243044"/>
          <w:sz w:val="22"/>
          <w:szCs w:val="22"/>
        </w:rPr>
        <w:t xml:space="preserve">Expansion Trigger Conditions</w:t>
      </w:r>
    </w:p>
    <w:p>
      <w:pPr>
        <w:spacing w:after="140"/>
        <w:jc w:val="both"/>
      </w:pPr>
      <w:r>
        <w:rPr>
          <w:rFonts w:ascii="Arial" w:cs="Arial" w:eastAsia="Arial" w:hAnsi="Arial"/>
          <w:sz w:val="22"/>
          <w:szCs w:val="22"/>
        </w:rPr>
        <w:t xml:space="preserve">A new market is considered for activation when at least three of the following are true:</w:t>
      </w:r>
    </w:p>
    <w:p>
      <w:pPr>
        <w:pStyle w:val="ListParagraph"/>
        <w:numPr>
          <w:ilvl w:val="0"/>
          <w:numId w:val="2"/>
        </w:numPr>
        <w:spacing w:after="100"/>
      </w:pPr>
      <w:r>
        <w:rPr>
          <w:rFonts w:ascii="Arial" w:cs="Arial" w:eastAsia="Arial" w:hAnsi="Arial"/>
          <w:sz w:val="22"/>
          <w:szCs w:val="22"/>
        </w:rPr>
        <w:t xml:space="preserve">Pegasus has closed at least 8 deals in the existing primary clusters with documented post-mortem learnings.</w:t>
      </w:r>
    </w:p>
    <w:p>
      <w:pPr>
        <w:pStyle w:val="ListParagraph"/>
        <w:numPr>
          <w:ilvl w:val="0"/>
          <w:numId w:val="2"/>
        </w:numPr>
        <w:spacing w:after="100"/>
      </w:pPr>
      <w:r>
        <w:rPr>
          <w:rFonts w:ascii="Arial" w:cs="Arial" w:eastAsia="Arial" w:hAnsi="Arial"/>
          <w:sz w:val="22"/>
          <w:szCs w:val="22"/>
        </w:rPr>
        <w:t xml:space="preserve">A JV partner with demonstrated local execution capability has brought 2+ qualified opportunities from the proposed new market.</w:t>
      </w:r>
    </w:p>
    <w:p>
      <w:pPr>
        <w:pStyle w:val="ListParagraph"/>
        <w:numPr>
          <w:ilvl w:val="0"/>
          <w:numId w:val="2"/>
        </w:numPr>
        <w:spacing w:after="100"/>
      </w:pPr>
      <w:r>
        <w:rPr>
          <w:rFonts w:ascii="Arial" w:cs="Arial" w:eastAsia="Arial" w:hAnsi="Arial"/>
          <w:sz w:val="22"/>
          <w:szCs w:val="22"/>
        </w:rPr>
        <w:t xml:space="preserve">Pegasus has identified a dedicated Strategist or Acquisitions Specialist with submarket expertise willing to focus on the new market.</w:t>
      </w:r>
    </w:p>
    <w:p>
      <w:pPr>
        <w:pStyle w:val="ListParagraph"/>
        <w:numPr>
          <w:ilvl w:val="0"/>
          <w:numId w:val="2"/>
        </w:numPr>
        <w:spacing w:after="100"/>
      </w:pPr>
      <w:r>
        <w:rPr>
          <w:rFonts w:ascii="Arial" w:cs="Arial" w:eastAsia="Arial" w:hAnsi="Arial"/>
          <w:sz w:val="22"/>
          <w:szCs w:val="22"/>
        </w:rPr>
        <w:t xml:space="preserve">Reserve health permits 90-day operational runway for the new market without compromising existing clusters.</w:t>
      </w:r>
    </w:p>
    <w:p>
      <w:pPr>
        <w:pStyle w:val="ListParagraph"/>
        <w:numPr>
          <w:ilvl w:val="0"/>
          <w:numId w:val="2"/>
        </w:numPr>
        <w:spacing w:after="100"/>
      </w:pPr>
      <w:r>
        <w:rPr>
          <w:rFonts w:ascii="Arial" w:cs="Arial" w:eastAsia="Arial" w:hAnsi="Arial"/>
          <w:sz w:val="22"/>
          <w:szCs w:val="22"/>
        </w:rPr>
        <w:t xml:space="preserve">Legal review (entity registration, licensing, tax) for the new market jurisdiction completed.</w:t>
      </w:r>
    </w:p>
    <w:p>
      <w:r>
        <w:t xml:space="preserve"/>
      </w:r>
    </w:p>
    <w:p>
      <w:pPr>
        <w:pStyle w:val="Heading4"/>
        <w:spacing w:after="100" w:before="220"/>
      </w:pPr>
      <w:r>
        <w:rPr>
          <w:rFonts w:ascii="Arial" w:cs="Arial" w:eastAsia="Arial" w:hAnsi="Arial"/>
          <w:b/>
          <w:bCs/>
          <w:color w:val="243044"/>
          <w:sz w:val="22"/>
          <w:szCs w:val="22"/>
        </w:rPr>
        <w:t xml:space="preserve">Expansion Sequence</w:t>
      </w:r>
    </w:p>
    <w:p>
      <w:pPr>
        <w:spacing w:after="140"/>
        <w:jc w:val="both"/>
      </w:pPr>
      <w:r>
        <w:rPr>
          <w:rFonts w:ascii="Arial" w:cs="Arial" w:eastAsia="Arial" w:hAnsi="Arial"/>
          <w:sz w:val="22"/>
          <w:szCs w:val="22"/>
        </w:rPr>
        <w:t xml:space="preserve">New-market activation follows a defined sequence: passive monitoring (Seeds accepted but not actively sourced) → opportunistic deals via JV partner only → first wholly-Pegasus acquisition with extra-conservative buy box → quarterly review → full activation as a primary or secondary cluster.</w:t>
      </w:r>
    </w:p>
    <w:p>
      <w:pPr>
        <w:spacing w:after="140"/>
        <w:jc w:val="both"/>
      </w:pPr>
      <w:r>
        <w:rPr>
          <w:rFonts w:ascii="Arial" w:cs="Arial" w:eastAsia="Arial" w:hAnsi="Arial"/>
          <w:sz w:val="22"/>
          <w:szCs w:val="22"/>
        </w:rPr>
        <w:t xml:space="preserve">Geographic discipline is one of the highest-leverage operational decisions Pegasus can make. Concentration compounds; diffusion dilutes. The buy box and kill criteria above exist to protect this concentration from the most common operator failure mode — chasing deals into markets the operator does not understand.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7A3A" w:sz="24"/>
              <w:bottom w:val="none" w:color="FFFFFF" w:sz="0"/>
              <w:right w:val="none" w:color="FFFFFF" w:sz="0"/>
            </w:tcBorders>
            <w:shd w:fill="F0EDE6" w:val="clear"/>
            <w:tcMar>
              <w:top w:type="dxa" w:w="220"/>
              <w:left w:type="dxa" w:w="280"/>
              <w:bottom w:type="dxa" w:w="220"/>
              <w:right w:type="dxa" w:w="220"/>
            </w:tcMar>
          </w:tcPr>
          <w:p>
            <w:r>
              <w:rPr>
                <w:rFonts w:ascii="Arial" w:cs="Arial" w:eastAsia="Arial" w:hAnsi="Arial"/>
                <w:b/>
                <w:bCs/>
                <w:i/>
                <w:iCs/>
                <w:color w:val="1A2332"/>
                <w:sz w:val="24"/>
                <w:szCs w:val="24"/>
              </w:rPr>
              <w:t xml:space="preserve">The buy box is not a wish list. It is a refusal list — the deals Pegasus will not chase, written down so that everyone on the team refuses them the same way.</w:t>
            </w:r>
          </w:p>
        </w:tc>
      </w:tr>
    </w:tbl>
    <w:p>
      <w:r>
        <w:t xml:space="preserve"/>
      </w:r>
    </w:p>
    <w:p>
      <w:pPr>
        <w:pStyle w:val="Heading2"/>
        <w:spacing w:after="160" w:before="360"/>
      </w:pPr>
      <w:r>
        <w:rPr>
          <w:rFonts w:ascii="Arial" w:cs="Arial" w:eastAsia="Arial" w:hAnsi="Arial"/>
          <w:b/>
          <w:bCs/>
          <w:color w:val="1A2332"/>
          <w:sz w:val="28"/>
          <w:szCs w:val="28"/>
        </w:rPr>
        <w:t xml:space="preserve">3.8 Buy Box Review and Update Cadence</w:t>
      </w:r>
    </w:p>
    <w:p>
      <w:pPr>
        <w:spacing w:after="140"/>
        <w:jc w:val="both"/>
      </w:pPr>
      <w:r>
        <w:rPr>
          <w:rFonts w:ascii="Arial" w:cs="Arial" w:eastAsia="Arial" w:hAnsi="Arial"/>
          <w:sz w:val="22"/>
          <w:szCs w:val="22"/>
        </w:rPr>
        <w:t xml:space="preserve">Buy box thresholds are PLANNING ASSUMPTIONS at v1.0. They will be reviewed and recalibrated quarterly based on observed deal data, post-mortem variance, market conditions, and capital availability. Any change to a buy box threshold is a versioned update to this Operating Manual and the corresponding Locks Ledger entry; no informal adjustments are permitted in HQ rules.</w:t>
      </w:r>
    </w:p>
    <w:p>
      <w:pPr>
        <w:spacing w:after="140"/>
        <w:jc w:val="both"/>
      </w:pPr>
      <w:r>
        <w:rPr>
          <w:rFonts w:ascii="Arial" w:cs="Arial" w:eastAsia="Arial" w:hAnsi="Arial"/>
          <w:sz w:val="22"/>
          <w:szCs w:val="22"/>
        </w:rPr>
        <w:t xml:space="preserve">Quarterly buy box review is a mandatory CEO-level meeting agenda item. The review covers: post-mortem variance versus underwriting (have we been too conservative or too aggressive on margin assumptions?), observed comp accuracy by submarket, observed rehab cost accuracy by category, observed permit timeline accuracy by jurisdiction, refi-rate environment changes, capital availability, and competitive deal flow.</w:t>
      </w:r>
    </w:p>
    <w:p>
      <w:pPr>
        <w:spacing w:after="140"/>
        <w:jc w:val="both"/>
      </w:pPr>
      <w:r>
        <w:rPr>
          <w:rFonts w:ascii="Arial" w:cs="Arial" w:eastAsia="Arial" w:hAnsi="Arial"/>
          <w:sz w:val="22"/>
          <w:szCs w:val="22"/>
        </w:rPr>
        <w:t xml:space="preserve">Buy box discipline is the operational expression of the strategy-first doctrine. A company that loosens its buy box under deal pressure stops being strategy-first and becomes deal-desperate. The buy box review is what keeps Pegasus honest with itself.</w:t>
      </w:r>
    </w:p>
    <w:p>
      <w:r>
        <w:t xml:space="preserve"/>
      </w:r>
    </w:p>
    <w:p>
      <w:r>
        <w:t xml:space="preserve"/>
      </w:r>
    </w:p>
    <w:p>
      <w:pPr>
        <w:spacing w:after="140"/>
      </w:pPr>
      <w:r>
        <w:rPr>
          <w:rFonts w:ascii="Arial" w:cs="Arial" w:eastAsia="Arial" w:hAnsi="Arial"/>
          <w:i/>
          <w:iCs/>
          <w:color w:val="595959"/>
          <w:sz w:val="22"/>
          <w:szCs w:val="22"/>
        </w:rPr>
        <w:t xml:space="preserve">End of Operating Manual v1.0, Sections 1-3.</w:t>
      </w:r>
    </w:p>
    <w:p>
      <w:r>
        <w:t xml:space="preserve"/>
      </w:r>
    </w:p>
    <w:p>
      <w:pPr>
        <w:spacing w:after="140"/>
      </w:pPr>
      <w:r>
        <w:rPr>
          <w:rFonts w:ascii="Arial" w:cs="Arial" w:eastAsia="Arial" w:hAnsi="Arial"/>
          <w:i/>
          <w:iCs/>
          <w:color w:val="595959"/>
          <w:sz w:val="22"/>
          <w:szCs w:val="22"/>
        </w:rPr>
        <w:t xml:space="preserve">Sections 4 through 15 will be drafted in subsequent batches and appended to this manual as versioned updates. The next batch covers: §4 Inbound Workflow, §5 Strategy Stack Doctrine, §6 Department and Pillar Charters.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jc w:val="center"/>
    </w:pPr>
    <w:r>
      <w:rPr>
        <w:rFonts w:ascii="Arial" w:cs="Arial" w:eastAsia="Arial" w:hAnsi="Arial"/>
        <w:color w:val="595959"/>
        <w:sz w:val="16"/>
        <w:szCs w:val="16"/>
      </w:rPr>
      <w:t xml:space="preserve">PEGASUS DREAMSCAPES — OPERATING MANUAL v1.0</w:t>
    </w:r>
    <w:r>
      <w:rPr>
        <w:rFonts w:ascii="Arial" w:cs="Arial" w:eastAsia="Arial" w:hAnsi="Arial"/>
      </w:rPr>
      <w:t xml:space="preserve">	</w:t>
    </w:r>
    <w:r>
      <w:rPr>
        <w:rFonts w:ascii="Arial" w:cs="Arial" w:eastAsia="Arial" w:hAnsi="Arial"/>
        <w:color w:val="595959"/>
        <w:sz w:val="16"/>
        <w:szCs w:val="16"/>
      </w:rPr>
      <w:t xml:space="preserve">Confidential</w:t>
    </w:r>
    <w:r>
      <w:rPr>
        <w:rFonts w:ascii="Arial" w:cs="Arial" w:eastAsia="Arial" w:hAnsi="Arial"/>
      </w:rPr>
      <w:t xml:space="preserve">	</w:t>
    </w: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332"/>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2332"/>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C87A3A"/>
      <w:sz w:val="24"/>
      <w:szCs w:val="24"/>
    </w:rPr>
  </w:style>
  <w:style w:type="paragraph" w:styleId="Heading4">
    <w:name w:val="Heading 4"/>
    <w:basedOn w:val="Normal"/>
    <w:next w:val="Normal"/>
    <w:qFormat/>
    <w:pPr>
      <w:spacing w:after="100" w:before="220"/>
      <w:outlineLvl w:val="3"/>
    </w:pPr>
    <w:rPr>
      <w:rFonts w:ascii="Arial" w:cs="Arial" w:eastAsia="Arial" w:hAnsi="Arial"/>
      <w:b/>
      <w:bCs/>
      <w:color w:val="2430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Pegasus DreamScapes Operating Manual v1.0 — Sections 1-3</dc:title>
  <dc:creator>Pegasus DreamScapes Corp</dc:creator>
  <dc:description>Company Doctrine, Business Model and Revenue Lanes, Markets/Buy Box/Kill Criteria</dc:description>
  <cp:lastModifiedBy>Un-named</cp:lastModifiedBy>
  <cp:revision>1</cp:revision>
  <dcterms:created xsi:type="dcterms:W3CDTF">2026-05-06T22:07:52.029Z</dcterms:created>
  <dcterms:modified xsi:type="dcterms:W3CDTF">2026-05-06T22:07:52.044Z</dcterms:modified>
</cp:coreProperties>
</file>

<file path=docProps/custom.xml><?xml version="1.0" encoding="utf-8"?>
<Properties xmlns="http://schemas.openxmlformats.org/officeDocument/2006/custom-properties" xmlns:vt="http://schemas.openxmlformats.org/officeDocument/2006/docPropsVTypes"/>
</file>