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7.2 Artifacts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Member Organization (tasks)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Initial Discussion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(looking at requirements etc)</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Deliverable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Scheduling of Tasks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Resource Evaluation (tech &amp; human)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Framework Configuration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Collaboration Tools (slack, github, drive)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Domain Model Design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Course Database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Adding to the course database the course titles, professors, time slots, requisites, descriptions, credits and faculty of each course required for the software engineering degree. Inputting the course lecture, tutorial, and lab time slots.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Prototype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Creating a live prototype to allow team members to input course information to the database. The prototype will demonstrate the integration of laravel and angular.js frameworks for our application.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 Case Tables &amp; Diagrams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Constraints Identification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Scoping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Initial Front End Planning &amp; Design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Estimation &amp; Risk Planning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Deliverable 1 Documentation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Architecture Design &amp; Diagrams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Frontend Implementation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Backend Implementation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UML Class Diagrams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Dynamic Design Scenarios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Deliverable 2 Documentation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Planning &amp; Testing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Improvements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 Manual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Final Cost Estimate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Deliverable 3 Documentation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Project Documentation &amp; Presentation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Member Organization (tasks)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Initial Discussion (looking at requirements etc)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Deliverable 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Scheduling of Tasks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Resource Evaluation (tech &amp; human)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Framework Config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Collaboration Tools (slack, github, drive)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Domain Model Design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Course Database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Prototype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 Case Tables &amp; Diagrams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Constraints Identification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Scoping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Initial Front End Planning &amp; Design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Estimation &amp; Risk Planning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Deliverable 1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Architecture Design &amp; Diagrams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Frontend Implementation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Backend Implementation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UML Class Diagrams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Dynamic Design Scenarios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Deliverable 2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Test Planning &amp; Testing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Improvements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Manual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Final Cost Estimate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Deliverable 3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Project Documentation &amp;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