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135.0" w:type="dxa"/>
        <w:jc w:val="left"/>
        <w:tblLayout w:type="fixed"/>
        <w:tblLook w:val="0600"/>
      </w:tblPr>
      <w:tblGrid>
        <w:gridCol w:w="3195"/>
        <w:gridCol w:w="5940"/>
        <w:tblGridChange w:id="0">
          <w:tblGrid>
            <w:gridCol w:w="3195"/>
            <w:gridCol w:w="594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e007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spacing w:after="0" w:before="0" w:line="288" w:lineRule="auto"/>
              <w:contextualSpacing w:val="0"/>
              <w:jc w:val="both"/>
            </w:pPr>
            <w:bookmarkStart w:colFirst="0" w:colLast="0" w:name="h.6zwudxyguutv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hd w:fill="0e0075" w:val="clear"/>
                <w:rtl w:val="0"/>
              </w:rPr>
              <w:t xml:space="preserve">UC09 - Generate Schedules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both"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Risk Assessment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both"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1/5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both"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Importance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both"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5/5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both"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both"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Student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both"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both"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User can view the different semesterly schedules offered to him or her.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both"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User chooses course preferences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User requests to generate schedules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System displays semester schedule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both"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Pre-condition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both"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User is logged in and has chosen the time frame for which to display schedules and entered his/her preferences.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both"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Post-condition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both"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Success: One or more schedules are generated according to user’s specifications.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both"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Fail: No schedules are generated.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