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February 5,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Sunday 5 pm: DEADLINE for all of us to be completed.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We will go over everyone’s parts together (will be long but must be done)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Wahab &amp; Jian (need to make a meeting this weekend to meet up and finish their parts)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Philippe &amp; Clozzy: for non-encs courses , have their department set as either Basic Science Elective or General Elective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Anna has domain model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Matthew &amp; Francis: enhancing prototype. angular merged with laravel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solution sketch: what’s mostly leftover is with Jian, Matthew, and Ramy.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Monday 1pm: Sabrina, Clozzy, and Liuai will combine everything together in final package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Issues / Commit messages on Github: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Everyone make issues for their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Everyone push documentation under the branch called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Docs still go into the doc folder under their respective folders matching deliverable sections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Matthew will merge documentation branch to the master every time we complete a deliverable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Commit messages: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you’re pushing a doc that completes a task, you may write: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“This resolves issue #</w:t>
      </w:r>
      <w:r w:rsidDel="00000000" w:rsidR="00000000" w:rsidRPr="00000000">
        <w:rPr>
          <w:i w:val="1"/>
          <w:rtl w:val="0"/>
        </w:rPr>
        <w:t xml:space="preserve">[issue number]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ex: “This resolves issue #1”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Scoped 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Decided to remove “enroll / finalize” functionality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Scheduler is like a “wishlist” vs actually enrollment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aim to create a multi-year scheduler first.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completed we will add the weekly/semesterly schedule view (see front-end minutes).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Gantt chart: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using Microsoft Project (free for us on ENCS Dreamspark)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upload a screenshot of the chart so everyone can see the file as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not following the waterfall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