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LATCH</w:t>
      </w:r>
      <w:r/>
      <w:r>
        <w:t>:</w:t>
      </w:r>
      <w:r>
        <w:t xml:space="preserve"> </w:t>
      </w:r>
      <w:r>
        <w:t>Düşük</w:t>
      </w:r>
      <w:r>
        <w:t xml:space="preserve"> </w:t>
      </w:r>
      <w:r>
        <w:t>Kaynaklı</w:t>
      </w:r>
      <w:r>
        <w:t xml:space="preserve"> </w:t>
      </w:r>
      <w:r>
        <w:t>Cihazlarda</w:t>
      </w:r>
      <w:r>
        <w:t xml:space="preserve"> </w:t>
      </w:r>
      <w:r>
        <w:t>Yerel,</w:t>
      </w:r>
      <w:r>
        <w:t xml:space="preserve"> </w:t>
      </w:r>
      <w:r>
        <w:t>Çevrimdışı</w:t>
      </w:r>
      <w:r>
        <w:t xml:space="preserve"> </w:t>
      </w:r>
      <w:r>
        <w:t>ve</w:t>
      </w:r>
      <w:r>
        <w:t xml:space="preserve"> </w:t>
      </w:r>
      <w:r>
        <w:t>Web</w:t>
      </w:r>
      <w:r>
        <w:t xml:space="preserve"> </w:t>
      </w:r>
      <w:r>
        <w:t>Tabanlı</w:t>
      </w:r>
      <w:r>
        <w:t xml:space="preserve"> </w:t>
      </w:r>
      <w:r>
        <w:t>Bilgi</w:t>
      </w:r>
      <w:r>
        <w:t xml:space="preserve"> </w:t>
      </w:r>
      <w:r>
        <w:t>Erişimi</w:t>
      </w:r>
      <w:r>
        <w:t xml:space="preserve"> </w:t>
      </w:r>
      <w:r>
        <w:t>için</w:t>
      </w:r>
      <w:r>
        <w:t xml:space="preserve"> </w:t>
      </w:r>
      <w:r>
        <w:t>Bir</w:t>
      </w:r>
      <w:r>
        <w:t xml:space="preserve"> </w:t>
      </w:r>
      <w:r>
        <w:t>Orkestrasyon</w:t>
      </w:r>
      <w:r>
        <w:t xml:space="preserve"> </w:t>
      </w:r>
      <w:r>
        <w:t>Mimarisi</w:t>
      </w:r>
    </w:p>
    <w:p>
      <w:pPr>
        <w:pStyle w:val="Subtitle"/>
      </w:pPr>
      <w:r>
        <w:t>LATCH-Web</w:t>
      </w:r>
      <w:r>
        <w:t xml:space="preserve"> </w:t>
      </w:r>
      <w:r>
        <w:t>ürün</w:t>
      </w:r>
      <w:r>
        <w:t xml:space="preserve"> </w:t>
      </w:r>
      <w:r>
        <w:t>hattı</w:t>
      </w:r>
      <w:r>
        <w:t xml:space="preserve"> </w:t>
      </w:r>
      <w:r>
        <w:t>ve</w:t>
      </w:r>
      <w:r>
        <w:t xml:space="preserve"> </w:t>
      </w:r>
      <w:r>
        <w:t>LATCH-Core</w:t>
      </w:r>
      <w:r>
        <w:t xml:space="preserve"> </w:t>
      </w:r>
      <w:r>
        <w:t>araştırma</w:t>
      </w:r>
      <w:r>
        <w:t xml:space="preserve"> </w:t>
      </w:r>
      <w:r>
        <w:t>hipotezi</w:t>
      </w:r>
    </w:p>
    <w:p>
      <w:pPr>
        <w:pStyle w:val="Date"/>
      </w:pPr>
      <w:r>
        <w:t>15</w:t>
      </w:r>
      <w:r>
        <w:t xml:space="preserve"> </w:t>
      </w:r>
      <w:r>
        <w:t>Ekim</w:t>
      </w:r>
      <w:r>
        <w:t xml:space="preserve"> </w:t>
      </w:r>
      <w:r>
        <w:t>2026</w:t>
      </w:r>
    </w:p>
    <w:p>
      <w:pPr>
        <w:pStyle w:val="BodyText"/>
        <w:keepNext/>
        <w:spacing w:before="0" w:after="240"/>
        <w:ind w:left="115" w:right="115"/>
        <w:shd w:fill="EAF2F8" w:val="clear"/>
        <w:pBdr>
          <w:left w:val="single" w:sz="18" w:space="6" w:color="147D92"/>
        </w:pBdr>
      </w:pPr>
      <w:r>
        <w:rPr>
          <w:rFonts w:ascii="Liberation Sans" w:hAnsi="Liberation Sans" w:cs="Liberation Sans" w:eastAsia="Liberation Sans"/>
          <w:b/>
          <w:color w:val="147D92"/>
          <w:sz w:val="16"/>
        </w:rPr>
        <w:t xml:space="preserve">MAKALE TÜRÜ  </w:t>
      </w:r>
      <w:r>
        <w:rPr>
          <w:rFonts w:ascii="Liberation Sans" w:hAnsi="Liberation Sans" w:cs="Liberation Sans" w:eastAsia="Liberation Sans"/>
          <w:color w:val="526273"/>
          <w:sz w:val="16"/>
        </w:rPr>
        <w:t xml:space="preserve">Mimari öneri ve deney protokolü     •     </w:t>
      </w:r>
      <w:r>
        <w:rPr>
          <w:rFonts w:ascii="Liberation Sans" w:hAnsi="Liberation Sans" w:cs="Liberation Sans" w:eastAsia="Liberation Sans"/>
          <w:b/>
          <w:color w:val="147D92"/>
          <w:sz w:val="16"/>
        </w:rPr>
        <w:t xml:space="preserve">DURUM  </w:t>
      </w:r>
      <w:r>
        <w:rPr>
          <w:rFonts w:ascii="Liberation Sans" w:hAnsi="Liberation Sans" w:cs="Liberation Sans" w:eastAsia="Liberation Sans"/>
          <w:color w:val="526273"/>
          <w:sz w:val="16"/>
        </w:rPr>
        <w:t>Tasarım taslağı; deneysel sonuç sunulmamaktadır.</w:t>
      </w:r>
    </w:p>
    <w:bookmarkStart w:id="20" w:name="özet"/>
    <w:p>
      <w:pPr>
        <w:pStyle w:val="Heading1"/>
        <w:keepNext/>
        <w:keepLines/>
      </w:pPr>
      <w:r>
        <w:t>Özet</w:t>
      </w:r>
    </w:p>
    <w:p>
      <w:pPr>
        <w:pStyle w:val="FirstParagraph"/>
        <w:spacing w:after="80"/>
        <w:ind w:left="144" w:right="144"/>
        <w:shd w:fill="F5F8FB" w:val="clear"/>
      </w:pPr>
      <w:r>
        <w:t>Bu makale, 2–4 GB RAM sınıfındaki düşük kaynaklı cihazlarda çalışan küçük dil modellerinin yerel muhakeme yeteneklerini korurken çevrimdışı bilgi paketlerinden ve canlı web kaynaklarından yararlanmasını amaçlayan LATCH tasarımını sunar. LATCH iki bağımsız hattan oluşur.</w:t>
      </w:r>
      <w:r>
        <w:t xml:space="preserve"> </w:t>
      </w:r>
      <w:r>
        <w:rPr>
          <w:b/>
          <w:bCs/>
        </w:rPr>
        <w:t>LATCH-Web</w:t>
      </w:r>
      <w:r>
        <w:t>, mevcut bir yerel modeli; RAM önbelleği, lisansı denetlenmiş çevrimdışı belgeler, canlı web araması ve bağımsız kanıt desteği denetimiyle birleştiren ürün odaklı bir orkestrasyon mimarisidir.</w:t>
      </w:r>
      <w:r>
        <w:t xml:space="preserve"> </w:t>
      </w:r>
      <w:r>
        <w:rPr>
          <w:b/>
          <w:bCs/>
        </w:rPr>
        <w:t>LATCH-Core</w:t>
      </w:r>
      <w:r>
        <w:t xml:space="preserve"> </w:t>
      </w:r>
      <w:r>
        <w:t>ise döngü gecikmesini kullanarak flash depolamadan yapılan soğuk bellek okumalarını örtmenin mümkün olup olmadığını araştıran ayrı bir model-mimarisi hipotezidir. Bu ayrım, ürünün çalışmasını yeni bir LLM mimarisinin başarısına bağımlı olmaktan çıkarır.</w:t>
      </w:r>
    </w:p>
    <w:p>
      <w:pPr>
        <w:pStyle w:val="BodyText"/>
        <w:spacing w:after="80"/>
        <w:ind w:left="144" w:right="144"/>
        <w:shd w:fill="F5F8FB" w:val="clear"/>
      </w:pPr>
      <w:r>
        <w:t>LATCH-Web; gizlilik sınıflandırması, arama kararları, sınırlı kanıt paketleri, yapılandırılmış iddia-kaynak eşlemesi, bağımsız doğal dil çıkarımı (NLI) denetçisi ve güvenli hata davranışları önerir. 2 GB ve 4 GB profilleri için bellek bütçeleri, çevrimdışı arama için SQLite FTS5/BM25, web araması için sağlayıcı ölçüm planı ve FreshQA tabanlı zamana duyarlı değerlendirme tanımlanır. Henüz prototip ölçümü sunulmadığından bütün bellek, gecikme, kalite ve güvenlik eşikleri tasarım hedefleridir; elde edilmiş sonuçlar değildir. Makale ayrıca kapılara ayrılmış bir doğrulama planı ve LATCH-Core için ayrı bir araştırma yol haritası verir.</w:t>
      </w:r>
    </w:p>
    <w:p>
      <w:pPr>
        <w:pStyle w:val="BodyText"/>
        <w:spacing w:before="60" w:after="200"/>
        <w:ind w:left="115" w:right="115"/>
      </w:pPr>
      <w:r>
        <w:rPr>
          <w:rFonts w:ascii="Liberation Sans" w:hAnsi="Liberation Sans" w:cs="Liberation Sans" w:eastAsia="Liberation Sans"/>
          <w:b/>
          <w:bCs/>
          <w:color w:val="526273"/>
          <w:sz w:val="17"/>
        </w:rPr>
        <w:t>Anahtar kelimeler:</w:t>
      </w:r>
      <w:r>
        <w:rPr>
          <w:rFonts w:ascii="Liberation Sans" w:hAnsi="Liberation Sans" w:cs="Liberation Sans" w:eastAsia="Liberation Sans"/>
          <w:color w:val="526273"/>
          <w:sz w:val="17"/>
        </w:rPr>
        <w:t xml:space="preserve"> </w:t>
      </w:r>
      <w:r>
        <w:rPr>
          <w:rFonts w:ascii="Liberation Sans" w:hAnsi="Liberation Sans" w:cs="Liberation Sans" w:eastAsia="Liberation Sans"/>
          <w:color w:val="526273"/>
          <w:sz w:val="17"/>
        </w:rPr>
        <w:t>küçük dil modelleri, yerel çıkarım, retrieval-augmented generation, web araması, çevrimdışı bilgi paketi, kaynak doğrulama, düşük RAM, flash I/O, adaptif retrieval.</w:t>
      </w:r>
    </w:p>
    <w:bookmarkEnd w:id="20"/>
    <w:bookmarkStart w:id="21" w:name="giriş"/>
    <w:p>
      <w:pPr>
        <w:pStyle w:val="Heading1"/>
        <w:keepNext/>
        <w:keepLines/>
      </w:pPr>
      <w:r>
        <w:t>1. Giriş</w:t>
      </w:r>
    </w:p>
    <w:p>
      <w:pPr>
        <w:pStyle w:val="FirstParagraph"/>
      </w:pPr>
      <w:r>
        <w:t>Küçük dil modellerini telefonlar ve giriş seviyesi bilgisayarlar gibi sınırlı kaynaklı cihazlarda çalıştırmak, yalnızca model ağırlıklarını küçültmekten ibaret değildir. Bir sistem; model çalışma zamanı, aktif bağlam, bilgi erişimi, ağ tamponları, kaynak doğrulama ve güvenlik denetimleri için de bellek ve işlem bütçesi ayırmak zorundadır. Aynı zamanda güncel bilgiye ihtiyaç duyduğunda web’e ulaşabilmeli; bağlantı yokken ise çevrimdışı olarak kullanılabilmelidir.</w:t>
      </w:r>
    </w:p>
    <w:p>
      <w:pPr>
        <w:pStyle w:val="BodyText"/>
      </w:pPr>
      <w:r>
        <w:t>LATCH, bu problemi iki ayrı hedef olarak ele alır. Birinci hedef, mevcut bir yerel modeli farklı bilgi kaynakları arasında güvenli ve bütçeli biçimde yöneten çalışabilir bir sistem kurmaktır. İkinci hedef, düşük kaynaklı çıkarım için yeni bir hesaplama-mimarisi hipotezini sınamaktır. Bu iki hattın ayrılması önemli bir mühendislik kararıdır: LATCH-Web, LATCH-Core’un başarısını beklemeden prototiplenebilir; LATCH-Core ise ürün hattındaki arama ve güvenlik mekanizmalarından bağımsız deneylerle değerlendirilebilir.</w:t>
      </w:r>
    </w:p>
    <w:p>
      <w:pPr>
        <w:pStyle w:val="BodyText"/>
      </w:pPr>
      <w:r>
        <w:t>Bu çalışmanın iddiası, LATCH’ın mevcut sistemlerden daha hızlı veya daha kaliteli olduğunun gösterilmiş olması değildir. Amaç, böyle bir sistemin hangi bileşenlerden oluşması gerektiğini tanımlamak, kaynak bütçelerini görünür kılmak ve başarıyı ölçülebilir karar kapılarına bağlamaktır. Tasarım; Self-RAG, CRAG, FreshQA, SQLite FTS5 ve RAG güvenliği gibi mevcut yöntem ve araçları karşılaştırma zemini olarak ele alır [1–5]. Bunların LATCH ile aynı olduğu veya LATCH’ın bunları geçtiği iddia edilmemektedir.</w:t>
      </w:r>
    </w:p>
    <w:bookmarkEnd w:id="21"/>
    <w:bookmarkStart w:id="22" w:name="tasarım-hedefleri-ve-kapsam"/>
    <w:p>
      <w:pPr>
        <w:pStyle w:val="Heading1"/>
        <w:keepNext/>
        <w:keepLines/>
      </w:pPr>
      <w:r>
        <w:t>2. Tasarım hedefleri ve kapsam</w:t>
      </w:r>
    </w:p>
    <w:p>
      <w:pPr>
        <w:pStyle w:val="FirstParagraph"/>
        <w:keepNext/>
      </w:pPr>
      <w:r>
        <w:t>LATCH aşağıdaki hedefleri izler:</w:t>
      </w:r>
    </w:p>
    <w:p>
      <w:pPr>
        <w:pStyle w:val="Compact"/>
        <w:numPr>
          <w:ilvl w:val="0"/>
          <w:numId w:val="1001"/>
        </w:numPr>
      </w:pPr>
      <w:r>
        <w:rPr>
          <w:b/>
          <w:bCs/>
        </w:rPr>
        <w:t>Düşük kaynakta çalışabilirlik:</w:t>
      </w:r>
      <w:r>
        <w:t xml:space="preserve"> </w:t>
      </w:r>
      <w:r>
        <w:t>2 GB ve 4 GB RAM sınıfları için açık bir bellek bütçesi tanımlamak ve bunu gerçek cihazda ölçmek.</w:t>
      </w:r>
    </w:p>
    <w:p>
      <w:pPr>
        <w:pStyle w:val="Compact"/>
        <w:numPr>
          <w:ilvl w:val="0"/>
          <w:numId w:val="1001"/>
        </w:numPr>
      </w:pPr>
      <w:r>
        <w:rPr>
          <w:b/>
          <w:bCs/>
        </w:rPr>
        <w:t>Üç bilgi yolunu birlikte desteklemek:</w:t>
      </w:r>
      <w:r>
        <w:t xml:space="preserve"> </w:t>
      </w:r>
      <w:r>
        <w:t>Yerel model, çevrimdışı bilgi paketi ve canlı web erişimini tek cevap akışında birleştirmek.</w:t>
      </w:r>
    </w:p>
    <w:p>
      <w:pPr>
        <w:pStyle w:val="Compact"/>
        <w:numPr>
          <w:ilvl w:val="0"/>
          <w:numId w:val="1001"/>
        </w:numPr>
      </w:pPr>
      <w:r>
        <w:rPr>
          <w:b/>
          <w:bCs/>
        </w:rPr>
        <w:t>Gerektiğinde aramak:</w:t>
      </w:r>
      <w:r>
        <w:t xml:space="preserve"> </w:t>
      </w:r>
      <w:r>
        <w:t>Her soruda web çağrısı yapmak yerine görev, güncellik ve gizlilik politikasına göre arama yolunu seçmek.</w:t>
      </w:r>
    </w:p>
    <w:p>
      <w:pPr>
        <w:pStyle w:val="Compact"/>
        <w:numPr>
          <w:ilvl w:val="0"/>
          <w:numId w:val="1001"/>
        </w:numPr>
      </w:pPr>
      <w:r>
        <w:rPr>
          <w:b/>
          <w:bCs/>
        </w:rPr>
        <w:t>İddia-kaynak ilişkisini denetlemek:</w:t>
      </w:r>
      <w:r>
        <w:t xml:space="preserve"> </w:t>
      </w:r>
      <w:r>
        <w:t>Biçimsel olarak geçerli atıfları, anlamsal destekten ayırmak ve ikinciyi bağımsız denetlemek.</w:t>
      </w:r>
    </w:p>
    <w:p>
      <w:pPr>
        <w:pStyle w:val="Compact"/>
        <w:numPr>
          <w:ilvl w:val="0"/>
          <w:numId w:val="1001"/>
        </w:numPr>
      </w:pPr>
      <w:r>
        <w:rPr>
          <w:b/>
          <w:bCs/>
        </w:rPr>
        <w:t>Güvenli hata davranışı:</w:t>
      </w:r>
      <w:r>
        <w:t xml:space="preserve"> </w:t>
      </w:r>
      <w:r>
        <w:t>Kaynak bulunamadığında, kaynaklar çeliştiğinde veya gizlilik sınıfı belirsiz olduğunda kesin görünmek yerine sınırlı cevap ya da çekimserlik sunmak.</w:t>
      </w:r>
    </w:p>
    <w:p>
      <w:pPr>
        <w:pStyle w:val="Compact"/>
        <w:numPr>
          <w:ilvl w:val="0"/>
          <w:numId w:val="1001"/>
        </w:numPr>
      </w:pPr>
      <w:r>
        <w:rPr>
          <w:b/>
          <w:bCs/>
        </w:rPr>
        <w:t>Araştırma iddiasını yanlışlanabilir kılmak:</w:t>
      </w:r>
      <w:r>
        <w:t xml:space="preserve"> </w:t>
      </w:r>
      <w:r>
        <w:t>LATCH-Core’u aynı bellek ve veri trafiği bütçeleriyle mevcut taban çizgilerine karşı sınamak.</w:t>
      </w:r>
    </w:p>
    <w:p>
      <w:pPr>
        <w:pStyle w:val="FirstParagraph"/>
      </w:pPr>
      <w:r>
        <w:t>LATCH-Web bir orkestrasyon ve bilgi erişimi sistemidir; kendi başına yeni bir LLM mimarisi değildir. Web erişimi model ağırlıklarını otomatik olarak güncellemez ve web’de bulunan bilgi, modelin kalıcı becerisine dönüşmüş sayılmaz.</w:t>
      </w:r>
    </w:p>
    <w:bookmarkEnd w:id="22"/>
    <w:bookmarkStart w:id="29" w:name="latch-genel-mimarisi"/>
    <w:p>
      <w:pPr>
        <w:pStyle w:val="Heading1"/>
        <w:keepNext/>
        <w:keepLines/>
      </w:pPr>
      <w:r>
        <w:t>3. LATCH genel mimarisi</w:t>
      </w:r>
    </w:p>
    <w:p>
      <w:pPr>
        <w:pStyle w:val="FirstParagraph"/>
      </w:pPr>
      <w:r/>
    </w:p>
    <w:p>
      <w:pPr>
        <w:pStyle w:val="ImageCaption"/>
        <w:keepNext w:val="0"/>
        <w:ind w:left="216" w:right="216"/>
        <w:jc w:val="center"/>
      </w:pPr>
      <w:r>
        <w:rPr>
          <w:rFonts w:ascii="Liberation Sans" w:hAnsi="Liberation Sans" w:cs="Liberation Sans" w:eastAsia="Liberation Sans"/>
          <w:b/>
          <w:color w:val="17365D"/>
          <w:sz w:val="17"/>
        </w:rPr>
        <w:t xml:space="preserve">Şekil 1. </w:t>
      </w:r>
      <w:r>
        <w:rPr>
          <w:rFonts w:ascii="Liberation Sans" w:hAnsi="Liberation Sans" w:cs="Liberation Sans" w:eastAsia="Liberation Sans"/>
          <w:color w:val="526273"/>
          <w:sz w:val="17"/>
        </w:rPr>
        <w:t>Ürün hattının sadeleştirilmiş akışı. LATCH-Core ayrı bir araştırma hattıdır ve LATCH-Web’in önkoşulu değildir.</w:t>
      </w:r>
    </w:p>
    <w:p>
      <w:pPr>
        <w:pStyle w:val="BodyText"/>
      </w:pPr>
      <w:r>
        <w:t>Sistemin giriş noktası kullanıcı sorusudur. Politika katmanı görev türünü, bilgi güncelliği ihtiyacını ve gizlilik sınıfını belirler. Ardından soru; yerel cevap, çevrimdışı paket, önbellek ya da canlı web yollarından birine yönlendirilir. Kaynaklardan elde edilen içerik ortak bir kanıt şemasında toplanır, sınırlı kanıt paketi hâline getirilir ve yerel modele verilir. Model, iddiaları kaynak kimlikleriyle birlikte yapılandırılmış olarak üretir. Son olarak bağımsız bir NLI denetçisi, kaynakların bu iddiaları destekleyip desteklemediğini değerlendirir.</w:t>
      </w:r>
    </w:p>
    <w:p>
      <w:pPr>
        <w:pStyle w:val="BodyText"/>
      </w:pPr>
      <w:r>
        <w:t>Bu akış, her soruda bütün bileşenlerin çalışmasını gerektirmez. Örneğin yaratıcı yazım gibi dış bilgi gerektirmeyen görevler</w:t>
      </w:r>
      <w:r>
        <w:t xml:space="preserve"> </w:t>
      </w:r>
      <w:r>
        <w:rPr>
          <w:rStyle w:val="VerbatimChar"/>
        </w:rPr>
        <w:t>LOCAL_ONLY</w:t>
      </w:r>
      <w:r>
        <w:t xml:space="preserve"> </w:t>
      </w:r>
      <w:r>
        <w:t>yolunda kalabilir. İnternet bağlantısı olmadığında</w:t>
      </w:r>
      <w:r>
        <w:t xml:space="preserve"> </w:t>
      </w:r>
      <w:r>
        <w:rPr>
          <w:rStyle w:val="VerbatimChar"/>
        </w:rPr>
        <w:t>OFFLINE_PACK</w:t>
      </w:r>
      <w:r>
        <w:t xml:space="preserve"> </w:t>
      </w:r>
      <w:r>
        <w:t>kullanılır; yeterli kanıt bulunamazsa sistem belirsizliği açıklar.</w:t>
      </w:r>
    </w:p>
    <w:bookmarkStart w:id="26" w:name="politika-katmanı-ve-yönlendirme-kipleri"/>
    <w:p>
      <w:pPr>
        <w:pStyle w:val="Heading2"/>
        <w:keepNext/>
        <w:keepLines/>
      </w:pPr>
      <w:r>
        <w:t>3.1. Politika katmanı ve yönlendirme kipleri</w:t>
      </w:r>
    </w:p>
    <w:p>
      <w:pPr>
        <w:pStyle w:val="FirstParagraph"/>
        <w:keepNext/>
      </w:pPr>
      <w:r>
        <w:t>LATCH dört ana çalışma kipi tanımlar:</w:t>
      </w:r>
    </w:p>
    <w:p>
      <w:pPr>
        <w:pStyle w:val="TableCaption"/>
        <w:keepNext/>
        <w:spacing w:before="140" w:after="60"/>
      </w:pPr>
      <w:r>
        <w:rPr>
          <w:rFonts w:ascii="Liberation Sans" w:hAnsi="Liberation Sans" w:cs="Liberation Sans" w:eastAsia="Liberation Sans"/>
          <w:b/>
          <w:color w:val="17365D"/>
          <w:sz w:val="18"/>
        </w:rPr>
        <w:t>Tablo 1. LATCH-Web yönlendirme kipleri</w:t>
      </w:r>
    </w:p>
    <w:tbl>
      <w:tblPr>
        <w:tblStyle w:val="Table"/>
        <w:tblW w:type="pct" w:w="5000"/>
        <w:jc w:val="center"/>
        <w:tblLayout w:type="fixed"/>
        <w:tblLook w:firstRow="1" w:lastRow="0" w:firstColumn="0" w:lastColumn="0" w:noHBand="0" w:noVBand="0" w:val="0020"/>
        <w:tblBorders>
          <w:top w:val="single" w:sz="5" w:space="0" w:color="D5DEE8"/>
          <w:left w:val="single" w:sz="5" w:space="0" w:color="D5DEE8"/>
          <w:bottom w:val="single" w:sz="5" w:space="0" w:color="D5DEE8"/>
          <w:right w:val="single" w:sz="5" w:space="0" w:color="D5DEE8"/>
          <w:insideH w:val="single" w:sz="5" w:space="0" w:color="D5DEE8"/>
          <w:insideV w:val="single" w:sz="5" w:space="0" w:color="D5DEE8"/>
        </w:tblBorders>
      </w:tblPr>
      <w:tblGrid>
        <w:gridCol w:w="1234440"/>
        <w:gridCol w:w="2084831"/>
        <w:gridCol w:w="2779776"/>
      </w:tblGrid>
      <w:tr>
        <w:trPr>
          <w:tblHeader w:val="on"/>
          <w:cantSplit/>
          <w:cantSplit/>
          <w:tblHeader w:val="true"/>
        </w:trPr>
        <w:tc>
          <w:tcPr>
            <w:tcW w:type="dxa" w:w="1944"/>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Kip</w:t>
            </w:r>
          </w:p>
        </w:tc>
        <w:tc>
          <w:tcPr>
            <w:tcW w:type="dxa" w:w="3283"/>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Kullanım durumu</w:t>
            </w:r>
          </w:p>
        </w:tc>
        <w:tc>
          <w:tcPr>
            <w:tcW w:type="dxa" w:w="4378"/>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Davranış</w:t>
            </w:r>
          </w:p>
        </w:tc>
      </w:tr>
      <w:tr>
        <w:trPr>
          <w:cantSplit/>
          <w:cantSplit/>
        </w:trPr>
        <w:tc>
          <w:tcPr>
            <w:tcW w:type="dxa" w:w="1944"/>
            <w:vAlign w:val="center"/>
            <w:tcMar>
              <w:top w:w="85" w:type="dxa"/>
              <w:start w:w="95" w:type="dxa"/>
              <w:bottom w:w="85" w:type="dxa"/>
              <w:end w:w="95" w:type="dxa"/>
            </w:tcMar>
            <w:shd w:fill="FFFFFF" w:val="clear"/>
          </w:tcPr>
          <w:p>
            <w:pPr>
              <w:pStyle w:val="Compact"/>
              <w:widowControl/>
              <w:spacing w:before="0" w:after="0" w:line="240" w:lineRule="auto"/>
              <w:jc w:val="center"/>
            </w:pPr>
            <w:r>
              <w:rPr>
                <w:rStyle w:val="VerbatimChar"/>
                <w:rFonts w:ascii="Liberation Sans" w:hAnsi="Liberation Sans" w:cs="Liberation Sans" w:eastAsia="Liberation Sans"/>
                <w:color w:val="202A35"/>
                <w:sz w:val="16"/>
              </w:rPr>
              <w:t>LOCAL_ONLY</w:t>
            </w:r>
          </w:p>
        </w:tc>
        <w:tc>
          <w:tcPr>
            <w:tcW w:type="dxa" w:w="328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Dış bilgi gerektirmeyen soru veya yaratıcı görev</w:t>
            </w:r>
          </w:p>
        </w:tc>
        <w:tc>
          <w:tcPr>
            <w:tcW w:type="dxa" w:w="437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Web araması yapılmaz; yerel model cevap verir.</w:t>
            </w:r>
          </w:p>
        </w:tc>
      </w:tr>
      <w:tr>
        <w:trPr>
          <w:cantSplit/>
          <w:cantSplit/>
        </w:trPr>
        <w:tc>
          <w:tcPr>
            <w:tcW w:type="dxa" w:w="1944"/>
            <w:vAlign w:val="center"/>
            <w:tcMar>
              <w:top w:w="85" w:type="dxa"/>
              <w:start w:w="95" w:type="dxa"/>
              <w:bottom w:w="85" w:type="dxa"/>
              <w:end w:w="95" w:type="dxa"/>
            </w:tcMar>
            <w:shd w:fill="F4F7FA" w:val="clear"/>
          </w:tcPr>
          <w:p>
            <w:pPr>
              <w:pStyle w:val="Compact"/>
              <w:widowControl/>
              <w:spacing w:before="0" w:after="0" w:line="240" w:lineRule="auto"/>
              <w:jc w:val="center"/>
            </w:pPr>
            <w:r>
              <w:rPr>
                <w:rStyle w:val="VerbatimChar"/>
                <w:rFonts w:ascii="Liberation Sans" w:hAnsi="Liberation Sans" w:cs="Liberation Sans" w:eastAsia="Liberation Sans"/>
                <w:color w:val="202A35"/>
                <w:sz w:val="16"/>
              </w:rPr>
              <w:t>OFFLINE_PACK</w:t>
            </w:r>
          </w:p>
        </w:tc>
        <w:tc>
          <w:tcPr>
            <w:tcW w:type="dxa" w:w="328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İnternet yoktur veya kullanıcı çevrimdışı çalışmayı seçmiştir</w:t>
            </w:r>
          </w:p>
        </w:tc>
        <w:tc>
          <w:tcPr>
            <w:tcW w:type="dxa" w:w="437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Flash üzerindeki seçilmiş belgelerde SQLite FTS5/BM25 araması yapılır; paket tarihi belirtilir.</w:t>
            </w:r>
          </w:p>
        </w:tc>
      </w:tr>
      <w:tr>
        <w:trPr>
          <w:cantSplit/>
          <w:cantSplit/>
        </w:trPr>
        <w:tc>
          <w:tcPr>
            <w:tcW w:type="dxa" w:w="1944"/>
            <w:vAlign w:val="center"/>
            <w:tcMar>
              <w:top w:w="85" w:type="dxa"/>
              <w:start w:w="95" w:type="dxa"/>
              <w:bottom w:w="85" w:type="dxa"/>
              <w:end w:w="95" w:type="dxa"/>
            </w:tcMar>
            <w:shd w:fill="FFFFFF" w:val="clear"/>
          </w:tcPr>
          <w:p>
            <w:pPr>
              <w:pStyle w:val="Compact"/>
              <w:widowControl/>
              <w:spacing w:before="0" w:after="0" w:line="240" w:lineRule="auto"/>
              <w:jc w:val="center"/>
            </w:pPr>
            <w:r>
              <w:rPr>
                <w:rStyle w:val="VerbatimChar"/>
                <w:rFonts w:ascii="Liberation Sans" w:hAnsi="Liberation Sans" w:cs="Liberation Sans" w:eastAsia="Liberation Sans"/>
                <w:color w:val="202A35"/>
                <w:sz w:val="16"/>
              </w:rPr>
              <w:t>CACHE_FIRST</w:t>
            </w:r>
          </w:p>
        </w:tc>
        <w:tc>
          <w:tcPr>
            <w:tcW w:type="dxa" w:w="328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Geçerli ve saklama şartları uygun bir kayıt bulunabilir</w:t>
            </w:r>
          </w:p>
        </w:tc>
        <w:tc>
          <w:tcPr>
            <w:tcW w:type="dxa" w:w="437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Kaynak, süre-sonu (TTL) ve sürüm doğrulanır; geçersizse yeniden arama yapılır.</w:t>
            </w:r>
          </w:p>
        </w:tc>
      </w:tr>
      <w:tr>
        <w:trPr>
          <w:cantSplit/>
          <w:cantSplit/>
        </w:trPr>
        <w:tc>
          <w:tcPr>
            <w:tcW w:type="dxa" w:w="1944"/>
            <w:vAlign w:val="center"/>
            <w:tcMar>
              <w:top w:w="85" w:type="dxa"/>
              <w:start w:w="95" w:type="dxa"/>
              <w:bottom w:w="85" w:type="dxa"/>
              <w:end w:w="95" w:type="dxa"/>
            </w:tcMar>
            <w:shd w:fill="F4F7FA" w:val="clear"/>
          </w:tcPr>
          <w:p>
            <w:pPr>
              <w:pStyle w:val="Compact"/>
              <w:widowControl/>
              <w:spacing w:before="0" w:after="0" w:line="240" w:lineRule="auto"/>
              <w:jc w:val="center"/>
            </w:pPr>
            <w:r>
              <w:rPr>
                <w:rStyle w:val="VerbatimChar"/>
                <w:rFonts w:ascii="Liberation Sans" w:hAnsi="Liberation Sans" w:cs="Liberation Sans" w:eastAsia="Liberation Sans"/>
                <w:color w:val="202A35"/>
                <w:sz w:val="16"/>
              </w:rPr>
              <w:t>WEB_SEARCH</w:t>
            </w:r>
            <w:r>
              <w:rPr>
                <w:rFonts w:ascii="Liberation Sans" w:hAnsi="Liberation Sans" w:cs="Liberation Sans" w:eastAsia="Liberation Sans"/>
                <w:color w:val="202A35"/>
                <w:sz w:val="16"/>
              </w:rPr>
              <w:t xml:space="preserve"> </w:t>
            </w:r>
            <w:r>
              <w:rPr>
                <w:rFonts w:ascii="Liberation Sans" w:hAnsi="Liberation Sans" w:cs="Liberation Sans" w:eastAsia="Liberation Sans"/>
                <w:color w:val="202A35"/>
                <w:sz w:val="16"/>
              </w:rPr>
              <w:t>/</w:t>
            </w:r>
            <w:r>
              <w:rPr>
                <w:rFonts w:ascii="Liberation Sans" w:hAnsi="Liberation Sans" w:cs="Liberation Sans" w:eastAsia="Liberation Sans"/>
                <w:color w:val="202A35"/>
                <w:sz w:val="16"/>
              </w:rPr>
              <w:t xml:space="preserve"> </w:t>
            </w:r>
            <w:r>
              <w:rPr>
                <w:rStyle w:val="VerbatimChar"/>
                <w:rFonts w:ascii="Liberation Sans" w:hAnsi="Liberation Sans" w:cs="Liberation Sans" w:eastAsia="Liberation Sans"/>
                <w:color w:val="202A35"/>
                <w:sz w:val="16"/>
              </w:rPr>
              <w:t>WEB_VERIFY</w:t>
            </w:r>
          </w:p>
        </w:tc>
        <w:tc>
          <w:tcPr>
            <w:tcW w:type="dxa" w:w="328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Güncel, sürüme bağlı, belirsiz veya önemli iddia</w:t>
            </w:r>
          </w:p>
        </w:tc>
        <w:tc>
          <w:tcPr>
            <w:tcW w:type="dxa" w:w="437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Bir ila üç sınırlı sorgu çalıştırılır; gerektiğinde bağımsız kaynakla doğrulama yapılır.</w:t>
            </w:r>
          </w:p>
        </w:tc>
      </w:tr>
    </w:tbl>
    <w:p>
      <w:pPr>
        <w:pStyle w:val="BodyText"/>
      </w:pPr>
      <w:r>
        <w:t>Bu kipler sabit birer model çağrısı değil, orkestratörün durumlarıdır. Yönlendirme mümkün olduğunca kurallarla başlar; ayrı ve büyük bir planlayıcı LLM zorunlu değildir.</w:t>
      </w:r>
    </w:p>
    <w:bookmarkEnd w:id="26"/>
    <w:bookmarkStart w:id="27" w:name="bellek-katmanları"/>
    <w:p>
      <w:pPr>
        <w:pStyle w:val="Heading2"/>
        <w:keepNext/>
        <w:keepLines/>
      </w:pPr>
      <w:r>
        <w:t>3.2. Bellek katmanları</w:t>
      </w:r>
    </w:p>
    <w:p>
      <w:pPr>
        <w:pStyle w:val="FirstParagraph"/>
      </w:pPr>
      <w:r>
        <w:t>LATCH-Web’in bellek tasarımı üç kalıcı/çalışma kaynağını ayırır:</w:t>
      </w:r>
    </w:p>
    <w:p>
      <w:pPr>
        <w:pStyle w:val="Compact"/>
        <w:numPr>
          <w:ilvl w:val="0"/>
          <w:numId w:val="1002"/>
        </w:numPr>
      </w:pPr>
      <w:r>
        <w:rPr>
          <w:b/>
          <w:bCs/>
        </w:rPr>
        <w:t>Yerel model ve çalışma belleği:</w:t>
      </w:r>
      <w:r>
        <w:t xml:space="preserve"> </w:t>
      </w:r>
      <w:r>
        <w:t>Dil ve muhakeme becerilerini, aktif konuşmayı ve görev durumunu taşır.</w:t>
      </w:r>
    </w:p>
    <w:p>
      <w:pPr>
        <w:pStyle w:val="Compact"/>
        <w:numPr>
          <w:ilvl w:val="0"/>
          <w:numId w:val="1002"/>
        </w:numPr>
      </w:pPr>
      <w:r>
        <w:rPr>
          <w:b/>
          <w:bCs/>
        </w:rPr>
        <w:t>Çevrimdışı bilgi paketi:</w:t>
      </w:r>
      <w:r>
        <w:t xml:space="preserve"> </w:t>
      </w:r>
      <w:r>
        <w:t>Lisansı kontrol edilmiş, sürümlü ve bütünlüğü izlenebilir belge koleksiyonudur. Başlangıçta 256 MB hedeflenir; kullanım durumuna göre 1 GB’a kadar büyüyebilir. Paket gövdesi diskte kalır; tamamı RAM’e yüklenmez.</w:t>
      </w:r>
    </w:p>
    <w:p>
      <w:pPr>
        <w:pStyle w:val="Compact"/>
        <w:numPr>
          <w:ilvl w:val="0"/>
          <w:numId w:val="1002"/>
        </w:numPr>
      </w:pPr>
      <w:r>
        <w:rPr>
          <w:b/>
          <w:bCs/>
        </w:rPr>
        <w:t>RAM önbelleği:</w:t>
      </w:r>
      <w:r>
        <w:t xml:space="preserve"> </w:t>
      </w:r>
      <w:r>
        <w:t>İndeksin sık kullanılan kısımlarını ve kısa kanıt kayıtlarını tutar. Kalıcı saklama, arama sağlayıcısının koşullarına ve kaydın lisansına bağlıdır. TTL, kaynak sürümü ve geçerlilik denetimi uygulanır.</w:t>
      </w:r>
    </w:p>
    <w:p>
      <w:pPr>
        <w:pStyle w:val="FirstParagraph"/>
      </w:pPr>
      <w:r>
        <w:t>Çevrimdışı paketin ilk sürümünde embedding modeli veya vektör veri tabanı zorunlu değildir. SQLite FTS5/BM25, daha karmaşık ve daha fazla kaynak gerektiren arama yöntemlerine geçmeden önce ölçülebilir bir taban çizgisi sağlar [5]. Vektör arama yalnızca BM25’in belirli görevlerde yetersiz kaldığı deneyle gösterilirse ayrı bir ablation olarak eklenir.</w:t>
      </w:r>
    </w:p>
    <w:bookmarkEnd w:id="27"/>
    <w:bookmarkStart w:id="28" w:name="web-araması-ve-gecikme-yönetimi"/>
    <w:p>
      <w:pPr>
        <w:pStyle w:val="Heading2"/>
        <w:keepNext/>
        <w:keepLines/>
      </w:pPr>
      <w:r>
        <w:t>3.3. Web araması ve gecikme yönetimi</w:t>
      </w:r>
    </w:p>
    <w:p>
      <w:pPr>
        <w:pStyle w:val="FirstParagraph"/>
      </w:pPr>
      <w:r>
        <w:t>Canlı web, yerel modelin yerini almaz; güncel veya yerelde bulunmayan bilgi için arama ve kaynak bulma hizmeti olarak kullanılır. LATCH-Web erken sorgu başlatmayı destekler, ancak bunu gizlilik katmanına bağlar. Yalnızca</w:t>
      </w:r>
      <w:r>
        <w:t xml:space="preserve"> </w:t>
      </w:r>
      <w:r>
        <w:rPr>
          <w:rStyle w:val="VerbatimChar"/>
        </w:rPr>
        <w:t>PUBLIC_FACT</w:t>
      </w:r>
      <w:r>
        <w:t xml:space="preserve"> </w:t>
      </w:r>
      <w:r>
        <w:t>olarak sınıflandırılan bir soru için anahtar kelime, özel isim ve tarih çıkarımıyla en fazla bir ilk sorgu erkenden başlatılabilir.</w:t>
      </w:r>
      <w:r>
        <w:t xml:space="preserve"> </w:t>
      </w:r>
      <w:r>
        <w:rPr>
          <w:rStyle w:val="VerbatimChar"/>
        </w:rPr>
        <w:t>SENSITIVE</w:t>
      </w:r>
      <w:r>
        <w:t xml:space="preserve"> </w:t>
      </w:r>
      <w:r>
        <w:t>sorular varsayılan olarak dışarı gönderilmez.</w:t>
      </w:r>
      <w:r>
        <w:t xml:space="preserve"> </w:t>
      </w:r>
      <w:r>
        <w:rPr>
          <w:rStyle w:val="VerbatimChar"/>
        </w:rPr>
        <w:t>UNKNOWN</w:t>
      </w:r>
      <w:r>
        <w:t xml:space="preserve"> </w:t>
      </w:r>
      <w:r>
        <w:t>sınıfında ise politika ve gerekiyorsa NER denetimi tamamlanana kadar arama ertelenir.</w:t>
      </w:r>
    </w:p>
    <w:p>
      <w:pPr>
        <w:pStyle w:val="BodyText"/>
      </w:pPr>
      <w:r>
        <w:t>Erken arama, modelin uzun planlama çıktısını beklemeyi azaltabilir; ancak gizlilik kapısını atlamamalıdır. Arama sağlayıcısının gecikmesi değişken olduğundan, tasarım sabit bir token/s veya milisaniye garantisi vermez. Her aşamanın p50 ve p95 süreleri ayrı ölçülür: politika, sorgu çıkarımı, API yanıtı, indirme, HTML temizleme, BM25, kanıt seçimi, model prefill’i, üretim ve NLI denetimi.</w:t>
      </w:r>
    </w:p>
    <w:bookmarkEnd w:id="28"/>
    <w:bookmarkEnd w:id="29"/>
    <w:bookmarkStart w:id="32" w:name="kanıt-paketi-ve-yapılandırılmış-cevap"/>
    <w:p>
      <w:pPr>
        <w:pStyle w:val="Heading1"/>
        <w:keepNext/>
        <w:keepLines/>
      </w:pPr>
      <w:r>
        <w:t>4. Kanıt paketi ve yapılandırılmış cevap</w:t>
      </w:r>
    </w:p>
    <w:p>
      <w:pPr>
        <w:pStyle w:val="FirstParagraph"/>
      </w:pPr>
      <w:r>
        <w:t>Web veya çevrimdışı belgelerin tamamı modele verilmez. İçerik temizlenir, yinelenen pasajlar çıkarılır ve soruyu destekleyen en kısa kanıtlar seçilir. Kanıt seçimi şu öncelikleri izler: iddiaya doğrudan cevap veren pasaj; birincil veya resmî kaynak; yayın/güncelleme tarihi ve sürüm bağlamı; gerekiyorsa güvenilir karşı kanıt. Aynı haberin kopyaları bağımsız kanıt sayılmaz.</w:t>
      </w:r>
    </w:p>
    <w:p>
      <w:pPr>
        <w:pStyle w:val="BodyText"/>
      </w:pPr>
      <w:r>
        <w:t>Her kanıt kaydı en az şu alanları taşır:</w:t>
      </w:r>
      <w:r>
        <w:t xml:space="preserve"> </w:t>
      </w:r>
      <w:r>
        <w:rPr>
          <w:rStyle w:val="VerbatimChar"/>
        </w:rPr>
        <w:t>source_id</w:t>
      </w:r>
      <w:r>
        <w:t>, URL, başlık, yayın veya güncelleme tarihi (varsa), alınma zamanı, snippet, kaynak türü, bütünlük özeti ve desteklediği</w:t>
      </w:r>
      <w:r>
        <w:t xml:space="preserve"> </w:t>
      </w:r>
      <w:r>
        <w:rPr>
          <w:rStyle w:val="VerbatimChar"/>
        </w:rPr>
        <w:t>claim_id</w:t>
      </w:r>
      <w:r>
        <w:t>. Meta veri de token bütçesine dahildir.</w:t>
      </w:r>
    </w:p>
    <w:bookmarkStart w:id="30" w:name="kanıt-bütçesi"/>
    <w:p>
      <w:pPr>
        <w:pStyle w:val="Heading2"/>
        <w:keepNext/>
        <w:keepLines/>
      </w:pPr>
      <w:r>
        <w:t>4.1. Kanıt bütçesi</w:t>
      </w:r>
    </w:p>
    <w:p>
      <w:pPr>
        <w:pStyle w:val="TableCaption"/>
        <w:keepNext/>
        <w:spacing w:before="140" w:after="60"/>
      </w:pPr>
      <w:r>
        <w:rPr>
          <w:rFonts w:ascii="Liberation Sans" w:hAnsi="Liberation Sans" w:cs="Liberation Sans" w:eastAsia="Liberation Sans"/>
          <w:b/>
          <w:color w:val="17365D"/>
          <w:sz w:val="18"/>
        </w:rPr>
        <w:t>Tablo 2. Kanıt paketi sınırları ve başlangıç bütçeleri</w:t>
      </w:r>
    </w:p>
    <w:tbl>
      <w:tblPr>
        <w:tblStyle w:val="Table"/>
        <w:tblW w:type="auto" w:w="0"/>
        <w:jc w:val="center"/>
        <w:tblLayout w:type="fixed"/>
        <w:tblLook w:firstRow="1" w:lastRow="0" w:firstColumn="0" w:lastColumn="0" w:noHBand="0" w:noVBand="0" w:val="0020"/>
        <w:tblBorders>
          <w:top w:val="single" w:sz="5" w:space="0" w:color="D5DEE8"/>
          <w:left w:val="single" w:sz="5" w:space="0" w:color="D5DEE8"/>
          <w:bottom w:val="single" w:sz="5" w:space="0" w:color="D5DEE8"/>
          <w:right w:val="single" w:sz="5" w:space="0" w:color="D5DEE8"/>
          <w:insideH w:val="single" w:sz="5" w:space="0" w:color="D5DEE8"/>
          <w:insideV w:val="single" w:sz="5" w:space="0" w:color="D5DEE8"/>
        </w:tblBorders>
      </w:tblPr>
      <w:tblGrid>
        <w:gridCol w:w="2487168"/>
        <w:gridCol w:w="1783080"/>
        <w:gridCol w:w="1828800"/>
      </w:tblGrid>
      <w:tr>
        <w:trPr>
          <w:tblHeader w:val="on"/>
          <w:cantSplit/>
          <w:cantSplit/>
          <w:tblHeader w:val="true"/>
        </w:trPr>
        <w:tc>
          <w:tcPr>
            <w:tcW w:type="dxa" w:w="3917"/>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Sınır</w:t>
            </w:r>
          </w:p>
        </w:tc>
        <w:tc>
          <w:tcPr>
            <w:tcW w:type="dxa" w:w="2808"/>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2 GB profili</w:t>
            </w:r>
          </w:p>
        </w:tc>
        <w:tc>
          <w:tcPr>
            <w:tcW w:type="dxa" w:w="2880"/>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4 GB profili</w:t>
            </w:r>
          </w:p>
        </w:tc>
      </w:tr>
      <w:tr>
        <w:trPr>
          <w:cantSplit/>
          <w:cantSplit/>
        </w:trPr>
        <w:tc>
          <w:tcPr>
            <w:tcW w:type="dxa" w:w="3917"/>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Toplam kanıt tokenı</w:t>
            </w:r>
          </w:p>
        </w:tc>
        <w:tc>
          <w:tcPr>
            <w:tcW w:type="dxa" w:w="280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768</w:t>
            </w:r>
          </w:p>
        </w:tc>
        <w:tc>
          <w:tcPr>
            <w:tcW w:type="dxa" w:w="2880"/>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1.200</w:t>
            </w:r>
          </w:p>
        </w:tc>
      </w:tr>
      <w:tr>
        <w:trPr>
          <w:cantSplit/>
          <w:cantSplit/>
        </w:trPr>
        <w:tc>
          <w:tcPr>
            <w:tcW w:type="dxa" w:w="3917"/>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En fazla ayrı kaynak</w:t>
            </w:r>
          </w:p>
        </w:tc>
        <w:tc>
          <w:tcPr>
            <w:tcW w:type="dxa" w:w="280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3</w:t>
            </w:r>
          </w:p>
        </w:tc>
        <w:tc>
          <w:tcPr>
            <w:tcW w:type="dxa" w:w="2880"/>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5</w:t>
            </w:r>
          </w:p>
        </w:tc>
      </w:tr>
      <w:tr>
        <w:trPr>
          <w:cantSplit/>
          <w:cantSplit/>
        </w:trPr>
        <w:tc>
          <w:tcPr>
            <w:tcW w:type="dxa" w:w="3917"/>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Kaynak başına snippet</w:t>
            </w:r>
          </w:p>
        </w:tc>
        <w:tc>
          <w:tcPr>
            <w:tcW w:type="dxa" w:w="280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En fazla 2</w:t>
            </w:r>
          </w:p>
        </w:tc>
        <w:tc>
          <w:tcPr>
            <w:tcW w:type="dxa" w:w="2880"/>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En fazla 2</w:t>
            </w:r>
          </w:p>
        </w:tc>
      </w:tr>
      <w:tr>
        <w:trPr>
          <w:cantSplit/>
          <w:cantSplit/>
        </w:trPr>
        <w:tc>
          <w:tcPr>
            <w:tcW w:type="dxa" w:w="3917"/>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Tek snippet</w:t>
            </w:r>
          </w:p>
        </w:tc>
        <w:tc>
          <w:tcPr>
            <w:tcW w:type="dxa" w:w="280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En fazla 160 token</w:t>
            </w:r>
          </w:p>
        </w:tc>
        <w:tc>
          <w:tcPr>
            <w:tcW w:type="dxa" w:w="2880"/>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En fazla 180 token</w:t>
            </w:r>
          </w:p>
        </w:tc>
      </w:tr>
      <w:tr>
        <w:trPr>
          <w:cantSplit/>
          <w:cantSplit/>
        </w:trPr>
        <w:tc>
          <w:tcPr>
            <w:tcW w:type="dxa" w:w="3917"/>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Web sorgusu</w:t>
            </w:r>
          </w:p>
        </w:tc>
        <w:tc>
          <w:tcPr>
            <w:tcW w:type="dxa" w:w="280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1–2, gerekirse 3</w:t>
            </w:r>
          </w:p>
        </w:tc>
        <w:tc>
          <w:tcPr>
            <w:tcW w:type="dxa" w:w="2880"/>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1–3</w:t>
            </w:r>
          </w:p>
        </w:tc>
      </w:tr>
    </w:tbl>
    <w:p>
      <w:pPr>
        <w:pStyle w:val="BodyText"/>
      </w:pPr>
      <w:r>
        <w:t>Sınırlar gerçek tokenizer ile sayılır. Kalite bu sınırlar nedeniyle düşerse bütçe sessizce büyütülmez; daha geniş kanıt bağlamı ayrı bir deney olarak test edilir.</w:t>
      </w:r>
    </w:p>
    <w:bookmarkEnd w:id="30"/>
    <w:bookmarkStart w:id="31" w:name="yapılandırılmış-çıktı-sözleşmesi"/>
    <w:p>
      <w:pPr>
        <w:pStyle w:val="Heading2"/>
        <w:keepNext/>
        <w:keepLines/>
      </w:pPr>
      <w:r>
        <w:t>4.2. Yapılandırılmış çıktı sözleşmesi</w:t>
      </w:r>
    </w:p>
    <w:p>
      <w:pPr>
        <w:pStyle w:val="FirstParagraph"/>
      </w:pPr>
      <w:r>
        <w:t>Üretici model önemli iddiaları</w:t>
      </w:r>
      <w:r>
        <w:t xml:space="preserve"> </w:t>
      </w:r>
      <w:r>
        <w:rPr>
          <w:rStyle w:val="VerbatimChar"/>
        </w:rPr>
        <w:t>claims[]</w:t>
      </w:r>
      <w:r>
        <w:t xml:space="preserve"> </w:t>
      </w:r>
      <w:r>
        <w:t>listesinde sunar. Her kayıt en az</w:t>
      </w:r>
      <w:r>
        <w:t xml:space="preserve"> </w:t>
      </w:r>
      <w:r>
        <w:rPr>
          <w:rStyle w:val="VerbatimChar"/>
        </w:rPr>
        <w:t>claim_id</w:t>
      </w:r>
      <w:r>
        <w:t>, iddia metni ve</w:t>
      </w:r>
      <w:r>
        <w:t xml:space="preserve"> </w:t>
      </w:r>
      <w:r>
        <w:rPr>
          <w:rStyle w:val="VerbatimChar"/>
        </w:rPr>
        <w:t>source_ids[]</w:t>
      </w:r>
      <w:r>
        <w:t xml:space="preserve"> </w:t>
      </w:r>
      <w:r>
        <w:t>içerir. llama.cpp kullanılırsa GBNF tabanlı gramer kısıtlı çözümleme, JSON biçiminin kurala uymasını sağlamaya yardımcı olabilir [6]. Ancak gramer, bir kaynağın iddiayı gerçekten desteklediğini garanti etmez.</w:t>
      </w:r>
    </w:p>
    <w:p>
      <w:pPr>
        <w:pStyle w:val="BodyText"/>
      </w:pPr>
      <w:r>
        <w:t>Son işlemci şemayı doğrular ve kanıt paketinde bulunmayan</w:t>
      </w:r>
      <w:r>
        <w:t xml:space="preserve"> </w:t>
      </w:r>
      <w:r>
        <w:rPr>
          <w:rStyle w:val="VerbatimChar"/>
        </w:rPr>
        <w:t>source_id</w:t>
      </w:r>
      <w:r>
        <w:t xml:space="preserve"> </w:t>
      </w:r>
      <w:r>
        <w:t>değerlerini kaldırır. Geçersiz çıktı için bir kez yeniden deneme yapılır. İkinci deneme de başarısız olursa sistem, doğrulanmış gibi davranmak yerine atıf gerektiren iddiayı düşürür veya doğrulayamadığını belirtir.</w:t>
      </w:r>
    </w:p>
    <w:bookmarkEnd w:id="31"/>
    <w:bookmarkEnd w:id="32"/>
    <w:bookmarkStart w:id="34" w:name="bağımsız-kanıt-denetimi"/>
    <w:p>
      <w:pPr>
        <w:pStyle w:val="Heading1"/>
        <w:keepNext/>
        <w:keepLines/>
      </w:pPr>
      <w:r>
        <w:t>5. Bağımsız kanıt denetimi</w:t>
      </w:r>
    </w:p>
    <w:p>
      <w:pPr>
        <w:pStyle w:val="FirstParagraph"/>
      </w:pPr>
      <w:r>
        <w:t>Üretici modelin kendi güven puanı, iddia doğruluğunun ölçütü olarak kullanılmaz. LATCH-Web, üretici modelden ayrı, sürümü sabit küçük bir doğal dil çıkarımı (NLI) sınıflandırıcısıyla her iddia-kaynak çiftini üç sınıftan birine ayırmayı önerir:</w:t>
      </w:r>
    </w:p>
    <w:p>
      <w:pPr>
        <w:pStyle w:val="Compact"/>
        <w:numPr>
          <w:ilvl w:val="0"/>
          <w:numId w:val="1003"/>
        </w:numPr>
      </w:pPr>
      <w:r>
        <w:rPr>
          <w:rStyle w:val="VerbatimChar"/>
        </w:rPr>
        <w:t>supported</w:t>
      </w:r>
      <w:r>
        <w:t>: Kaynak iddiayı destekliyor.</w:t>
      </w:r>
    </w:p>
    <w:p>
      <w:pPr>
        <w:pStyle w:val="Compact"/>
        <w:numPr>
          <w:ilvl w:val="0"/>
          <w:numId w:val="1003"/>
        </w:numPr>
      </w:pPr>
      <w:r>
        <w:rPr>
          <w:rStyle w:val="VerbatimChar"/>
        </w:rPr>
        <w:t>contradicted</w:t>
      </w:r>
      <w:r>
        <w:t>: Kaynak iddiayla çelişiyor.</w:t>
      </w:r>
    </w:p>
    <w:p>
      <w:pPr>
        <w:pStyle w:val="Compact"/>
        <w:numPr>
          <w:ilvl w:val="0"/>
          <w:numId w:val="1003"/>
        </w:numPr>
      </w:pPr>
      <w:r>
        <w:rPr>
          <w:rStyle w:val="VerbatimChar"/>
        </w:rPr>
        <w:t>insufficient</w:t>
      </w:r>
      <w:r>
        <w:t>: Kaynak, iddia hakkında yeterli kanıt sunmuyor.</w:t>
      </w:r>
    </w:p>
    <w:p>
      <w:pPr>
        <w:pStyle w:val="FirstParagraph"/>
      </w:pPr>
      <w:r>
        <w:t>NLI denetçisinin kendisi de hata yapabilir. Bu nedenle önce 100–150 insan etiketli iddia-snippet çifti üzerinde adaylar kıyaslanır. Ölçütler destek kesinliği, duyarlılık, gecikme ve RSS tüketimidir. Bütçeye sığan yeterince doğru bir denetçi bulunamazsa %95 destek kesinliği hedefi gerçekçi kabul edilmez; sistemin doğrulama akışı veya iddia kapsamı yeniden tasarlanır.</w:t>
      </w:r>
    </w:p>
    <w:bookmarkStart w:id="33" w:name="kabul-metriği-ve-istatistik"/>
    <w:p>
      <w:pPr>
        <w:pStyle w:val="Heading2"/>
        <w:keepNext/>
        <w:keepLines/>
      </w:pPr>
      <w:r>
        <w:t>5.1. Kabul metriği ve istatistik</w:t>
      </w:r>
    </w:p>
    <w:p>
      <w:pPr>
        <w:pStyle w:val="FirstParagraph"/>
      </w:pPr>
      <w:r>
        <w:t>Önemli iddialar; belirli kişi, kurum veya ürün hakkındaki olguları; tarih, fiyat, sürüm, istatistik ve sıralamaları; nedensel iddiaları ve bir kaynağa atfedilen sözleri kapsar. Hukuk, sağlık, finans ve güvenlikle ilgili olgusal öncüller de önemlidir. Öznel değerlendirmelerin kendisi dışarıda tutulabilir; fakat bu değerlendirmeyi destekleyen olgular denetime dahildir.</w:t>
      </w:r>
    </w:p>
    <w:p>
      <w:pPr>
        <w:pStyle w:val="BodyText"/>
      </w:pPr>
      <w:r>
        <w:t>Tam değerlendirme aşamasında en az 300 önemli iddianın iki insan etiketleyici tarafından değerlendirilmesi; mümkünse en az 200 farklı sorunun kullanılması ve ana örneklemde soru başına en fazla iki iddia tutulması hedeflenir. Etiketleyici anlaşması, eksik etiket oranı ve anlaşmazlık çözüm kuralı raporlanır. Test kümesi, geliştirme ve eşik ayarlama kümesinden ayrı tutulur.</w:t>
      </w:r>
    </w:p>
    <w:p>
      <w:pPr>
        <w:pStyle w:val="BodyText"/>
      </w:pPr>
      <w:r>
        <w:t>Önceden kaydedilecek kabul hedefleri:</w:t>
      </w:r>
    </w:p>
    <w:p>
      <w:pPr>
        <w:pStyle w:val="Compact"/>
        <w:numPr>
          <w:ilvl w:val="0"/>
          <w:numId w:val="1004"/>
        </w:numPr>
      </w:pPr>
      <w:r>
        <w:t>Destek kesinliği nokta tahmini en az %95.</w:t>
      </w:r>
    </w:p>
    <w:p>
      <w:pPr>
        <w:pStyle w:val="Compact"/>
        <w:numPr>
          <w:ilvl w:val="0"/>
          <w:numId w:val="1004"/>
        </w:numPr>
      </w:pPr>
      <w:r>
        <w:t>Önemli iddia kapsamı en az %80.</w:t>
      </w:r>
    </w:p>
    <w:p>
      <w:pPr>
        <w:pStyle w:val="Compact"/>
        <w:numPr>
          <w:ilvl w:val="0"/>
          <w:numId w:val="1004"/>
        </w:numPr>
      </w:pPr>
      <w:r>
        <w:t>Soru kümelerini esas alan cluster bootstrap güven aralığının alt sınırı %90’ın altındaysa sonuç geçici sayılır; örneklem büyütülür veya akış değiştirilir.</w:t>
      </w:r>
    </w:p>
    <w:p>
      <w:pPr>
        <w:pStyle w:val="FirstParagraph"/>
      </w:pPr>
      <w:r>
        <w:t>Kesinlik ve kapsam birlikte yorumlanır. Sistem bütün iddiaları reddederek yüksek kesinlik göstermemelidir. Çelişki kaçırma, doğru çekimserlik ve gereksiz çekimserlik oranları da raporlanır. Bağımsız iddialar varsayımıyla hesaplanan Wilson aralığı yalnızca yardımcı göstergedir; aynı soruya bağlı iddialar kümelenmiş olabilir.</w:t>
      </w:r>
    </w:p>
    <w:bookmarkEnd w:id="33"/>
    <w:bookmarkEnd w:id="34"/>
    <w:bookmarkStart w:id="35" w:name="kaynak-bütçesi-ve-hedef-cihazlar"/>
    <w:p>
      <w:pPr>
        <w:pStyle w:val="Heading1"/>
        <w:keepNext/>
        <w:keepLines/>
      </w:pPr>
      <w:r>
        <w:t>6. Kaynak bütçesi ve hedef cihazlar</w:t>
      </w:r>
    </w:p>
    <w:p>
      <w:pPr>
        <w:pStyle w:val="FirstParagraph"/>
        <w:keepNext/>
      </w:pPr>
      <w:r>
        <w:t>Aşağıdaki sayılar ondalık MB cinsinden tasarım üst sınırlarıdır; ölçülmüş RSS değerleri değildir. Çevrimdışı paket gövdesi diskte kaldığı için bütçeye tamamı dahil edilmez; RAM’de yalnızca indeksin etkin bölümü ve sayfa önbelleği bulunur.</w:t>
      </w:r>
    </w:p>
    <w:p>
      <w:pPr>
        <w:pStyle w:val="TableCaption"/>
        <w:keepNext/>
        <w:spacing w:before="140" w:after="60"/>
      </w:pPr>
      <w:r>
        <w:rPr>
          <w:rFonts w:ascii="Liberation Sans" w:hAnsi="Liberation Sans" w:cs="Liberation Sans" w:eastAsia="Liberation Sans"/>
          <w:b/>
          <w:color w:val="17365D"/>
          <w:sz w:val="18"/>
        </w:rPr>
        <w:t>Tablo 3. Bileşen bazında hedef RSS bütçesi (tasarım üst sınırları)</w:t>
      </w:r>
    </w:p>
    <w:tbl>
      <w:tblPr>
        <w:tblStyle w:val="Table"/>
        <w:tblW w:type="pct" w:w="5000"/>
        <w:jc w:val="center"/>
        <w:tblLayout w:type="fixed"/>
        <w:tblLook w:firstRow="1" w:lastRow="0" w:firstColumn="0" w:lastColumn="0" w:noHBand="0" w:noVBand="0" w:val="0020"/>
        <w:tblBorders>
          <w:top w:val="single" w:sz="5" w:space="0" w:color="D5DEE8"/>
          <w:left w:val="single" w:sz="5" w:space="0" w:color="D5DEE8"/>
          <w:bottom w:val="single" w:sz="5" w:space="0" w:color="D5DEE8"/>
          <w:right w:val="single" w:sz="5" w:space="0" w:color="D5DEE8"/>
          <w:insideH w:val="single" w:sz="5" w:space="0" w:color="D5DEE8"/>
          <w:insideV w:val="single" w:sz="5" w:space="0" w:color="D5DEE8"/>
        </w:tblBorders>
      </w:tblPr>
      <w:tblGrid>
        <w:gridCol w:w="2011680"/>
        <w:gridCol w:w="795528"/>
        <w:gridCol w:w="795528"/>
        <w:gridCol w:w="2496312"/>
      </w:tblGrid>
      <w:tr>
        <w:trPr>
          <w:tblHeader w:val="on"/>
          <w:cantSplit/>
          <w:cantSplit/>
          <w:tblHeader w:val="true"/>
        </w:trPr>
        <w:tc>
          <w:tcPr>
            <w:tcW w:type="dxa" w:w="3168"/>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Bileşen</w:t>
            </w:r>
          </w:p>
        </w:tc>
        <w:tc>
          <w:tcPr>
            <w:tcW w:type="dxa" w:w="1253"/>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2 GB profili (MB)</w:t>
            </w:r>
          </w:p>
        </w:tc>
        <w:tc>
          <w:tcPr>
            <w:tcW w:type="dxa" w:w="1253"/>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4 GB profili (MB)</w:t>
            </w:r>
          </w:p>
        </w:tc>
        <w:tc>
          <w:tcPr>
            <w:tcW w:type="dxa" w:w="3931"/>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Not</w:t>
            </w:r>
          </w:p>
        </w:tc>
      </w:tr>
      <w:tr>
        <w:trPr>
          <w:cantSplit/>
          <w:cantSplit/>
        </w:trPr>
        <w:tc>
          <w:tcPr>
            <w:tcW w:type="dxa" w:w="316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Üretici model + runtime + KV</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≤600</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≤1.200</w:t>
            </w:r>
          </w:p>
        </w:tc>
        <w:tc>
          <w:tcPr>
            <w:tcW w:type="dxa" w:w="3931"/>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Tek üretici model; bağlam sınırı zorunlu</w:t>
            </w:r>
          </w:p>
        </w:tc>
      </w:tr>
      <w:tr>
        <w:trPr>
          <w:cantSplit/>
          <w:cantSplit/>
        </w:trPr>
        <w:tc>
          <w:tcPr>
            <w:tcW w:type="dxa" w:w="316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Tokenizer, prompt ve kanıt tamponları</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≤30</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≤50</w:t>
            </w:r>
          </w:p>
        </w:tc>
        <w:tc>
          <w:tcPr>
            <w:tcW w:type="dxa" w:w="3931"/>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Kanıt token bütçesine bağlı</w:t>
            </w:r>
          </w:p>
        </w:tc>
      </w:tr>
      <w:tr>
        <w:trPr>
          <w:cantSplit/>
          <w:cantSplit/>
        </w:trPr>
        <w:tc>
          <w:tcPr>
            <w:tcW w:type="dxa" w:w="316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SQLite FTS5 indeksi ve sayfa önbelleği</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≤35</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≤80</w:t>
            </w:r>
          </w:p>
        </w:tc>
        <w:tc>
          <w:tcPr>
            <w:tcW w:type="dxa" w:w="3931"/>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Embedding yok</w:t>
            </w:r>
          </w:p>
        </w:tc>
      </w:tr>
      <w:tr>
        <w:trPr>
          <w:cantSplit/>
          <w:cantSplit/>
        </w:trPr>
        <w:tc>
          <w:tcPr>
            <w:tcW w:type="dxa" w:w="316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Web istemcisi, HTML temizleme ve ağ tamponları</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≤40</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≤75</w:t>
            </w:r>
          </w:p>
        </w:tc>
        <w:tc>
          <w:tcPr>
            <w:tcW w:type="dxa" w:w="3931"/>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Headless tarayıcı yok</w:t>
            </w:r>
          </w:p>
        </w:tc>
      </w:tr>
      <w:tr>
        <w:trPr>
          <w:cantSplit/>
          <w:cantSplit/>
        </w:trPr>
        <w:tc>
          <w:tcPr>
            <w:tcW w:type="dxa" w:w="316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PII kuralları / küçük NER</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≤25</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≤35</w:t>
            </w:r>
          </w:p>
        </w:tc>
        <w:tc>
          <w:tcPr>
            <w:tcW w:type="dxa" w:w="3931"/>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NER yalnızca gerektiğinde yüklenir</w:t>
            </w:r>
          </w:p>
        </w:tc>
      </w:tr>
      <w:tr>
        <w:trPr>
          <w:cantSplit/>
          <w:cantSplit/>
        </w:trPr>
        <w:tc>
          <w:tcPr>
            <w:tcW w:type="dxa" w:w="316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Bağımsız NLI destek denetçisi</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≤80</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≤120</w:t>
            </w:r>
          </w:p>
        </w:tc>
        <w:tc>
          <w:tcPr>
            <w:tcW w:type="dxa" w:w="3931"/>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Aday seçimi ölçüme bağlı</w:t>
            </w:r>
          </w:p>
        </w:tc>
      </w:tr>
      <w:tr>
        <w:trPr>
          <w:cantSplit/>
          <w:cantSplit/>
        </w:trPr>
        <w:tc>
          <w:tcPr>
            <w:tcW w:type="dxa" w:w="316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Reranker</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≤40</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≤80</w:t>
            </w:r>
          </w:p>
        </w:tc>
        <w:tc>
          <w:tcPr>
            <w:tcW w:type="dxa" w:w="3931"/>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MVP’de kapalı</w:t>
            </w:r>
          </w:p>
        </w:tc>
      </w:tr>
      <w:tr>
        <w:trPr>
          <w:cantSplit/>
          <w:cantSplit/>
        </w:trPr>
        <w:tc>
          <w:tcPr>
            <w:tcW w:type="dxa" w:w="316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Yönlendirici, kurallar ve uygulama kodu</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≤50</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≤80</w:t>
            </w:r>
          </w:p>
        </w:tc>
        <w:tc>
          <w:tcPr>
            <w:tcW w:type="dxa" w:w="3931"/>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Ayrı planlayıcı LLM yok</w:t>
            </w:r>
          </w:p>
        </w:tc>
      </w:tr>
      <w:tr>
        <w:trPr>
          <w:cantSplit/>
          <w:cantSplit/>
        </w:trPr>
        <w:tc>
          <w:tcPr>
            <w:tcW w:type="dxa" w:w="316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Allocator ve pik payı</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≤100</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≤200</w:t>
            </w:r>
          </w:p>
        </w:tc>
        <w:tc>
          <w:tcPr>
            <w:tcW w:type="dxa" w:w="3931"/>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Gerçek cihazda ölçülür</w:t>
            </w:r>
          </w:p>
        </w:tc>
      </w:tr>
      <w:tr>
        <w:trPr>
          <w:cantSplit/>
          <w:cantSplit/>
        </w:trPr>
        <w:tc>
          <w:tcPr>
            <w:tcW w:type="dxa" w:w="3168"/>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b/>
                <w:bCs/>
                <w:color w:val="202A35"/>
                <w:sz w:val="16"/>
              </w:rPr>
              <w:t>Toplam, reranker dahil</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b/>
                <w:bCs/>
                <w:color w:val="202A35"/>
                <w:sz w:val="16"/>
              </w:rPr>
              <w:t>≤1.000</w:t>
            </w:r>
          </w:p>
        </w:tc>
        <w:tc>
          <w:tcPr>
            <w:tcW w:type="dxa" w:w="12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b/>
                <w:bCs/>
                <w:color w:val="202A35"/>
                <w:sz w:val="16"/>
              </w:rPr>
              <w:t>≤1.920</w:t>
            </w:r>
          </w:p>
        </w:tc>
        <w:tc>
          <w:tcPr>
            <w:tcW w:type="dxa" w:w="3931"/>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Tasarım sınırı</w:t>
            </w:r>
          </w:p>
        </w:tc>
      </w:tr>
      <w:tr>
        <w:trPr>
          <w:cantSplit/>
          <w:cantSplit/>
        </w:trPr>
        <w:tc>
          <w:tcPr>
            <w:tcW w:type="dxa" w:w="3168"/>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b/>
                <w:bCs/>
                <w:color w:val="202A35"/>
                <w:sz w:val="16"/>
              </w:rPr>
              <w:t>MVP toplamı, reranker kapalı</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b/>
                <w:bCs/>
                <w:color w:val="202A35"/>
                <w:sz w:val="16"/>
              </w:rPr>
              <w:t>≤960</w:t>
            </w:r>
          </w:p>
        </w:tc>
        <w:tc>
          <w:tcPr>
            <w:tcW w:type="dxa" w:w="12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b/>
                <w:bCs/>
                <w:color w:val="202A35"/>
                <w:sz w:val="16"/>
              </w:rPr>
              <w:t>≤1.840</w:t>
            </w:r>
          </w:p>
        </w:tc>
        <w:tc>
          <w:tcPr>
            <w:tcW w:type="dxa" w:w="3931"/>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Tasarım sınırı</w:t>
            </w:r>
          </w:p>
        </w:tc>
      </w:tr>
    </w:tbl>
    <w:p>
      <w:pPr>
        <w:pStyle w:val="BodyText"/>
      </w:pPr>
      <w:r>
        <w:t>2 GB profili bir uyumluluk iddiası değildir; cihazda test edilecek hedeftir. 960–1.000 MB RSS fiziksel belleğin yaklaşık yarısıdır ve işletim sistemi ile diğer uygulamalar için kalan alan her cihazda yeterli olmayabilir. Hedef cihaz bu bütçeyi karşılamazsa desteklenen cihaz sınıfı daraltılır; model boyutu, bağlam ve önbellek aynı anda büyütülmez.</w:t>
      </w:r>
    </w:p>
    <w:p>
      <w:pPr>
        <w:pStyle w:val="BodyText"/>
      </w:pPr>
      <w:r>
        <w:t>Web yolunda hedef çağrı bütçesi bir ila üç arama sorgusu ve genellikle en fazla iki üretici-model çağrısıdır. Her aşama ayrı ölçülür. Sabit tok/s veya milisaniye garantisi verilmez.</w:t>
      </w:r>
    </w:p>
    <w:bookmarkEnd w:id="35"/>
    <w:bookmarkStart w:id="37" w:name="gizlilik-güvenlik-ve-veri-yönetimi"/>
    <w:p>
      <w:pPr>
        <w:pStyle w:val="Heading1"/>
        <w:keepNext/>
        <w:keepLines/>
      </w:pPr>
      <w:r>
        <w:t>7. Gizlilik, güvenlik ve veri yönetimi</w:t>
      </w:r>
    </w:p>
    <w:p>
      <w:pPr>
        <w:pStyle w:val="FirstParagraph"/>
      </w:pPr>
      <w:r>
        <w:t>Web sayfaları ve çevrimdışı belgeler güvenilmeyen veri olarak kabul edilir. İçeriklerinde bulunan talimatlar komut veya araç çağrısı sayılmaz. Web metni kendi başına araç çalıştıramaz; yüksek riskli eylemler uygulama düzeyinde yetkilendirme ve gerektiğinde kullanıcı onayı gerektirir.</w:t>
      </w:r>
    </w:p>
    <w:p>
      <w:pPr>
        <w:pStyle w:val="BodyText"/>
      </w:pPr>
      <w:r>
        <w:t>Her soru</w:t>
      </w:r>
      <w:r>
        <w:t xml:space="preserve"> </w:t>
      </w:r>
      <w:r>
        <w:rPr>
          <w:rStyle w:val="VerbatimChar"/>
        </w:rPr>
        <w:t>PUBLIC_FACT</w:t>
      </w:r>
      <w:r>
        <w:t>,</w:t>
      </w:r>
      <w:r>
        <w:t xml:space="preserve"> </w:t>
      </w:r>
      <w:r>
        <w:rPr>
          <w:rStyle w:val="VerbatimChar"/>
        </w:rPr>
        <w:t>SENSITIVE</w:t>
      </w:r>
      <w:r>
        <w:t xml:space="preserve"> </w:t>
      </w:r>
      <w:r>
        <w:t>veya</w:t>
      </w:r>
      <w:r>
        <w:t xml:space="preserve"> </w:t>
      </w:r>
      <w:r>
        <w:rPr>
          <w:rStyle w:val="VerbatimChar"/>
        </w:rPr>
        <w:t>UNKNOWN</w:t>
      </w:r>
      <w:r>
        <w:t xml:space="preserve"> </w:t>
      </w:r>
      <w:r>
        <w:t>sınıfıyla ele alınır. Kimlik bilgileri, sırlar, anahtarlar, sağlık ve finans verileri ile özel belgeler varsayılan olarak dışarı gönderilmez. Filtre kusursuz olmadığı için</w:t>
      </w:r>
      <w:r>
        <w:t xml:space="preserve"> </w:t>
      </w:r>
      <w:r>
        <w:t>“</w:t>
      </w:r>
      <w:r>
        <w:t>filtre geçti</w:t>
      </w:r>
      <w:r>
        <w:t>”</w:t>
      </w:r>
      <w:r>
        <w:t xml:space="preserve"> </w:t>
      </w:r>
      <w:r>
        <w:t>sonucu güvenlik garantisi sayılmaz. Kayıtlarda ham sorgu yerine mümkün olduğunda sınıf, süre, durum kodu ve hash tutulur.</w:t>
      </w:r>
    </w:p>
    <w:p>
      <w:pPr>
        <w:pStyle w:val="BodyText"/>
      </w:pPr>
      <w:r>
        <w:t>Red-team planı en küçük hedef model üzerinde çalıştırılır; büyük modelin başarısı küçük modele genellenmez. Saldırı sınıfları arasında açık ve gizli sayfa içi talimatlar, Unicode veya zero-width metin, HTML yorumları, snippet’lere bölünmüş enjeksiyon, konuşma geçmişi sızdırma, sahte kaynak atfı, önbellek zehirleme, silinmiş kaynakla cache hit ve yetkisiz araç çağrısı bulunur. İlk turda 50–100 vaka sürekli entegrasyon testlerine eklenir. Tam değerlendirme, ilk karar kapıları geçilirse en az 300 vakaya genişletilir.</w:t>
      </w:r>
    </w:p>
    <w:p>
      <w:pPr>
        <w:pStyle w:val="BodyText"/>
      </w:pPr>
      <w:r>
        <w:t>Yetkisiz eylem veya sentetik kanarya sırrı sızıntısı için test kümesinde sıfır gözlenen olay hedeflenir. Bu, gerçek riskin sıfır olduğunu kanıtlamaz: 300 bağımsız denemede sıfır hata, %95 güvenle hata oranının yaklaşık %1’in altında olabileceğine dair bir üst sınır sağlar; vaka kümelenmesi belirsizliği artırır. Masum sayfalardaki zararsız talimat örnekleriyle yanlış pozitif ve aşırı çekimserlik de ölçülür. Bu yaklaşım, RAG sistemleri için bilinen güvenlik riskleriyle uyumludur [4].</w:t>
      </w:r>
    </w:p>
    <w:bookmarkStart w:id="36" w:name="web-sağlayıcısı-seçimi"/>
    <w:p>
      <w:pPr>
        <w:pStyle w:val="Heading2"/>
        <w:keepNext/>
        <w:keepLines/>
      </w:pPr>
      <w:r>
        <w:t>7.1. Web sağlayıcısı seçimi</w:t>
      </w:r>
    </w:p>
    <w:p>
      <w:pPr>
        <w:pStyle w:val="FirstParagraph"/>
      </w:pPr>
      <w:r>
        <w:t>İlk prototip için Brave Search API ve Tavily Search API iki aday olarak ele alınır; hiçbiri önceden kazanan ilan edilmez. Her sağlayıcı için farklı zamanlarda ve günlerde en az 1.000 hassas olmayan istekle süre, hata kodu, timeout, 429/5xx oranı, yanıt baytı ve başarılı sonuç başına maliyet ölçülür. p50 ve p95 ana metriklerdir; p99 ancak yeterli örneklemle raporlanır.</w:t>
      </w:r>
      <w:r>
        <w:t xml:space="preserve"> [12, 13].</w:t>
      </w:r>
    </w:p>
    <w:p>
      <w:pPr>
        <w:pStyle w:val="BodyText"/>
      </w:pPr>
      <w:r>
        <w:t>Canlıya almadan önce birincil kaynaktan saklama ve önbellek koşulları, AI benchmark kullanımına izin, eğitim/ayar amaçlı kullanım, veri bölgesi, alt işleyenler, fiyat ve oran limitleri kontrol edilir. İzin belirsizse sonuç kalıcı saklanmaz ve kalite benchmark’ında kullanılmaz; lisanslı veya sentetik sabit korpus kullanılır. Sağlayıcıların şartları zamanla değişebildiğinden bu kontrol dağıtımdan önce yenilenmelidir [12, 13].</w:t>
      </w:r>
    </w:p>
    <w:bookmarkEnd w:id="36"/>
    <w:bookmarkEnd w:id="37"/>
    <w:bookmarkStart w:id="38" w:name="değerlendirme-tasarımı-latch-web"/>
    <w:p>
      <w:pPr>
        <w:pStyle w:val="Heading1"/>
        <w:keepNext/>
        <w:keepLines/>
      </w:pPr>
      <w:r>
        <w:t>8. Değerlendirme tasarımı: LATCH-Web</w:t>
      </w:r>
    </w:p>
    <w:p>
      <w:pPr>
        <w:pStyle w:val="FirstParagraph"/>
        <w:keepNext/>
      </w:pPr>
      <w:r>
        <w:t>LATCH-Web’in faydası tek bir varyantla gösterilmeye çalışılmaz. Aynı üretici modeli, kuantizasyonu, cihazı, bağlam bütçesi ve sağlayıcı koşulları kullanılarak beş kol kıyaslanır:</w:t>
      </w:r>
    </w:p>
    <w:p>
      <w:pPr>
        <w:pStyle w:val="TableCaption"/>
        <w:keepNext/>
        <w:spacing w:before="140" w:after="60"/>
      </w:pPr>
      <w:r>
        <w:rPr>
          <w:rFonts w:ascii="Liberation Sans" w:hAnsi="Liberation Sans" w:cs="Liberation Sans" w:eastAsia="Liberation Sans"/>
          <w:b/>
          <w:color w:val="17365D"/>
          <w:sz w:val="18"/>
        </w:rPr>
        <w:t>Tablo 4. Ürün hattı karşılaştırma kolları</w:t>
      </w:r>
    </w:p>
    <w:tbl>
      <w:tblPr>
        <w:tblStyle w:val="Table"/>
        <w:tblW w:type="pct" w:w="5000"/>
        <w:jc w:val="center"/>
        <w:tblLayout w:type="fixed"/>
        <w:tblLook w:firstRow="1" w:lastRow="0" w:firstColumn="0" w:lastColumn="0" w:noHBand="0" w:noVBand="0" w:val="0020"/>
        <w:tblBorders>
          <w:top w:val="single" w:sz="5" w:space="0" w:color="D5DEE8"/>
          <w:left w:val="single" w:sz="5" w:space="0" w:color="D5DEE8"/>
          <w:bottom w:val="single" w:sz="5" w:space="0" w:color="D5DEE8"/>
          <w:right w:val="single" w:sz="5" w:space="0" w:color="D5DEE8"/>
          <w:insideH w:val="single" w:sz="5" w:space="0" w:color="D5DEE8"/>
          <w:insideV w:val="single" w:sz="5" w:space="0" w:color="D5DEE8"/>
        </w:tblBorders>
      </w:tblPr>
      <w:tblGrid>
        <w:gridCol w:w="502920"/>
        <w:gridCol w:w="2514600"/>
        <w:gridCol w:w="3081528"/>
      </w:tblGrid>
      <w:tr>
        <w:trPr>
          <w:tblHeader w:val="on"/>
          <w:cantSplit/>
          <w:cantSplit/>
          <w:tblHeader w:val="true"/>
        </w:trPr>
        <w:tc>
          <w:tcPr>
            <w:tcW w:type="dxa" w:w="792"/>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Kol</w:t>
            </w:r>
          </w:p>
        </w:tc>
        <w:tc>
          <w:tcPr>
            <w:tcW w:type="dxa" w:w="3960"/>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Sistem</w:t>
            </w:r>
          </w:p>
        </w:tc>
        <w:tc>
          <w:tcPr>
            <w:tcW w:type="dxa" w:w="4853"/>
            <w:vAlign w:val="center"/>
            <w:tcMar>
              <w:top w:w="85" w:type="dxa"/>
              <w:start w:w="95" w:type="dxa"/>
              <w:bottom w:w="85" w:type="dxa"/>
              <w:end w:w="95" w:type="dxa"/>
            </w:tcMar>
            <w:shd w:fill="17365D" w:val="clear"/>
          </w:tcPr>
          <w:p>
            <w:pPr>
              <w:pStyle w:val="Compact"/>
              <w:widowControl/>
              <w:spacing w:before="0" w:after="0" w:line="240" w:lineRule="auto"/>
              <w:jc w:val="left"/>
            </w:pPr>
            <w:r>
              <w:rPr>
                <w:rFonts w:ascii="Liberation Sans" w:hAnsi="Liberation Sans" w:cs="Liberation Sans" w:eastAsia="Liberation Sans"/>
                <w:b/>
                <w:color w:val="FFFFFF"/>
                <w:sz w:val="17"/>
              </w:rPr>
              <w:t>Ölçülen katkı</w:t>
            </w:r>
          </w:p>
        </w:tc>
      </w:tr>
      <w:tr>
        <w:trPr>
          <w:cantSplit/>
          <w:cantSplit/>
        </w:trPr>
        <w:tc>
          <w:tcPr>
            <w:tcW w:type="dxa" w:w="792"/>
            <w:vAlign w:val="center"/>
            <w:tcMar>
              <w:top w:w="85" w:type="dxa"/>
              <w:start w:w="95" w:type="dxa"/>
              <w:bottom w:w="85" w:type="dxa"/>
              <w:end w:w="95" w:type="dxa"/>
            </w:tcMar>
            <w:shd w:fill="FFFFFF" w:val="clear"/>
          </w:tcPr>
          <w:p>
            <w:pPr>
              <w:pStyle w:val="Compact"/>
              <w:widowControl/>
              <w:spacing w:before="0" w:after="0" w:line="240" w:lineRule="auto"/>
              <w:jc w:val="center"/>
            </w:pPr>
            <w:r>
              <w:rPr>
                <w:rFonts w:ascii="Liberation Sans" w:hAnsi="Liberation Sans" w:cs="Liberation Sans" w:eastAsia="Liberation Sans"/>
                <w:color w:val="202A35"/>
                <w:sz w:val="16"/>
              </w:rPr>
              <w:t>A</w:t>
            </w:r>
          </w:p>
        </w:tc>
        <w:tc>
          <w:tcPr>
            <w:tcW w:type="dxa" w:w="3960"/>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Yalnızca yerel model</w:t>
            </w:r>
          </w:p>
        </w:tc>
        <w:tc>
          <w:tcPr>
            <w:tcW w:type="dxa" w:w="48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Parametrik taban çizgisi</w:t>
            </w:r>
          </w:p>
        </w:tc>
      </w:tr>
      <w:tr>
        <w:trPr>
          <w:cantSplit/>
          <w:cantSplit/>
        </w:trPr>
        <w:tc>
          <w:tcPr>
            <w:tcW w:type="dxa" w:w="792"/>
            <w:vAlign w:val="center"/>
            <w:tcMar>
              <w:top w:w="85" w:type="dxa"/>
              <w:start w:w="95" w:type="dxa"/>
              <w:bottom w:w="85" w:type="dxa"/>
              <w:end w:w="95" w:type="dxa"/>
            </w:tcMar>
            <w:shd w:fill="F4F7FA" w:val="clear"/>
          </w:tcPr>
          <w:p>
            <w:pPr>
              <w:pStyle w:val="Compact"/>
              <w:widowControl/>
              <w:spacing w:before="0" w:after="0" w:line="240" w:lineRule="auto"/>
              <w:jc w:val="center"/>
            </w:pPr>
            <w:r>
              <w:rPr>
                <w:rFonts w:ascii="Liberation Sans" w:hAnsi="Liberation Sans" w:cs="Liberation Sans" w:eastAsia="Liberation Sans"/>
                <w:color w:val="202A35"/>
                <w:sz w:val="16"/>
              </w:rPr>
              <w:t>B</w:t>
            </w:r>
          </w:p>
        </w:tc>
        <w:tc>
          <w:tcPr>
            <w:tcW w:type="dxa" w:w="3960"/>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Her bilgi sorusunda web RAG</w:t>
            </w:r>
          </w:p>
        </w:tc>
        <w:tc>
          <w:tcPr>
            <w:tcW w:type="dxa" w:w="48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Her zaman retrieval yapmanın fayda ve maliyeti</w:t>
            </w:r>
          </w:p>
        </w:tc>
      </w:tr>
      <w:tr>
        <w:trPr>
          <w:cantSplit/>
          <w:cantSplit/>
        </w:trPr>
        <w:tc>
          <w:tcPr>
            <w:tcW w:type="dxa" w:w="792"/>
            <w:vAlign w:val="center"/>
            <w:tcMar>
              <w:top w:w="85" w:type="dxa"/>
              <w:start w:w="95" w:type="dxa"/>
              <w:bottom w:w="85" w:type="dxa"/>
              <w:end w:w="95" w:type="dxa"/>
            </w:tcMar>
            <w:shd w:fill="FFFFFF" w:val="clear"/>
          </w:tcPr>
          <w:p>
            <w:pPr>
              <w:pStyle w:val="Compact"/>
              <w:widowControl/>
              <w:spacing w:before="0" w:after="0" w:line="240" w:lineRule="auto"/>
              <w:jc w:val="center"/>
            </w:pPr>
            <w:r>
              <w:rPr>
                <w:rFonts w:ascii="Liberation Sans" w:hAnsi="Liberation Sans" w:cs="Liberation Sans" w:eastAsia="Liberation Sans"/>
                <w:color w:val="202A35"/>
                <w:sz w:val="16"/>
              </w:rPr>
              <w:t>C</w:t>
            </w:r>
          </w:p>
        </w:tc>
        <w:tc>
          <w:tcPr>
            <w:tcW w:type="dxa" w:w="3960"/>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Adaptif web; kural tabanlı erken sorgu</w:t>
            </w:r>
          </w:p>
        </w:tc>
        <w:tc>
          <w:tcPr>
            <w:tcW w:type="dxa" w:w="48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Arama kararının ve erken başlatmanın katkısı</w:t>
            </w:r>
          </w:p>
        </w:tc>
      </w:tr>
      <w:tr>
        <w:trPr>
          <w:cantSplit/>
          <w:cantSplit/>
        </w:trPr>
        <w:tc>
          <w:tcPr>
            <w:tcW w:type="dxa" w:w="792"/>
            <w:vAlign w:val="center"/>
            <w:tcMar>
              <w:top w:w="85" w:type="dxa"/>
              <w:start w:w="95" w:type="dxa"/>
              <w:bottom w:w="85" w:type="dxa"/>
              <w:end w:w="95" w:type="dxa"/>
            </w:tcMar>
            <w:shd w:fill="F4F7FA" w:val="clear"/>
          </w:tcPr>
          <w:p>
            <w:pPr>
              <w:pStyle w:val="Compact"/>
              <w:widowControl/>
              <w:spacing w:before="0" w:after="0" w:line="240" w:lineRule="auto"/>
              <w:jc w:val="center"/>
            </w:pPr>
            <w:r>
              <w:rPr>
                <w:rFonts w:ascii="Liberation Sans" w:hAnsi="Liberation Sans" w:cs="Liberation Sans" w:eastAsia="Liberation Sans"/>
                <w:color w:val="202A35"/>
                <w:sz w:val="16"/>
              </w:rPr>
              <w:t>D</w:t>
            </w:r>
          </w:p>
        </w:tc>
        <w:tc>
          <w:tcPr>
            <w:tcW w:type="dxa" w:w="3960"/>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Adaptif web + çevrimdışı BM25 + önbellek + kanıt bütçesi + NLI</w:t>
            </w:r>
          </w:p>
        </w:tc>
        <w:tc>
          <w:tcPr>
            <w:tcW w:type="dxa" w:w="4853"/>
            <w:vAlign w:val="center"/>
            <w:tcMar>
              <w:top w:w="85" w:type="dxa"/>
              <w:start w:w="95" w:type="dxa"/>
              <w:bottom w:w="85" w:type="dxa"/>
              <w:end w:w="95" w:type="dxa"/>
            </w:tcMar>
            <w:shd w:fill="F4F7FA" w:val="clear"/>
          </w:tcPr>
          <w:p>
            <w:pPr>
              <w:pStyle w:val="Compact"/>
              <w:widowControl/>
              <w:spacing w:before="0" w:after="0" w:line="240" w:lineRule="auto"/>
              <w:jc w:val="left"/>
            </w:pPr>
            <w:r>
              <w:rPr>
                <w:rFonts w:ascii="Liberation Sans" w:hAnsi="Liberation Sans" w:cs="Liberation Sans" w:eastAsia="Liberation Sans"/>
                <w:color w:val="202A35"/>
                <w:sz w:val="16"/>
              </w:rPr>
              <w:t>Önerilen ürün hattı</w:t>
            </w:r>
          </w:p>
        </w:tc>
      </w:tr>
      <w:tr>
        <w:trPr>
          <w:cantSplit/>
          <w:cantSplit/>
        </w:trPr>
        <w:tc>
          <w:tcPr>
            <w:tcW w:type="dxa" w:w="792"/>
            <w:vAlign w:val="center"/>
            <w:tcMar>
              <w:top w:w="85" w:type="dxa"/>
              <w:start w:w="95" w:type="dxa"/>
              <w:bottom w:w="85" w:type="dxa"/>
              <w:end w:w="95" w:type="dxa"/>
            </w:tcMar>
            <w:shd w:fill="FFFFFF" w:val="clear"/>
          </w:tcPr>
          <w:p>
            <w:pPr>
              <w:pStyle w:val="Compact"/>
              <w:widowControl/>
              <w:spacing w:before="0" w:after="0" w:line="240" w:lineRule="auto"/>
              <w:jc w:val="center"/>
            </w:pPr>
            <w:r>
              <w:rPr>
                <w:rFonts w:ascii="Liberation Sans" w:hAnsi="Liberation Sans" w:cs="Liberation Sans" w:eastAsia="Liberation Sans"/>
                <w:color w:val="202A35"/>
                <w:sz w:val="16"/>
              </w:rPr>
              <w:t>E</w:t>
            </w:r>
          </w:p>
        </w:tc>
        <w:tc>
          <w:tcPr>
            <w:tcW w:type="dxa" w:w="3960"/>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CRAG-esinli ve Self-RAG-esinli referans uygulamalar</w:t>
            </w:r>
          </w:p>
        </w:tc>
        <w:tc>
          <w:tcPr>
            <w:tcW w:type="dxa" w:w="4853"/>
            <w:vAlign w:val="center"/>
            <w:tcMar>
              <w:top w:w="85" w:type="dxa"/>
              <w:start w:w="95" w:type="dxa"/>
              <w:bottom w:w="85" w:type="dxa"/>
              <w:end w:w="95" w:type="dxa"/>
            </w:tcMar>
            <w:shd w:fill="FFFFFF" w:val="clear"/>
          </w:tcPr>
          <w:p>
            <w:pPr>
              <w:pStyle w:val="Compact"/>
              <w:widowControl/>
              <w:spacing w:before="0" w:after="0" w:line="240" w:lineRule="auto"/>
              <w:jc w:val="left"/>
            </w:pPr>
            <w:r>
              <w:rPr>
                <w:rFonts w:ascii="Liberation Sans" w:hAnsi="Liberation Sans" w:cs="Liberation Sans" w:eastAsia="Liberation Sans"/>
                <w:color w:val="202A35"/>
                <w:sz w:val="16"/>
              </w:rPr>
              <w:t>Mevcut yöntem ailelerine göre katkı</w:t>
            </w:r>
          </w:p>
        </w:tc>
      </w:tr>
    </w:tbl>
    <w:p>
      <w:pPr>
        <w:pStyle w:val="BodyText"/>
      </w:pPr>
      <w:r>
        <w:t>E kolu, özgün CRAG veya Self-RAG uygulamasının birebir yeniden üretimi olarak adlandırılmaz; küçük model ve cihaz kısıtına uyarlanmış esinli bir reimplementasyondur [1, 2]. Karşılaştırma,</w:t>
      </w:r>
      <w:r>
        <w:t xml:space="preserve"> </w:t>
      </w:r>
      <w:r>
        <w:t>“</w:t>
      </w:r>
      <w:r>
        <w:t>D mutlaka kazanır</w:t>
      </w:r>
      <w:r>
        <w:t>”</w:t>
      </w:r>
      <w:r>
        <w:t xml:space="preserve"> </w:t>
      </w:r>
      <w:r>
        <w:t>varsayımıyla yürütülmez.</w:t>
      </w:r>
    </w:p>
    <w:p>
      <w:pPr>
        <w:pStyle w:val="BodyText"/>
      </w:pPr>
      <w:r>
        <w:t>Zamana duyarlı değerlendirmede FreshQA’nın deney başlangıcında tarihli bir sürümü sabitlenir; dosyanın SHA-256 özeti, indirme tarihi ve kod sürümü kaydedilir [3]. Aynı sorular bütün kollara uygulanır. Buna ek olarak 50–100 yeni, güncel bilgi gerektiren soru hazırlanır; cevap anahtarı modele verilmez. Strict ve relaxed skorlar ile yanlış öncüllü sorular ayrı raporlanır.</w:t>
      </w:r>
    </w:p>
    <w:p>
      <w:pPr>
        <w:pStyle w:val="BodyText"/>
      </w:pPr>
      <w:r>
        <w:t>Birlikte raporlanacak metrikler: cevap doğruluğu ve tazeliği; destek kesinliği ve önemli iddia kapsamı; TTFT ve toplam süre (p50/p95); arama sayısı; transfer edilen bayt; kanıt token sayısı; model çağrısı sayısı; tepe RSS; hassas alanların dışarı gönderilme oranı; enjeksiyon sonuçları; sorgu başına maliyet ve önbellek isabet oranıdır.</w:t>
      </w:r>
    </w:p>
    <w:bookmarkEnd w:id="38"/>
    <w:bookmarkStart w:id="39" w:name="karar-kapıları-ve-geliştirme-sırası"/>
    <w:p>
      <w:pPr>
        <w:pStyle w:val="Heading1"/>
        <w:keepNext/>
        <w:keepLines/>
      </w:pPr>
      <w:r>
        <w:t>9. Karar kapıları ve geliştirme sırası</w:t>
      </w:r>
    </w:p>
    <w:p>
      <w:pPr>
        <w:pStyle w:val="FirstParagraph"/>
      </w:pPr>
      <w:r>
        <w:t>LATCH-Web için önerilen geliştirme sırası, maliyetli ve emek yoğun değerlendirmelerden önce temel uygulanabilirliği sınamaktır.</w:t>
      </w:r>
    </w:p>
    <w:p>
      <w:pPr>
        <w:pStyle w:val="BodyText"/>
      </w:pPr>
      <w:r>
        <w:rPr>
          <w:b/>
          <w:bCs/>
        </w:rPr>
        <w:t>Kapı 0A — Yapılandırılmış çıktı ve NLI adayı.</w:t>
      </w:r>
      <w:r>
        <w:t xml:space="preserve"> </w:t>
      </w:r>
      <w:r>
        <w:t>İlk hafta, en küçük hedef model 50–100 gerçekçi istem üzerinde test edilir. Şema geçerliliği, var olmayan</w:t>
      </w:r>
      <w:r>
        <w:t xml:space="preserve"> </w:t>
      </w:r>
      <w:r>
        <w:rPr>
          <w:rStyle w:val="VerbatimChar"/>
        </w:rPr>
        <w:t>source_id</w:t>
      </w:r>
      <w:r>
        <w:t xml:space="preserve"> </w:t>
      </w:r>
      <w:r>
        <w:t>oranı, insan etiketli anlamsal atıf hatası, önemli iddia kapsamı ve ek gecikme ölçülür. Başlangıç eşiği olarak anlamsal yanlış atıf oranının %10 veya altında, iddia kapsamının en az %70 olması önerilir. Bu küçük örneklem karar için düşük çözünürlüklüdür; sonuç temkinli yorumlanır.</w:t>
      </w:r>
    </w:p>
    <w:p>
      <w:pPr>
        <w:pStyle w:val="BodyText"/>
      </w:pPr>
      <w:r>
        <w:rPr>
          <w:b/>
          <w:bCs/>
        </w:rPr>
        <w:t>Kapı 0B — Cihaz, indeks ve sağlayıcı.</w:t>
      </w:r>
      <w:r>
        <w:t xml:space="preserve"> </w:t>
      </w:r>
      <w:r>
        <w:t>2 GB ve 4 GB sınıflarında RSS ölçülür; çevrimdışı BM25 sınanır; iki sağlayıcının gecikme, hata ve maliyet ölçümleri kaydedilir. Erken aramanın gerçekten ne kadar bekleme kazandırdığı ve hangi oranda soruda güvenle kullanılabildiği ölçülür. Saklama politikası net olmayan sağlayıcıyla kalıcı önbellek veya kalite benchmark’ı yapılmaz.</w:t>
      </w:r>
    </w:p>
    <w:p>
      <w:pPr>
        <w:pStyle w:val="BodyText"/>
      </w:pPr>
      <w:r>
        <w:rPr>
          <w:b/>
          <w:bCs/>
        </w:rPr>
        <w:t>Kapı 1 — A/B/C ve küçük FreshQA.</w:t>
      </w:r>
      <w:r>
        <w:t xml:space="preserve"> </w:t>
      </w:r>
      <w:r>
        <w:t>Sabitlenmiş 100–200 soruluk ilk kıyas yapılır. Kalite, gecikme, arama sayısı, kanıt tokenları, RSS ve maliyet raporlanır. Önerilen sistemin kazanacağı varsayılmaz.</w:t>
      </w:r>
    </w:p>
    <w:p>
      <w:pPr>
        <w:pStyle w:val="BodyText"/>
      </w:pPr>
      <w:r>
        <w:rPr>
          <w:b/>
          <w:bCs/>
        </w:rPr>
        <w:t>Kapı 2 — D ve E.</w:t>
      </w:r>
      <w:r>
        <w:t xml:space="preserve"> </w:t>
      </w:r>
      <w:r>
        <w:t>İlk karşılaştırma zayıfsa yeni özellik eklenmez; darboğaz belirlenir ve giderilir. Başarılı sonuçlar, mevcut yöntem ailelerine göre gerçek katkıyı görmek amacıyla referans uygulamalarla karşılaştırılır.</w:t>
      </w:r>
    </w:p>
    <w:p>
      <w:pPr>
        <w:pStyle w:val="BodyText"/>
      </w:pPr>
      <w:r>
        <w:rPr>
          <w:b/>
          <w:bCs/>
        </w:rPr>
        <w:t>Kapı 3 — Geniş insan etiketleme ve tam red-team.</w:t>
      </w:r>
      <w:r>
        <w:t xml:space="preserve"> </w:t>
      </w:r>
      <w:r>
        <w:t>Önceki kapılar geçildiyse en az 300 önemli iddia ve en az 300 güvenlik vakasıyla kapsamlı değerlendirme yapılır. Soru kümelenmesi istatistikte hesaba katılır.</w:t>
      </w:r>
    </w:p>
    <w:p>
      <w:pPr>
        <w:pStyle w:val="BodyText"/>
      </w:pPr>
      <w:r>
        <w:t>Bu sıralama, tüm veri etiketleme ve red-team maliyetini daha erken teknik testler başarısızsa harcamamayı amaçlar.</w:t>
      </w:r>
    </w:p>
    <w:bookmarkEnd w:id="39"/>
    <w:bookmarkStart w:id="43" w:name="ayrı-araştırma-hattı-latch-core"/>
    <w:p>
      <w:pPr>
        <w:pStyle w:val="Heading1"/>
        <w:keepNext/>
        <w:keepLines/>
      </w:pPr>
      <w:r>
        <w:t>10. Ayrı araştırma hattı: LATCH-Core</w:t>
      </w:r>
    </w:p>
    <w:p>
      <w:pPr>
        <w:pStyle w:val="FirstParagraph"/>
      </w:pPr>
      <w:r>
        <w:t>LATCH-Core, LATCH-Web’in çalışması için gerekli değildir. Bu hat, döngülü küçük bir modelin hesaplama adımları sırasında flash depolamadaki state-adresli soğuk belleğe erişip erişemeyeceğini ve I/O gecikmesini hesaplamanın arkasında ne ölçüde gizleyebileceğini araştırır.</w:t>
      </w:r>
    </w:p>
    <w:bookmarkStart w:id="40" w:name="daraltılmış-hipotez"/>
    <w:p>
      <w:pPr>
        <w:pStyle w:val="Heading2"/>
        <w:keepNext/>
        <w:keepLines/>
      </w:pPr>
      <w:r>
        <w:t>10.1. Daraltılmış hipotez</w:t>
      </w:r>
    </w:p>
    <w:p>
      <w:pPr>
        <w:pStyle w:val="FirstParagraph"/>
      </w:pPr>
      <w:r>
        <w:t>Eşit yerleşik bayt ve eşit token başına dokunulan bayt altında, küçük döngülü bir çekirdeğin; (a) token veya latent adresli tablolarla ve (b) hidden-state adresli, flash’taki soğuk bellekle birleştirilmiş hâlinin, yalnızca token-adresli bellek ve düz küçük yoğun modele kıyasla daha iyi kalite sağlayıp sağlamadığı test edilir. Bu bir hipotezdir; mevcut sonuç değildir.</w:t>
      </w:r>
    </w:p>
    <w:p>
      <w:pPr>
        <w:pStyle w:val="BodyText"/>
      </w:pPr>
      <w:r>
        <w:t>İlgili araştırma alanları arasında Engram, Lngram, Gemma 3n Per-Layer Embeddings, memory layers, Ouro/MELT, Predictive Prefetching ve PowerInfer-2 bulunur [7–11]. Dolayısıyla özgünlük iddiası</w:t>
      </w:r>
      <w:r>
        <w:t xml:space="preserve"> </w:t>
      </w:r>
      <w:r>
        <w:t>“</w:t>
      </w:r>
      <w:r>
        <w:t>harici bellek kullanmak</w:t>
      </w:r>
      <w:r>
        <w:t>”</w:t>
      </w:r>
      <w:r>
        <w:t xml:space="preserve"> </w:t>
      </w:r>
      <w:r>
        <w:t>veya</w:t>
      </w:r>
      <w:r>
        <w:t xml:space="preserve"> </w:t>
      </w:r>
      <w:r>
        <w:t>“</w:t>
      </w:r>
      <w:r>
        <w:t>prefetch yapmak</w:t>
      </w:r>
      <w:r>
        <w:t>”</w:t>
      </w:r>
      <w:r>
        <w:t xml:space="preserve"> </w:t>
      </w:r>
      <w:r>
        <w:t>üzerine kurulamaz. Olası katkı; ölçülen I/O gecikme dağılımından prefetch mesafesi çıkarmak, gerçekçi varış gecikmesini eğitimde simüle etmek ve mekanizmayı mobil flash üzerinde doğrulamaktır. Güncel ve kapsamlı literatür taraması yapılmadan bu katkının özgün olduğu ilan edilmez.</w:t>
      </w:r>
    </w:p>
    <w:bookmarkEnd w:id="40"/>
    <w:bookmarkStart w:id="41" w:name="önden-getirme-mesafesi"/>
    <w:p>
      <w:pPr>
        <w:pStyle w:val="Heading2"/>
        <w:keepNext/>
        <w:keepLines/>
      </w:pPr>
      <w:r>
        <w:t>10.2. Önden getirme mesafesi</w:t>
      </w:r>
    </w:p>
    <w:p>
      <w:pPr>
        <w:pStyle w:val="FirstParagraph"/>
      </w:pPr>
      <w:r>
        <w:t>Başlangıç politikası, ölçülen p95 I/O gecikmesini bir döngünün hesaplama süresiyle ilişkilendirir:</w:t>
      </w:r>
    </w:p>
    <w:p>
      <w:pPr>
        <w:pStyle w:val="BodyText"/>
        <w:keepLines/>
        <w:spacing w:before="100" w:after="100"/>
        <w:ind w:left="504" w:right="504"/>
        <w:jc w:val="center"/>
        <w:shd w:fill="EAF2F8" w:val="clear"/>
        <w:pBdr>
          <w:left w:val="single" w:sz="16" w:space="6" w:color="147D92"/>
        </w:pBdr>
      </w:pPr>
      <w:r>
        <w:rPr>
          <w:rFonts w:ascii="Liberation Sans" w:hAnsi="Liberation Sans" w:cs="Liberation Sans" w:eastAsia="Liberation Sans"/>
          <w:b/>
          <w:color w:val="17365D"/>
          <w:sz w:val="20"/>
        </w:rPr>
        <w:t>L = min(max(ceil(T_io95 / T_loop), 1), L_max)</w:t>
      </w:r>
    </w:p>
    <w:p>
      <w:pPr>
        <w:pStyle w:val="BodyText"/>
        <w:spacing w:before="60" w:after="140"/>
        <w:jc w:val="both"/>
      </w:pPr>
      <w:r>
        <w:rPr>
          <w:rFonts w:ascii="Liberation Serif" w:hAnsi="Liberation Serif" w:cs="Liberation Serif" w:eastAsia="Liberation Serif"/>
          <w:i w:val="0"/>
          <w:color w:val="202A35"/>
          <w:sz w:val="20"/>
        </w:rPr>
        <w:t xml:space="preserve">Burada </w:t>
      </w:r>
      <w:r>
        <w:rPr>
          <w:rFonts w:ascii="Liberation Serif" w:hAnsi="Liberation Serif" w:cs="Liberation Serif" w:eastAsia="Liberation Serif"/>
          <w:i/>
          <w:color w:val="202A35"/>
          <w:sz w:val="20"/>
        </w:rPr>
        <w:t>T_io95</w:t>
      </w:r>
      <w:r>
        <w:rPr>
          <w:rFonts w:ascii="Liberation Serif" w:hAnsi="Liberation Serif" w:cs="Liberation Serif" w:eastAsia="Liberation Serif"/>
          <w:i w:val="0"/>
          <w:color w:val="202A35"/>
          <w:sz w:val="20"/>
        </w:rPr>
        <w:t xml:space="preserve"> ölçülen p95 I/O süresi, </w:t>
      </w:r>
      <w:r>
        <w:rPr>
          <w:rFonts w:ascii="Liberation Serif" w:hAnsi="Liberation Serif" w:cs="Liberation Serif" w:eastAsia="Liberation Serif"/>
          <w:i/>
          <w:color w:val="202A35"/>
          <w:sz w:val="20"/>
        </w:rPr>
        <w:t>T_loop</w:t>
      </w:r>
      <w:r>
        <w:rPr>
          <w:rFonts w:ascii="Liberation Serif" w:hAnsi="Liberation Serif" w:cs="Liberation Serif" w:eastAsia="Liberation Serif"/>
          <w:i w:val="0"/>
          <w:color w:val="202A35"/>
          <w:sz w:val="20"/>
        </w:rPr>
        <w:t xml:space="preserve"> bir hesaplama döngüsünün süresi ve </w:t>
      </w:r>
      <w:r>
        <w:rPr>
          <w:rFonts w:ascii="Liberation Serif" w:hAnsi="Liberation Serif" w:cs="Liberation Serif" w:eastAsia="Liberation Serif"/>
          <w:i/>
          <w:color w:val="202A35"/>
          <w:sz w:val="20"/>
        </w:rPr>
        <w:t>L</w:t>
      </w:r>
      <w:r>
        <w:rPr>
          <w:rFonts w:ascii="Liberation Serif" w:hAnsi="Liberation Serif" w:cs="Liberation Serif" w:eastAsia="Liberation Serif"/>
          <w:i w:val="0"/>
          <w:color w:val="202A35"/>
          <w:sz w:val="20"/>
        </w:rPr>
        <w:t xml:space="preserve"> önden getirme mesafesidir. Gerekli mesafe </w:t>
      </w:r>
      <w:r>
        <w:rPr>
          <w:rFonts w:ascii="Liberation Serif" w:hAnsi="Liberation Serif" w:cs="Liberation Serif" w:eastAsia="Liberation Serif"/>
          <w:i/>
          <w:color w:val="202A35"/>
          <w:sz w:val="20"/>
        </w:rPr>
        <w:t>L_max</w:t>
      </w:r>
      <w:r>
        <w:rPr>
          <w:rFonts w:ascii="Liberation Serif" w:hAnsi="Liberation Serif" w:cs="Liberation Serif" w:eastAsia="Liberation Serif"/>
          <w:i w:val="0"/>
          <w:color w:val="202A35"/>
          <w:sz w:val="20"/>
        </w:rPr>
        <w:t>’i aşarsa söz konusu kayıt için mekanizma kapatılır ve RAM önbelleğine düşülür. Modelde deterministik değerlendirme modu, kayıtların sabit varış takvimiyle kullanılmasına olanak verir. Böylece sonuçlar duvar saati dalgalanmalarından bağımsız karşılaştırılabilir.</w:t>
      </w:r>
    </w:p>
    <w:bookmarkEnd w:id="41"/>
    <w:bookmarkStart w:id="42" w:name="latch-core-karar-kapıları"/>
    <w:p>
      <w:pPr>
        <w:pStyle w:val="Heading2"/>
        <w:keepNext/>
        <w:keepLines/>
      </w:pPr>
      <w:r>
        <w:t>10.3. LATCH-Core karar kapıları</w:t>
      </w:r>
    </w:p>
    <w:p>
      <w:pPr>
        <w:pStyle w:val="Compact"/>
        <w:numPr>
          <w:ilvl w:val="0"/>
          <w:numId w:val="1005"/>
        </w:numPr>
      </w:pPr>
      <w:r>
        <w:rPr>
          <w:b/>
          <w:bCs/>
        </w:rPr>
        <w:t>R0 — Donanım gerçeği:</w:t>
      </w:r>
      <w:r>
        <w:t xml:space="preserve"> </w:t>
      </w:r>
      <w:r>
        <w:t>Eğitim yapılmadan 4, 8, 64 ve 256 KB sıralı ve rastgele okumaların p50/p95/p99 gecikmeleri, eşzamanlı hesaplama, CPU frekansı ve termal etkiler ölçülür. Başarısızlık durumunda daha büyük sayfalı erken prefetch veya RAM ağırlıklı önbellek seçeneğine dönülür.</w:t>
      </w:r>
    </w:p>
    <w:p>
      <w:pPr>
        <w:pStyle w:val="Compact"/>
        <w:numPr>
          <w:ilvl w:val="0"/>
          <w:numId w:val="1005"/>
        </w:numPr>
      </w:pPr>
      <w:r>
        <w:rPr>
          <w:b/>
          <w:bCs/>
        </w:rPr>
        <w:t>R1 — Sentetik bilgi görevi:</w:t>
      </w:r>
      <w:r>
        <w:t xml:space="preserve"> </w:t>
      </w:r>
      <w:r>
        <w:t>Yaklaşık 100M parametre ölçeğinde gecikme 0/1/2, tablo bit/parametre ve yoğun model taban çizgisi kıyaslanır.</w:t>
      </w:r>
    </w:p>
    <w:p>
      <w:pPr>
        <w:pStyle w:val="Compact"/>
        <w:numPr>
          <w:ilvl w:val="0"/>
          <w:numId w:val="1005"/>
        </w:numPr>
      </w:pPr>
      <w:r>
        <w:rPr>
          <w:b/>
          <w:bCs/>
        </w:rPr>
        <w:t>R2 — Döngünün katkısı:</w:t>
      </w:r>
      <w:r>
        <w:t xml:space="preserve"> </w:t>
      </w:r>
      <w:r>
        <w:t>Aynı bellek aracısı ve öngörücü, döngüsüz SSM çekirdeğiyle benzer sonucu veriyor mu? Veriyorsa döngü mekanizmasının bağımsız katkısı yoktur.</w:t>
      </w:r>
    </w:p>
    <w:p>
      <w:pPr>
        <w:pStyle w:val="Compact"/>
        <w:numPr>
          <w:ilvl w:val="0"/>
          <w:numId w:val="1005"/>
        </w:numPr>
      </w:pPr>
      <w:r>
        <w:rPr>
          <w:b/>
          <w:bCs/>
        </w:rPr>
        <w:t>R3 — Eşit kaynak karşılaştırması:</w:t>
      </w:r>
      <w:r>
        <w:t xml:space="preserve"> </w:t>
      </w:r>
      <w:r>
        <w:t>Aynı yerleşik RAM ve token başına dokunulan bayt altında uygun LFM2, BitNet b1.58 2B4T, Gemma 3n E2B sınıfı taban çizgileri ve Engram/Lngram tarzı tablolara karşı kalite–bayt Pareto eğrisi ölçülür. Kuantizasyon en son eklenir.</w:t>
      </w:r>
    </w:p>
    <w:p>
      <w:pPr>
        <w:pStyle w:val="FirstParagraph"/>
      </w:pPr>
      <w:r>
        <w:t>Her aşama önceki aşamaya göre ölçülebilir kalite–kaynak iyileşmesi göstermeden bir sonraki aşamaya geçilmez.</w:t>
      </w:r>
    </w:p>
    <w:bookmarkEnd w:id="42"/>
    <w:bookmarkEnd w:id="43"/>
    <w:bookmarkStart w:id="44" w:name="sınırlılıklar-ve-geçerlilik-tehditleri"/>
    <w:p>
      <w:pPr>
        <w:pStyle w:val="Heading1"/>
        <w:keepNext/>
        <w:keepLines/>
      </w:pPr>
      <w:r>
        <w:t>11. Sınırlılıklar ve geçerlilik tehditleri</w:t>
      </w:r>
    </w:p>
    <w:p>
      <w:pPr>
        <w:pStyle w:val="FirstParagraph"/>
      </w:pPr>
      <w:r>
        <w:t>Bu çalışma bir tasarım ve değerlendirme protokolüdür; uygulama sonuçları sunmaz. Bu nedenle 2 GB cihazda çalışabilirlik, belirli token/s hedefi, %95 destek kesinliği veya güvenlik testlerini geçme durumu kanıtlanmış değildir.</w:t>
      </w:r>
    </w:p>
    <w:p>
      <w:pPr>
        <w:pStyle w:val="BodyText"/>
      </w:pPr>
      <w:r>
        <w:t>Başlıca riskler şunlardır:</w:t>
      </w:r>
    </w:p>
    <w:p>
      <w:pPr>
        <w:pStyle w:val="Compact"/>
        <w:numPr>
          <w:ilvl w:val="0"/>
          <w:numId w:val="1006"/>
        </w:numPr>
      </w:pPr>
      <w:r>
        <w:rPr>
          <w:b/>
          <w:bCs/>
        </w:rPr>
        <w:t>Bellek baskısı:</w:t>
      </w:r>
      <w:r>
        <w:t xml:space="preserve"> </w:t>
      </w:r>
      <w:r>
        <w:t>Modelin, NLI denetçisinin, ağ tamponlarının ve indeksin toplam RSS’si hedefi aşabilir. Cihaz sınıfı gerekirse daraltılmalıdır.</w:t>
      </w:r>
    </w:p>
    <w:p>
      <w:pPr>
        <w:pStyle w:val="Compact"/>
        <w:numPr>
          <w:ilvl w:val="0"/>
          <w:numId w:val="1006"/>
        </w:numPr>
      </w:pPr>
      <w:r>
        <w:rPr>
          <w:b/>
          <w:bCs/>
        </w:rPr>
        <w:t>Denetçi yanlılığı ve hatası:</w:t>
      </w:r>
      <w:r>
        <w:t xml:space="preserve"> </w:t>
      </w:r>
      <w:r>
        <w:t>NLI sınıflandırıcısı destek kararlarında sistematik hata yapabilir. İnsan etiketli test ve bağımsız test kümesi zorunludur.</w:t>
      </w:r>
    </w:p>
    <w:p>
      <w:pPr>
        <w:pStyle w:val="Compact"/>
        <w:numPr>
          <w:ilvl w:val="0"/>
          <w:numId w:val="1006"/>
        </w:numPr>
      </w:pPr>
      <w:r>
        <w:rPr>
          <w:b/>
          <w:bCs/>
        </w:rPr>
        <w:t>Web kaynaklarının lisansı ve gizliliği:</w:t>
      </w:r>
      <w:r>
        <w:t xml:space="preserve"> </w:t>
      </w:r>
      <w:r>
        <w:t>API şartları değişebilir. Canlı dağıtımdan önce birincil kaynaklardan tekrar kontrol gerekir.</w:t>
      </w:r>
    </w:p>
    <w:p>
      <w:pPr>
        <w:pStyle w:val="Compact"/>
        <w:numPr>
          <w:ilvl w:val="0"/>
          <w:numId w:val="1006"/>
        </w:numPr>
      </w:pPr>
      <w:r>
        <w:rPr>
          <w:b/>
          <w:bCs/>
        </w:rPr>
        <w:t>Arama tazeliği ve kapsaması:</w:t>
      </w:r>
      <w:r>
        <w:t xml:space="preserve"> </w:t>
      </w:r>
      <w:r>
        <w:t>Kısıtlı sorgu/token bütçesi cevabın eksik kalmasına neden olabilir. Sistem yetersiz kanıtta belirsizliği belirtmelidir.</w:t>
      </w:r>
    </w:p>
    <w:p>
      <w:pPr>
        <w:pStyle w:val="Compact"/>
        <w:numPr>
          <w:ilvl w:val="0"/>
          <w:numId w:val="1006"/>
        </w:numPr>
      </w:pPr>
      <w:r>
        <w:rPr>
          <w:b/>
          <w:bCs/>
        </w:rPr>
        <w:t>Prompt injection:</w:t>
      </w:r>
      <w:r>
        <w:t xml:space="preserve"> </w:t>
      </w:r>
      <w:r>
        <w:t>Küçük modellerdeki güvenlik sonuçları ayrıca ölçülmelidir. Filtre veya test başarıları mutlak garanti değildir.</w:t>
      </w:r>
    </w:p>
    <w:p>
      <w:pPr>
        <w:pStyle w:val="Compact"/>
        <w:numPr>
          <w:ilvl w:val="0"/>
          <w:numId w:val="1006"/>
        </w:numPr>
      </w:pPr>
      <w:r>
        <w:rPr>
          <w:b/>
          <w:bCs/>
        </w:rPr>
        <w:t>LATCH-Core’un donanım bağımlılığı:</w:t>
      </w:r>
      <w:r>
        <w:t xml:space="preserve"> </w:t>
      </w:r>
      <w:r>
        <w:t>Flash I/O zamanlaması uygun değilse çekirdek hipotez başarısız olabilir.</w:t>
      </w:r>
    </w:p>
    <w:p>
      <w:pPr>
        <w:pStyle w:val="Compact"/>
        <w:numPr>
          <w:ilvl w:val="0"/>
          <w:numId w:val="1006"/>
        </w:numPr>
      </w:pPr>
      <w:r>
        <w:rPr>
          <w:b/>
          <w:bCs/>
        </w:rPr>
        <w:t>Literatürün tamamlanmamış olması:</w:t>
      </w:r>
      <w:r>
        <w:t xml:space="preserve"> </w:t>
      </w:r>
      <w:r>
        <w:t>Kaynak listesi tasarımı konumlandırmak içindir; eksiksiz sistematik tarama veya özgünlük kanıtı olarak görülmemelidir.</w:t>
      </w:r>
    </w:p>
    <w:bookmarkEnd w:id="44"/>
    <w:bookmarkStart w:id="45" w:name="sonuç"/>
    <w:p>
      <w:pPr>
        <w:pStyle w:val="Heading1"/>
        <w:keepNext/>
        <w:keepLines/>
      </w:pPr>
      <w:r>
        <w:t>12. Sonuç</w:t>
      </w:r>
    </w:p>
    <w:p>
      <w:pPr>
        <w:pStyle w:val="FirstParagraph"/>
      </w:pPr>
      <w:r>
        <w:t>LATCH, iki farklı problemi ayrı ayrı ele alan bir tasarım önerisidir. LATCH-Web; küçük bir yerel modeli çevrimdışı bilgi paketi, sınırlı canlı web araması, RAM önbelleği ve bağımsız kanıt desteği denetçisiyle birleştiren bir ürün mimarisi sunar. Gizlilik sınıfları, kanıt token bütçeleri, RSS hedefleri, hata davranışları ve karar kapıları sistemin yalnızca işlevsel değil, ölçülebilir ve denetlenebilir olmasını amaçlar.</w:t>
      </w:r>
    </w:p>
    <w:p>
      <w:pPr>
        <w:pStyle w:val="BodyText"/>
      </w:pPr>
      <w:r>
        <w:t>LATCH-Core ise döngülü hesaplamanın soğuk flash belleğe erişimi gizlemek için kullanılabileceği hipotezini ayırır. Bu araştırma ancak eşit bellek ve veri trafiği koşullarında ölçülebilir bir kalite avantajı göstermesi hâlinde başarılı sayılmalıdır.</w:t>
      </w:r>
    </w:p>
    <w:p>
      <w:pPr>
        <w:pStyle w:val="BodyText"/>
      </w:pPr>
      <w:r>
        <w:t>Bu nedenle LATCH’nın temel katkısı, performans iddiasında bulunmak değil; düşük kaynaklı cihazlarda bilgi erişimi ile yerel muhakemeyi birleştiren, bütçeleri açık, başarısızlık durumları tanımlı ve deneylerle yanlışlanabilir bir geliştirme çerçevesi sunmaktır. İlk pratik adım, özel bir model eğitmek değil; en küçük hedef modelde iddia-kaynak eşlemesini ve NLI denetçisini ölçmek, ardından RSS ve web sağlayıcısı testlerini gerçek cihazda gerçekleştirmektir.</w:t>
      </w:r>
    </w:p>
    <w:bookmarkEnd w:id="45"/>
    <w:bookmarkStart w:id="46" w:name="kaynakça"/>
    <w:p>
      <w:pPr>
        <w:pStyle w:val="Heading1"/>
        <w:keepNext/>
        <w:keepLines/>
        <w:pageBreakBefore/>
      </w:pPr>
      <w:r>
        <w:t>Kaynakça</w:t>
      </w:r>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Self-RAG.</w:t>
      </w:r>
      <w:r>
        <w:rPr>
          <w:rFonts w:ascii="Liberation Serif" w:hAnsi="Liberation Serif" w:cs="Liberation Serif" w:eastAsia="Liberation Serif"/>
          <w:color w:val="202A35"/>
          <w:sz w:val="18"/>
        </w:rPr>
        <w:t xml:space="preserve"> Self-RAG: Learning to Retrieve, Generate, and Critique through Self-Reflection. arXiv:2310.11511. </w:t>
      </w:r>
      <w:hyperlink r:id="rId9">
        <w:r>
          <w:rPr>
            <w:rStyle w:val="Hyperlink"/>
            <w:color w:val="2F5597"/>
            <w:u w:val="single"/>
            <w:rFonts w:ascii="Liberation Sans" w:hAnsi="Liberation Sans"/>
          </w:rPr>
          <w:t>https://arxiv.org/abs/2310.11511</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CRAG.</w:t>
      </w:r>
      <w:r>
        <w:rPr>
          <w:rFonts w:ascii="Liberation Serif" w:hAnsi="Liberation Serif" w:cs="Liberation Serif" w:eastAsia="Liberation Serif"/>
          <w:color w:val="202A35"/>
          <w:sz w:val="18"/>
        </w:rPr>
        <w:t xml:space="preserve"> Corrective Retrieval Augmented Generation. arXiv:2401.15884. </w:t>
      </w:r>
      <w:hyperlink r:id="rId10">
        <w:r>
          <w:rPr>
            <w:rStyle w:val="Hyperlink"/>
            <w:color w:val="2F5597"/>
            <w:u w:val="single"/>
            <w:rFonts w:ascii="Liberation Sans" w:hAnsi="Liberation Sans"/>
          </w:rPr>
          <w:t>https://arxiv.org/abs/2401.15884</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FreshLLMs / FreshQA.</w:t>
      </w:r>
      <w:r>
        <w:rPr>
          <w:rFonts w:ascii="Liberation Serif" w:hAnsi="Liberation Serif" w:cs="Liberation Serif" w:eastAsia="Liberation Serif"/>
          <w:color w:val="202A35"/>
          <w:sz w:val="18"/>
        </w:rPr>
        <w:t xml:space="preserve"> FreshLLMs ve FreshQA kaynakları. ACL Anthology: </w:t>
      </w:r>
      <w:hyperlink r:id="rId11">
        <w:r>
          <w:rPr>
            <w:rStyle w:val="Hyperlink"/>
            <w:color w:val="2F5597"/>
            <w:u w:val="single"/>
            <w:rFonts w:ascii="Liberation Sans" w:hAnsi="Liberation Sans"/>
          </w:rPr>
          <w:t>https://aclanthology.org/2024.findings-acl.813/</w:t>
        </w:r>
      </w:hyperlink>
      <w:r>
        <w:rPr>
          <w:rFonts w:ascii="Liberation Serif" w:hAnsi="Liberation Serif" w:cs="Liberation Serif" w:eastAsia="Liberation Serif"/>
          <w:color w:val="202A35"/>
          <w:sz w:val="18"/>
        </w:rPr>
        <w:t xml:space="preserve"> ; veri kümesi: </w:t>
      </w:r>
      <w:hyperlink r:id="rId12">
        <w:r>
          <w:rPr>
            <w:rStyle w:val="Hyperlink"/>
            <w:color w:val="2F5597"/>
            <w:u w:val="single"/>
            <w:rFonts w:ascii="Liberation Sans" w:hAnsi="Liberation Sans"/>
          </w:rPr>
          <w:t>https://github.com/freshllms/freshqa</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OWASP.</w:t>
      </w:r>
      <w:r>
        <w:rPr>
          <w:rFonts w:ascii="Liberation Serif" w:hAnsi="Liberation Serif" w:cs="Liberation Serif" w:eastAsia="Liberation Serif"/>
          <w:color w:val="202A35"/>
          <w:sz w:val="18"/>
        </w:rPr>
        <w:t xml:space="preserve"> RAG Security Cheat Sheet. </w:t>
      </w:r>
      <w:hyperlink r:id="rId13">
        <w:r>
          <w:rPr>
            <w:rStyle w:val="Hyperlink"/>
            <w:color w:val="2F5597"/>
            <w:u w:val="single"/>
            <w:rFonts w:ascii="Liberation Sans" w:hAnsi="Liberation Sans"/>
          </w:rPr>
          <w:t>https://cheatsheetseries.owasp.org/cheatsheets/RAG_Security_Cheat_Sheet.html</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SQLite.</w:t>
      </w:r>
      <w:r>
        <w:rPr>
          <w:rFonts w:ascii="Liberation Serif" w:hAnsi="Liberation Serif" w:cs="Liberation Serif" w:eastAsia="Liberation Serif"/>
          <w:color w:val="202A35"/>
          <w:sz w:val="18"/>
        </w:rPr>
        <w:t xml:space="preserve"> FTS5 Extension. </w:t>
      </w:r>
      <w:hyperlink r:id="rId14">
        <w:r>
          <w:rPr>
            <w:rStyle w:val="Hyperlink"/>
            <w:color w:val="2F5597"/>
            <w:u w:val="single"/>
            <w:rFonts w:ascii="Liberation Sans" w:hAnsi="Liberation Sans"/>
          </w:rPr>
          <w:t>https://www.sqlite.org/fts5.html</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llama.cpp.</w:t>
      </w:r>
      <w:r>
        <w:rPr>
          <w:rFonts w:ascii="Liberation Serif" w:hAnsi="Liberation Serif" w:cs="Liberation Serif" w:eastAsia="Liberation Serif"/>
          <w:color w:val="202A35"/>
          <w:sz w:val="18"/>
        </w:rPr>
        <w:t xml:space="preserve"> GBNF grammar documentation. </w:t>
      </w:r>
      <w:hyperlink r:id="rId15">
        <w:r>
          <w:rPr>
            <w:rStyle w:val="Hyperlink"/>
            <w:color w:val="2F5597"/>
            <w:u w:val="single"/>
            <w:rFonts w:ascii="Liberation Sans" w:hAnsi="Liberation Sans"/>
          </w:rPr>
          <w:t>https://github.com/ggml-org/llama.cpp/blob/master/grammars/README.md</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Engram.</w:t>
      </w:r>
      <w:r>
        <w:rPr>
          <w:rFonts w:ascii="Liberation Serif" w:hAnsi="Liberation Serif" w:cs="Liberation Serif" w:eastAsia="Liberation Serif"/>
          <w:color w:val="202A35"/>
          <w:sz w:val="18"/>
        </w:rPr>
        <w:t xml:space="preserve"> arXiv:2601.07372. </w:t>
      </w:r>
      <w:hyperlink r:id="rId16">
        <w:r>
          <w:rPr>
            <w:rStyle w:val="Hyperlink"/>
            <w:color w:val="2F5597"/>
            <w:u w:val="single"/>
            <w:rFonts w:ascii="Liberation Sans" w:hAnsi="Liberation Sans"/>
          </w:rPr>
          <w:t>https://arxiv.org/abs/2601.07372</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Lngram.</w:t>
      </w:r>
      <w:r>
        <w:rPr>
          <w:rFonts w:ascii="Liberation Serif" w:hAnsi="Liberation Serif" w:cs="Liberation Serif" w:eastAsia="Liberation Serif"/>
          <w:color w:val="202A35"/>
          <w:sz w:val="18"/>
        </w:rPr>
        <w:t xml:space="preserve"> arXiv:2605.24869. </w:t>
      </w:r>
      <w:hyperlink r:id="rId17">
        <w:r>
          <w:rPr>
            <w:rStyle w:val="Hyperlink"/>
            <w:color w:val="2F5597"/>
            <w:u w:val="single"/>
            <w:rFonts w:ascii="Liberation Sans" w:hAnsi="Liberation Sans"/>
          </w:rPr>
          <w:t>https://arxiv.org/abs/2605.24869</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Predictive Prefetching for RAG.</w:t>
      </w:r>
      <w:r>
        <w:rPr>
          <w:rFonts w:ascii="Liberation Serif" w:hAnsi="Liberation Serif" w:cs="Liberation Serif" w:eastAsia="Liberation Serif"/>
          <w:color w:val="202A35"/>
          <w:sz w:val="18"/>
        </w:rPr>
        <w:t xml:space="preserve"> arXiv:2605.17989. </w:t>
      </w:r>
      <w:hyperlink r:id="rId18">
        <w:r>
          <w:rPr>
            <w:rStyle w:val="Hyperlink"/>
            <w:color w:val="2F5597"/>
            <w:u w:val="single"/>
            <w:rFonts w:ascii="Liberation Sans" w:hAnsi="Liberation Sans"/>
          </w:rPr>
          <w:t>https://arxiv.org/abs/2605.17989</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Ouro.</w:t>
      </w:r>
      <w:r>
        <w:rPr>
          <w:rFonts w:ascii="Liberation Serif" w:hAnsi="Liberation Serif" w:cs="Liberation Serif" w:eastAsia="Liberation Serif"/>
          <w:color w:val="202A35"/>
          <w:sz w:val="18"/>
        </w:rPr>
        <w:t xml:space="preserve"> arXiv:2510.25741. </w:t>
      </w:r>
      <w:hyperlink r:id="rId19">
        <w:r>
          <w:rPr>
            <w:rStyle w:val="Hyperlink"/>
            <w:color w:val="2F5597"/>
            <w:u w:val="single"/>
            <w:rFonts w:ascii="Liberation Sans" w:hAnsi="Liberation Sans"/>
          </w:rPr>
          <w:t>https://arxiv.org/abs/2510.25741</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PowerInfer-2.</w:t>
      </w:r>
      <w:r>
        <w:rPr>
          <w:rFonts w:ascii="Liberation Serif" w:hAnsi="Liberation Serif" w:cs="Liberation Serif" w:eastAsia="Liberation Serif"/>
          <w:color w:val="202A35"/>
          <w:sz w:val="18"/>
        </w:rPr>
        <w:t xml:space="preserve"> arXiv:2406.06282. </w:t>
      </w:r>
      <w:hyperlink r:id="rId20">
        <w:r>
          <w:rPr>
            <w:rStyle w:val="Hyperlink"/>
            <w:color w:val="2F5597"/>
            <w:u w:val="single"/>
            <w:rFonts w:ascii="Liberation Sans" w:hAnsi="Liberation Sans"/>
          </w:rPr>
          <w:t>https://arxiv.org/abs/2406.06282</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Brave Search API.</w:t>
      </w:r>
      <w:r>
        <w:rPr>
          <w:rFonts w:ascii="Liberation Serif" w:hAnsi="Liberation Serif" w:cs="Liberation Serif" w:eastAsia="Liberation Serif"/>
          <w:color w:val="202A35"/>
          <w:sz w:val="18"/>
        </w:rPr>
        <w:t xml:space="preserve"> Ürün ve koşullar: </w:t>
      </w:r>
      <w:hyperlink r:id="rId21">
        <w:r>
          <w:rPr>
            <w:rStyle w:val="Hyperlink"/>
            <w:color w:val="2F5597"/>
            <w:u w:val="single"/>
            <w:rFonts w:ascii="Liberation Sans" w:hAnsi="Liberation Sans"/>
          </w:rPr>
          <w:t>https://brave.com/search/api/</w:t>
        </w:r>
      </w:hyperlink>
    </w:p>
    <w:p>
      <w:pPr>
        <w:pStyle w:val="Compact"/>
        <w:keepLines/>
        <w:numPr>
          <w:ilvl w:val="0"/>
          <w:numId w:val="1007"/>
        </w:numPr>
        <w:spacing w:after="84" w:line="250" w:lineRule="auto"/>
        <w:ind w:left="403" w:hanging="403"/>
        <w:jc w:val="left"/>
      </w:pPr>
      <w:r>
        <w:rPr>
          <w:rFonts w:ascii="Liberation Serif" w:hAnsi="Liberation Serif" w:cs="Liberation Serif" w:eastAsia="Liberation Serif"/>
          <w:b/>
          <w:color w:val="17365D"/>
          <w:sz w:val="18"/>
        </w:rPr>
        <w:t>Tavily.</w:t>
      </w:r>
      <w:r>
        <w:rPr>
          <w:rFonts w:ascii="Liberation Serif" w:hAnsi="Liberation Serif" w:cs="Liberation Serif" w:eastAsia="Liberation Serif"/>
          <w:color w:val="202A35"/>
          <w:sz w:val="18"/>
        </w:rPr>
        <w:t xml:space="preserve"> Ürün/fiyat bilgisi: </w:t>
      </w:r>
      <w:hyperlink r:id="rId22">
        <w:r>
          <w:rPr>
            <w:rStyle w:val="Hyperlink"/>
            <w:color w:val="2F5597"/>
            <w:u w:val="single"/>
            <w:rFonts w:ascii="Liberation Sans" w:hAnsi="Liberation Sans"/>
          </w:rPr>
          <w:t>https://www.tavily.com/pricing</w:t>
        </w:r>
      </w:hyperlink>
    </w:p>
    <w:p>
      <w:pPr>
        <w:pStyle w:val="FirstParagraph"/>
        <w:spacing w:before="140"/>
        <w:ind w:left="72"/>
        <w:jc w:val="left"/>
      </w:pPr>
      <w:r>
        <w:rPr>
          <w:rFonts w:ascii="Liberation Serif" w:hAnsi="Liberation Serif" w:cs="Liberation Serif" w:eastAsia="Liberation Serif"/>
          <w:i/>
          <w:iCs/>
          <w:color w:val="526273"/>
          <w:sz w:val="18"/>
        </w:rPr>
        <w:t>Not: Bu kaynaklar tasarımı konumlandırmak, araçları tanımlamak ve karşılaştırma hatları oluşturmak içindir; LATCH’nın performansını veya bilimsel özgünlüğünü tek başına kanıtlamaz. Web sağlayıcılarının koşulları canlıya geçiş öncesinde birincil kaynaklardan yeniden kontrol edilmelidir.</w:t>
      </w:r>
    </w:p>
    <w:bookmarkEnd w:id="46"/>
    <w:sectPr>
      <w:headerReference w:type="default" r:id="rId24"/>
      <w:footerReference w:type="default" r:id="rId25"/>
      <w:headerReference w:type="first" r:id="rId8"/>
      <w:footerReference w:type="first" r:id="rId26"/>
      <w:headerReference w:type="even" r:id="rId27"/>
      <w:footerReference w:type="even" r:id="rId28"/>
      <w:pgSz w:w="11909" w:h="16834"/>
      <w:pgMar w:top="1123" w:bottom="1080" w:left="1152" w:right="1152" w:header="490" w:footer="49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right"/>
      </w:tabs>
      <w:spacing w:before="60"/>
      <w:pBdr>
        <w:top w:val="single" w:sz="6" w:space="4" w:color="D5DEE8"/>
      </w:pBdr>
    </w:pPr>
    <w:r>
      <w:rPr>
        <w:rFonts w:ascii="Liberation Sans" w:hAnsi="Liberation Sans" w:cs="Liberation Sans" w:eastAsia="Liberation Sans"/>
        <w:color w:val="526273"/>
        <w:sz w:val="16"/>
      </w:rPr>
      <w:t>LATCH  •  15 Ekim 2026</w:t>
    </w:r>
    <w:r>
      <w:rPr>
        <w:rFonts w:ascii="Liberation Sans" w:hAnsi="Liberation Sans" w:cs="Liberation Sans" w:eastAsia="Liberation Sans"/>
        <w:color w:val="526273"/>
        <w:sz w:val="16"/>
      </w:rPr>
      <w:tab/>
      <w:t xml:space="preserve">Sayfa </w:t>
    </w:r>
    <w:r>
      <w:rPr>
        <w:rFonts w:ascii="Liberation Sans" w:hAnsi="Liberation Sans" w:cs="Liberation Sans" w:eastAsia="Liberation Sans"/>
        <w:color w:val="526273"/>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D5DEE8"/>
      </w:pBdr>
    </w:pPr>
    <w:r>
      <w:rPr>
        <w:rFonts w:ascii="Liberation Sans" w:hAnsi="Liberation Sans" w:cs="Liberation Sans" w:eastAsia="Liberation Sans"/>
        <w:b/>
        <w:color w:val="526273"/>
        <w:sz w:val="16"/>
      </w:rPr>
      <w:t>LATCH  |  MİMARİ ÖNERİ VE DENEY PROTOKOLÜ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Liberation Serif" w:hAnsi="Liberation Serif" w:cs="Liberation Serif" w:eastAsia="Liberation Serif"/>
      <w:color w:val="202A35"/>
      <w:sz w:val="21"/>
    </w:rPr>
  </w:style>
  <w:style w:styleId="BodyText" w:type="paragraph">
    <w:name w:val="Body Text"/>
    <w:basedOn w:val="Normal"/>
    <w:link w:val="BodyTextChar"/>
    <w:qFormat/>
    <w:pPr>
      <w:widowControl/>
      <w:spacing w:after="110" w:before="0" w:line="269" w:lineRule="auto"/>
      <w:jc w:val="both"/>
    </w:pPr>
    <w:rPr>
      <w:rFonts w:ascii="Liberation Serif" w:hAnsi="Liberation Serif" w:cs="Liberation Serif" w:eastAsia="Liberation Serif"/>
      <w:color w:val="202A35"/>
      <w:sz w:val="21"/>
    </w:rPr>
  </w:style>
  <w:style w:customStyle="1" w:styleId="FirstParagraph" w:type="paragraph">
    <w:name w:val="First Paragraph"/>
    <w:basedOn w:val="BodyText"/>
    <w:next w:val="BodyText"/>
    <w:qFormat/>
    <w:pPr>
      <w:widowControl/>
      <w:spacing w:before="0" w:after="90" w:line="269" w:lineRule="auto"/>
      <w:jc w:val="both"/>
    </w:pPr>
    <w:rPr>
      <w:rFonts w:ascii="Liberation Serif" w:hAnsi="Liberation Serif" w:cs="Liberation Serif" w:eastAsia="Liberation Serif"/>
      <w:color w:val="202A35"/>
      <w:sz w:val="21"/>
    </w:rPr>
  </w:style>
  <w:style w:customStyle="1" w:styleId="Compact" w:type="paragraph">
    <w:name w:val="Compact"/>
    <w:basedOn w:val="BodyText"/>
    <w:qFormat/>
    <w:pPr>
      <w:widowControl/>
      <w:spacing w:after="64" w:before="0" w:line="254" w:lineRule="auto"/>
    </w:pPr>
    <w:rPr>
      <w:rFonts w:ascii="Liberation Serif" w:hAnsi="Liberation Serif" w:cs="Liberation Serif" w:eastAsia="Liberation Serif"/>
      <w:color w:val="202A35"/>
      <w:sz w:val="19"/>
    </w:rPr>
  </w:style>
  <w:style w:styleId="Title" w:type="paragraph">
    <w:name w:val="Title"/>
    <w:basedOn w:val="Normal"/>
    <w:next w:val="BodyText"/>
    <w:qFormat/>
    <w:pPr>
      <w:keepNext/>
      <w:keepLines/>
      <w:spacing w:after="140" w:before="80" w:line="250" w:lineRule="auto"/>
      <w:jc w:val="center"/>
    </w:pPr>
    <w:rPr>
      <w:rFonts w:asciiTheme="majorHAnsi" w:cstheme="majorBidi" w:eastAsiaTheme="majorEastAsia" w:hAnsiTheme="majorHAnsi" w:ascii="Liberation Sans" w:hAnsi="Liberation Sans" w:cs="Liberation Sans" w:eastAsia="Liberation Sans"/>
      <w:b/>
      <w:bCs/>
      <w:color w:val="17365D"/>
      <w:sz w:val="44"/>
      <w:szCs w:val="36"/>
    </w:rPr>
  </w:style>
  <w:style w:styleId="Subtitle" w:type="paragraph">
    <w:name w:val="Subtitle"/>
    <w:basedOn w:val="Title"/>
    <w:next w:val="BodyText"/>
    <w:qFormat/>
    <w:pPr>
      <w:keepNext/>
      <w:keepLines/>
      <w:spacing w:after="160" w:before="0" w:line="259" w:lineRule="auto"/>
      <w:jc w:val="center"/>
    </w:pPr>
    <w:rPr>
      <w:rFonts w:ascii="Liberation Sans" w:hAnsi="Liberation Sans" w:cs="Liberation Sans" w:eastAsia="Liberation Sans"/>
      <w:b w:val="0"/>
      <w:color w:val="526273"/>
      <w:sz w:val="25"/>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after="180"/>
      <w:jc w:val="center"/>
    </w:pPr>
    <w:rPr>
      <w:rFonts w:ascii="Liberation Sans" w:hAnsi="Liberation Sans" w:cs="Liberation Sans" w:eastAsia="Liberation Sans"/>
      <w:b w:val="0"/>
      <w:color w:val="526273"/>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80" w:line="252" w:lineRule="auto"/>
    </w:pPr>
    <w:rPr>
      <w:rFonts w:ascii="Liberation Serif" w:hAnsi="Liberation Serif" w:cs="Liberation Serif" w:eastAsia="Liberation Serif"/>
      <w:color w:val="202A35"/>
      <w:sz w:val="18"/>
    </w:rPr>
  </w:style>
  <w:style w:styleId="Heading1" w:type="paragraph">
    <w:name w:val="Heading 1"/>
    <w:basedOn w:val="Normal"/>
    <w:next w:val="BodyText"/>
    <w:uiPriority w:val="9"/>
    <w:qFormat/>
    <w:pPr>
      <w:keepNext/>
      <w:keepLines/>
      <w:widowControl/>
      <w:spacing w:after="120" w:before="340" w:line="252" w:lineRule="auto"/>
      <w:outlineLvl w:val="0"/>
    </w:pPr>
    <w:rPr>
      <w:rFonts w:asciiTheme="majorHAnsi" w:cstheme="majorBidi" w:eastAsiaTheme="majorEastAsia" w:hAnsiTheme="majorHAnsi" w:ascii="Liberation Sans" w:hAnsi="Liberation Sans" w:cs="Liberation Sans" w:eastAsia="Liberation Sans"/>
      <w:b/>
      <w:bCs/>
      <w:color w:val="17365D"/>
      <w:sz w:val="28"/>
      <w:szCs w:val="32"/>
    </w:rPr>
  </w:style>
  <w:style w:styleId="Heading2" w:type="paragraph">
    <w:name w:val="Heading 2"/>
    <w:basedOn w:val="Normal"/>
    <w:next w:val="BodyText"/>
    <w:uiPriority w:val="9"/>
    <w:unhideWhenUsed/>
    <w:qFormat/>
    <w:pPr>
      <w:keepNext/>
      <w:keepLines/>
      <w:spacing w:after="80" w:before="220" w:line="252" w:lineRule="auto"/>
      <w:outlineLvl w:val="1"/>
    </w:pPr>
    <w:rPr>
      <w:rFonts w:asciiTheme="majorHAnsi" w:cstheme="majorBidi" w:eastAsiaTheme="majorEastAsia" w:hAnsiTheme="majorHAnsi" w:ascii="Liberation Sans" w:hAnsi="Liberation Sans" w:cs="Liberation Sans" w:eastAsia="Liberation Sans"/>
      <w:b/>
      <w:bCs/>
      <w:color w:val="147D92"/>
      <w:sz w:val="23"/>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Liberation Sans" w:hAnsi="Liberation Sans" w:cs="Liberation Sans" w:eastAsia="Liberation Sans"/>
      <w:b/>
      <w:bCs/>
      <w:color w:val="2F5597"/>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80" w:before="100"/>
    </w:pPr>
    <w:rPr>
      <w:rFonts w:ascii="Liberation Sans" w:hAnsi="Liberation Sans" w:cs="Liberation Sans" w:eastAsia="Liberation Sans"/>
      <w:b w:val="0"/>
      <w:i/>
      <w:color w:val="526273"/>
      <w:sz w:val="18"/>
    </w:rPr>
  </w:style>
  <w:style w:customStyle="1" w:styleId="TableCaption" w:type="paragraph">
    <w:name w:val="Table Caption"/>
    <w:basedOn w:val="Caption"/>
    <w:pPr>
      <w:keepNext/>
      <w:spacing w:before="100" w:after="80"/>
    </w:pPr>
    <w:rPr>
      <w:rFonts w:ascii="Liberation Sans" w:hAnsi="Liberation Sans" w:cs="Liberation Sans" w:eastAsia="Liberation Sans"/>
      <w:b w:val="0"/>
      <w:color w:val="526273"/>
      <w:sz w:val="18"/>
    </w:rPr>
  </w:style>
  <w:style w:customStyle="1" w:styleId="ImageCaption" w:type="paragraph">
    <w:name w:val="Image Caption"/>
    <w:basedOn w:val="Caption"/>
    <w:pPr>
      <w:keepNext w:val="0"/>
      <w:spacing w:before="100" w:after="80"/>
    </w:pPr>
    <w:rPr>
      <w:rFonts w:ascii="Liberation Sans" w:hAnsi="Liberation Sans" w:cs="Liberation Sans" w:eastAsia="Liberation Sans"/>
      <w:b w:val="0"/>
      <w:color w:val="526273"/>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23" Type="http://schemas.openxmlformats.org/officeDocument/2006/relationships/image" Target="media/rId23.png"/><Relationship Id="rId9" Type="http://schemas.openxmlformats.org/officeDocument/2006/relationships/hyperlink" Target="https://arxiv.org/abs/2310.11511" TargetMode="External"/><Relationship Id="rId10" Type="http://schemas.openxmlformats.org/officeDocument/2006/relationships/hyperlink" Target="https://arxiv.org/abs/2401.15884" TargetMode="External"/><Relationship Id="rId11" Type="http://schemas.openxmlformats.org/officeDocument/2006/relationships/hyperlink" Target="https://aclanthology.org/2024.findings-acl.813/" TargetMode="External"/><Relationship Id="rId12" Type="http://schemas.openxmlformats.org/officeDocument/2006/relationships/hyperlink" Target="https://github.com/freshllms/freshqa" TargetMode="External"/><Relationship Id="rId13" Type="http://schemas.openxmlformats.org/officeDocument/2006/relationships/hyperlink" Target="https://cheatsheetseries.owasp.org/cheatsheets/RAG_Security_Cheat_Sheet.html" TargetMode="External"/><Relationship Id="rId14" Type="http://schemas.openxmlformats.org/officeDocument/2006/relationships/hyperlink" Target="https://www.sqlite.org/fts5.html" TargetMode="External"/><Relationship Id="rId15" Type="http://schemas.openxmlformats.org/officeDocument/2006/relationships/hyperlink" Target="https://github.com/ggml-org/llama.cpp/blob/master/grammars/README.md" TargetMode="External"/><Relationship Id="rId16" Type="http://schemas.openxmlformats.org/officeDocument/2006/relationships/hyperlink" Target="https://arxiv.org/abs/2601.07372" TargetMode="External"/><Relationship Id="rId17" Type="http://schemas.openxmlformats.org/officeDocument/2006/relationships/hyperlink" Target="https://arxiv.org/abs/2605.24869" TargetMode="External"/><Relationship Id="rId18" Type="http://schemas.openxmlformats.org/officeDocument/2006/relationships/hyperlink" Target="https://arxiv.org/abs/2605.17989" TargetMode="External"/><Relationship Id="rId19" Type="http://schemas.openxmlformats.org/officeDocument/2006/relationships/hyperlink" Target="https://arxiv.org/abs/2510.25741" TargetMode="External"/><Relationship Id="rId20" Type="http://schemas.openxmlformats.org/officeDocument/2006/relationships/hyperlink" Target="https://arxiv.org/abs/2406.06282" TargetMode="External"/><Relationship Id="rId21" Type="http://schemas.openxmlformats.org/officeDocument/2006/relationships/hyperlink" Target="https://brave.com/search/api/" TargetMode="External"/><Relationship Id="rId22" Type="http://schemas.openxmlformats.org/officeDocument/2006/relationships/hyperlink" Target="https://www.tavily.com/pricing" TargetMode="External"/><Relationship Id="rId24" Type="http://schemas.openxmlformats.org/officeDocument/2006/relationships/header" Target="header1.xml"/><Relationship Id="rId25" Type="http://schemas.openxmlformats.org/officeDocument/2006/relationships/footer" Target="footer1.xml"/><Relationship Id="rId8"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LATCH: Düşük Kaynaklı Cihazlarda Yerel, Çevrimdışı ve Web Tabanlı Bilgi Erişimi</dc:title>
  <dc:creator/>
  <dc:language>tr-TR</dc:language>
  <cp:keywords>LATCH, yerel LLM, çevrimdışı bilgi, web araması, kaynak doğrulama, düşük RAM</cp:keywords>
  <dcterms:created xsi:type="dcterms:W3CDTF">2026-10-15T00:14:04Z</dcterms:created>
  <dcterms:modified xsi:type="dcterms:W3CDTF">2026-10-15T00:14:04Z</dcterms:modified>
  <dc:subject>Mimari öneri ve deney protokolü</dc:subject>
</cp:coreProperties>
</file>