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1.0 -->
  <w:body>
    <w:p w:rsidR="00A77B3E"/>
    <w:p w:rsidR="00A77B3E">
      <w:pPr>
        <w:pStyle w:val="1"/>
      </w:pPr>
    </w:p>
    <w:p w:rsidR="00A77B3E">
      <w:pPr>
        <w:pStyle w:val="1"/>
      </w:pPr>
    </w:p>
    <w:p w:rsidR="00A77B3E">
      <w:pPr>
        <w:pStyle w:val="2"/>
      </w:pPr>
      <w:r>
        <w:t>171.</w:t>
      </w:r>
    </w:p>
    <w:p w:rsidR="00A77B3E">
      <w:pPr>
        <w:pStyle w:val="3"/>
      </w:pPr>
      <w:r>
        <w:t>Ústavný zákon</w:t>
      </w:r>
    </w:p>
    <w:p w:rsidR="00A77B3E">
      <w:pPr>
        <w:pStyle w:val="4"/>
      </w:pPr>
      <w:r>
        <w:t>zo dňa 14. októbra 1947,</w:t>
      </w:r>
    </w:p>
    <w:p w:rsidR="00A77B3E">
      <w:pPr>
        <w:pStyle w:val="5"/>
      </w:pPr>
      <w:r>
        <w:t>o mierovej smluve medzi Mocnosťami spojenými a sdruženými a Maďarskom.</w:t>
      </w:r>
    </w:p>
    <w:p w:rsidR="00A77B3E">
      <w:pPr>
        <w:pStyle w:val="6"/>
      </w:pPr>
      <w:r>
        <w:t>Ústavodarné Národné shromaždenie republiky Československej usnieslo sa na tomto ústavnom zákone:</w:t>
      </w:r>
    </w:p>
    <w:p w:rsidR="00A77B3E">
      <w:pPr>
        <w:pStyle w:val="1"/>
      </w:pPr>
    </w:p>
    <w:p w:rsidR="00A77B3E">
      <w:pPr>
        <w:pStyle w:val="7"/>
      </w:pPr>
      <w:r>
        <w:t>§ 1.</w:t>
      </w:r>
    </w:p>
    <w:p w:rsidR="00A77B3E">
      <w:pPr>
        <w:pStyle w:val="8"/>
      </w:pPr>
      <w:r>
        <w:t>Ústavodarné Národné shromaždenie súhlasí s mierovou smluvou medzi Mocnosťami spojenými a sdruženými na strane jednej a Maďarskom na strane druhej, podpísanou v Paríži dňa 10. februára 1947.</w:t>
      </w:r>
    </w:p>
    <w:p w:rsidR="00A77B3E">
      <w:pPr>
        <w:pStyle w:val="7"/>
      </w:pPr>
      <w:r>
        <w:t>§ 2.</w:t>
      </w:r>
    </w:p>
    <w:p w:rsidR="00A77B3E">
      <w:pPr>
        <w:pStyle w:val="1"/>
      </w:pPr>
    </w:p>
    <w:p w:rsidR="00A77B3E">
      <w:pPr>
        <w:pStyle w:val="8"/>
      </w:pPr>
      <w:r>
        <w:t>Zmena štátneho územia a štátnych hraníc, nastalá podľa tejto smluvy, nadobúda s medzinárodnou účinnosťou tiež účinnosť vnútroštátnu.</w:t>
      </w:r>
    </w:p>
    <w:p w:rsidR="00A77B3E">
      <w:pPr>
        <w:pStyle w:val="7"/>
      </w:pPr>
      <w:r>
        <w:t>§ 3.</w:t>
      </w:r>
    </w:p>
    <w:p w:rsidR="00A77B3E">
      <w:pPr>
        <w:pStyle w:val="8"/>
      </w:pPr>
      <w:r>
        <w:t>Tento ústavný zákon nadobúda účinnosť dňom vyhlásenia; vykonajú ho ministri zahraničných vecí a vnútra v dohode so zúčastnenými ministrami.</w:t>
      </w:r>
    </w:p>
    <w:p w:rsidR="00A77B3E">
      <w:pPr>
        <w:pStyle w:val="1"/>
      </w:pPr>
    </w:p>
    <w:p w:rsidR="00A77B3E">
      <w:pPr>
        <w:pStyle w:val="9"/>
      </w:pPr>
      <w:r>
        <w:t>Dr. Beneš v. r.</w:t>
      </w:r>
    </w:p>
    <w:p w:rsidR="00A77B3E">
      <w:pPr>
        <w:pStyle w:val="10"/>
      </w:pPr>
      <w:r>
        <w:t>Gottwald v. r.</w:t>
      </w:r>
    </w:p>
    <w:p w:rsidR="00A77B3E">
      <w:pPr>
        <w:pStyle w:val="10"/>
      </w:pPr>
      <w:r>
        <w:t>Za ministra Masaryka:</w:t>
      </w:r>
    </w:p>
    <w:p w:rsidR="00A77B3E">
      <w:pPr>
        <w:pStyle w:val="10"/>
      </w:pPr>
      <w:r>
        <w:t>Dr. Clementis v. r.</w:t>
      </w:r>
    </w:p>
    <w:p w:rsidR="00A77B3E">
      <w:pPr>
        <w:pStyle w:val="11"/>
      </w:pPr>
      <w:r>
        <w:t>Nosek v. r.</w:t>
      </w:r>
    </w:p>
    <w:sectPr>
      <w:headerReference w:type="even" r:id="rId4"/>
      <w:headerReference w:type="default" r:id="rId5"/>
      <w:headerReference w:type="first" r:id="rId6"/>
      <w:pgSz w:w="12240" w:h="15840"/>
      <w:pgMar w:top="1417" w:right="1417" w:bottom="1417" w:left="1417" w:header="400" w:footer="708" w:gutter="0"/>
      <w:pgNumType w:start="1"/>
      <w:cols w:space="708"/>
      <w:titlePg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5000" w:type="pct"/>
      <w:tblCellMar>
        <w:left w:w="108" w:type="dxa"/>
        <w:right w:w="108" w:type="dxa"/>
      </w:tblCellMar>
    </w:tblPr>
    <w:tblGrid>
      <w:gridCol w:w="1881"/>
      <w:gridCol w:w="2822"/>
      <w:gridCol w:w="2822"/>
      <w:gridCol w:w="1881"/>
    </w:tblGrid>
    <w:tr>
      <w:tblPrEx>
        <w:tblW w:w="5000" w:type="pct"/>
      </w:tblPrEx>
      <w:tc>
        <w:tcPr>
          <w:gridSpan w:val="4"/>
        </w:tcPr>
        <w:p>
          <w:pPr>
            <w:pStyle w:val="HlavickaZlutyText"/>
            <w:jc w:val="center"/>
          </w:pPr>
        </w:p>
      </w:tc>
    </w:tr>
    <w:tr>
      <w:tblPrEx>
        <w:tblW w:w="5000" w:type="pct"/>
        <w:tblBorders>
          <w:bottom w:val="single" w:sz="12" w:space="0" w:color="000000"/>
        </w:tblBorders>
      </w:tblPrEx>
      <w:tc>
        <w:tcPr>
          <w:tcW w:w="1000" w:type="pct"/>
        </w:tcPr>
        <w:p>
          <w:pPr>
            <w:pStyle w:val="Hlavicka"/>
            <w:jc w:val="left"/>
          </w:pPr>
          <w:r>
            <w:t xml:space="preserve">strana </w:t>
          </w:r>
          <w:r>
            <w:fldChar w:fldCharType="begin"/>
          </w:r>
          <w:r>
            <w:instrText>PAGE</w:instrText>
          </w:r>
          <w:r>
            <w:fldChar w:fldCharType="separate"/>
          </w:r>
          <w:r>
            <w:fldChar w:fldCharType="end"/>
          </w:r>
        </w:p>
      </w:tc>
      <w:tc>
        <w:tcPr>
          <w:tcW w:w="3000" w:type="pct"/>
          <w:gridSpan w:val="2"/>
        </w:tcPr>
        <w:p>
          <w:pPr>
            <w:pStyle w:val="Hlavicka"/>
            <w:jc w:val="center"/>
          </w:pPr>
        </w:p>
      </w:tc>
      <w:tc>
        <w:tcPr>
          <w:tcW w:w="1000" w:type="pct"/>
        </w:tcPr>
        <w:p>
          <w:pPr>
            <w:pStyle w:val="Hlavicka"/>
            <w:jc w:val="right"/>
          </w:pPr>
        </w:p>
      </w:tc>
    </w:tr>
    <w:tr>
      <w:tblPrEx>
        <w:tblW w:w="5000" w:type="pct"/>
      </w:tblPrEx>
      <w:tc>
        <w:tcPr>
          <w:tcW w:w="2500" w:type="pct"/>
          <w:gridSpan w:val="2"/>
        </w:tcPr>
        <w:p>
          <w:pPr>
            <w:pStyle w:val="Hlavicka"/>
            <w:jc w:val="left"/>
          </w:pPr>
        </w:p>
      </w:tc>
      <w:tc>
        <w:tcPr>
          <w:tcW w:w="2500" w:type="pct"/>
          <w:gridSpan w:val="2"/>
        </w:tcPr>
        <w:p>
          <w:pPr>
            <w:pStyle w:val="Hlavicka"/>
            <w:jc w:val="right"/>
          </w:pPr>
        </w:p>
      </w:tc>
    </w:tr>
  </w:tbl>
  <w:p>
    <w:pPr>
      <w:pStyle w:val="Hlavick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5000" w:type="pct"/>
      <w:tblCellMar>
        <w:left w:w="108" w:type="dxa"/>
        <w:right w:w="108" w:type="dxa"/>
      </w:tblCellMar>
    </w:tblPr>
    <w:tblGrid>
      <w:gridCol w:w="1881"/>
      <w:gridCol w:w="2822"/>
      <w:gridCol w:w="2822"/>
      <w:gridCol w:w="1881"/>
    </w:tblGrid>
    <w:tr>
      <w:tblPrEx>
        <w:tblW w:w="5000" w:type="pct"/>
      </w:tblPrEx>
      <w:tc>
        <w:tcPr>
          <w:tcW w:w="2500" w:type="pct"/>
          <w:gridSpan w:val="4"/>
        </w:tcPr>
        <w:p>
          <w:pPr>
            <w:pStyle w:val="HlavickaZlutyText"/>
            <w:jc w:val="center"/>
          </w:pPr>
        </w:p>
      </w:tc>
    </w:tr>
    <w:tr>
      <w:tblPrEx>
        <w:tblW w:w="5000" w:type="pct"/>
        <w:tblBorders>
          <w:bottom w:val="single" w:sz="12" w:space="0" w:color="000000"/>
        </w:tblBorders>
      </w:tblPrEx>
      <w:tc>
        <w:tcPr>
          <w:tcW w:w="1000" w:type="pct"/>
        </w:tcPr>
        <w:p>
          <w:pPr>
            <w:pStyle w:val="Hlavicka"/>
            <w:jc w:val="left"/>
          </w:pPr>
        </w:p>
      </w:tc>
      <w:tc>
        <w:tcPr>
          <w:tcW w:w="3000" w:type="pct"/>
          <w:gridSpan w:val="2"/>
        </w:tcPr>
        <w:p>
          <w:pPr>
            <w:pStyle w:val="Hlavicka"/>
            <w:jc w:val="center"/>
          </w:pPr>
        </w:p>
      </w:tc>
      <w:tc>
        <w:tcPr>
          <w:tcW w:w="1000" w:type="pct"/>
        </w:tcPr>
        <w:p>
          <w:pPr>
            <w:pStyle w:val="Hlavicka"/>
            <w:jc w:val="right"/>
          </w:pPr>
          <w:r>
            <w:t xml:space="preserve">strana </w:t>
          </w:r>
          <w:r>
            <w:fldChar w:fldCharType="begin"/>
          </w:r>
          <w:r>
            <w:instrText>PAGE</w:instrText>
          </w:r>
          <w:r>
            <w:fldChar w:fldCharType="separate"/>
          </w:r>
          <w:r>
            <w:fldChar w:fldCharType="end"/>
          </w:r>
        </w:p>
      </w:tc>
    </w:tr>
    <w:tr>
      <w:tblPrEx>
        <w:tblW w:w="5000" w:type="pct"/>
      </w:tblPrEx>
      <w:tc>
        <w:tcPr>
          <w:tcW w:w="2500" w:type="pct"/>
          <w:gridSpan w:val="2"/>
        </w:tcPr>
        <w:p>
          <w:pPr>
            <w:pStyle w:val="Hlavicka"/>
            <w:jc w:val="left"/>
          </w:pPr>
        </w:p>
      </w:tc>
      <w:tc>
        <w:tcPr>
          <w:tcW w:w="2500" w:type="pct"/>
          <w:gridSpan w:val="2"/>
        </w:tcPr>
        <w:p>
          <w:pPr>
            <w:pStyle w:val="Hlavicka"/>
            <w:jc w:val="right"/>
          </w:pPr>
        </w:p>
      </w:tc>
    </w:tr>
  </w:tbl>
  <w:p>
    <w:pPr>
      <w:pStyle w:val="Hlavicka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5000" w:type="pct"/>
      <w:tblCellMar>
        <w:left w:w="108" w:type="dxa"/>
        <w:right w:w="108" w:type="dxa"/>
      </w:tblCellMar>
    </w:tblPr>
    <w:tblGrid>
      <w:gridCol w:w="9406"/>
    </w:tblGrid>
    <w:tr>
      <w:tblPrEx>
        <w:tblW w:w="5000" w:type="pct"/>
      </w:tblPrEx>
      <w:tc>
        <w:tcPr/>
        <w:p>
          <w:pPr>
            <w:pStyle w:val="HlavickaZlutyText"/>
            <w:jc w:val="center"/>
          </w:pPr>
        </w:p>
      </w:tc>
    </w:tr>
    <w:tr>
      <w:tblPrEx>
        <w:tblW w:w="5000" w:type="pct"/>
      </w:tblPrEx>
      <w:tc>
        <w:tcPr/>
        <w:p>
          <w:pPr>
            <w:pStyle w:val="Hlavicka"/>
            <w:jc w:val="right"/>
          </w:pPr>
        </w:p>
      </w:tc>
    </w:tr>
  </w:tbl>
  <w:p>
    <w:pPr>
      <w:pStyle w:val="Hlavicka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720"/>
  <w:evenAndOddHeaders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cs-CZ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Hlavicka">
    <w:name w:val="Hlavicka"/>
    <w:rPr>
      <w:i/>
      <w:sz w:val="20"/>
    </w:rPr>
  </w:style>
  <w:style w:type="paragraph" w:customStyle="1" w:styleId="HlavickaZlutyText">
    <w:name w:val="HlavickaZlutyText"/>
    <w:rPr>
      <w:i w:val="0"/>
      <w:sz w:val="18"/>
    </w:rPr>
  </w:style>
  <w:style w:type="paragraph" w:customStyle="1" w:styleId="Variantastart">
    <w:name w:val="Varianta_start"/>
    <w:pPr>
      <w:pBdr>
        <w:top w:val="single" w:sz="8" w:space="0" w:color="800080"/>
      </w:pBdr>
      <w:spacing w:before="0" w:after="10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Variantakonec">
    <w:name w:val="Varianta_konec"/>
    <w:pPr>
      <w:pBdr>
        <w:bottom w:val="single" w:sz="8" w:space="0" w:color="800080"/>
      </w:pBdr>
      <w:spacing w:before="0" w:after="10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Ucinnoststart">
    <w:name w:val="Ucinnost_start"/>
    <w:pPr>
      <w:pBdr>
        <w:top w:val="single" w:sz="8" w:space="0" w:color="8B0000"/>
      </w:pBdr>
      <w:spacing w:before="0" w:after="10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Ucinnostkonec">
    <w:name w:val="Ucinnost_konec"/>
    <w:pPr>
      <w:pBdr>
        <w:bottom w:val="single" w:sz="8" w:space="0" w:color="8B0000"/>
      </w:pBdr>
      <w:spacing w:before="0" w:after="10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Celex">
    <w:name w:val="Celex"/>
    <w:pPr>
      <w:spacing w:before="120" w:after="120"/>
      <w:jc w:val="left"/>
    </w:pPr>
    <w:rPr>
      <w:rFonts w:ascii="Times New Roman" w:eastAsia="Times New Roman" w:hAnsi="Times New Roman" w:cs="Times New Roman"/>
      <w:i/>
      <w:sz w:val="20"/>
    </w:rPr>
  </w:style>
  <w:style w:type="paragraph" w:customStyle="1" w:styleId="Pripominkystart">
    <w:name w:val="Pripominky_start"/>
    <w:pPr>
      <w:pBdr>
        <w:top w:val="single" w:sz="8" w:space="0" w:color="87CEFA"/>
      </w:pBdr>
      <w:spacing w:before="0" w:after="100"/>
      <w:jc w:val="right"/>
    </w:pPr>
    <w:rPr>
      <w:rFonts w:ascii="Times New Roman" w:eastAsia="Times New Roman" w:hAnsi="Times New Roman" w:cs="Times New Roman"/>
      <w:b/>
      <w:i/>
      <w:color w:val="87CEFA"/>
      <w:sz w:val="20"/>
    </w:rPr>
  </w:style>
  <w:style w:type="paragraph" w:customStyle="1" w:styleId="1">
    <w:name w:val="1"/>
    <w:pPr>
      <w:spacing w:before="11" w:after="0"/>
      <w:ind w:right="0"/>
      <w:jc w:val="left"/>
    </w:pPr>
    <w:rPr>
      <w:rFonts w:ascii="Times New Roman" w:eastAsia="Times New Roman" w:hAnsi="Times New Roman" w:cs="Times New Roman"/>
      <w:sz w:val="0"/>
    </w:rPr>
  </w:style>
  <w:style w:type="paragraph" w:customStyle="1" w:styleId="2">
    <w:name w:val="2"/>
    <w:pPr>
      <w:spacing w:before="57" w:after="227"/>
      <w:ind w:right="0"/>
      <w:jc w:val="center"/>
    </w:pPr>
    <w:rPr>
      <w:rFonts w:ascii="Times New Roman" w:eastAsia="Times New Roman" w:hAnsi="Times New Roman" w:cs="Times New Roman"/>
      <w:b/>
      <w:sz w:val="32"/>
    </w:rPr>
  </w:style>
  <w:style w:type="paragraph" w:customStyle="1" w:styleId="3">
    <w:name w:val="3"/>
    <w:pPr>
      <w:spacing w:before="0" w:after="0"/>
      <w:ind w:left="680" w:right="680"/>
      <w:jc w:val="center"/>
    </w:pPr>
    <w:rPr>
      <w:rFonts w:ascii="Times New Roman" w:eastAsia="Times New Roman" w:hAnsi="Times New Roman" w:cs="Times New Roman"/>
      <w:b/>
      <w:caps/>
      <w:sz w:val="32"/>
    </w:rPr>
  </w:style>
  <w:style w:type="paragraph" w:customStyle="1" w:styleId="4">
    <w:name w:val="4"/>
    <w:pPr>
      <w:spacing w:before="0" w:after="170"/>
      <w:ind w:left="850" w:right="850"/>
      <w:jc w:val="center"/>
    </w:pPr>
    <w:rPr>
      <w:rFonts w:ascii="Times New Roman" w:eastAsia="Times New Roman" w:hAnsi="Times New Roman" w:cs="Times New Roman"/>
      <w:b/>
      <w:sz w:val="28"/>
    </w:rPr>
  </w:style>
  <w:style w:type="paragraph" w:customStyle="1" w:styleId="5">
    <w:name w:val="5"/>
    <w:pPr>
      <w:spacing w:before="340" w:after="113"/>
      <w:ind w:left="850" w:right="850"/>
      <w:jc w:val="center"/>
    </w:pPr>
    <w:rPr>
      <w:rFonts w:ascii="Times New Roman" w:eastAsia="Times New Roman" w:hAnsi="Times New Roman" w:cs="Times New Roman"/>
      <w:b/>
      <w:sz w:val="34"/>
    </w:rPr>
  </w:style>
  <w:style w:type="paragraph" w:customStyle="1" w:styleId="6">
    <w:name w:val="6"/>
    <w:pPr>
      <w:spacing w:before="283" w:after="340"/>
      <w:ind w:right="0"/>
      <w:jc w:val="left"/>
    </w:pPr>
    <w:rPr>
      <w:rFonts w:ascii="Times New Roman" w:eastAsia="Times New Roman" w:hAnsi="Times New Roman" w:cs="Times New Roman"/>
      <w:sz w:val="30"/>
    </w:rPr>
  </w:style>
  <w:style w:type="paragraph" w:customStyle="1" w:styleId="7">
    <w:name w:val="7"/>
    <w:pPr>
      <w:overflowPunct/>
      <w:spacing w:before="227" w:after="113"/>
      <w:ind w:left="0" w:right="0" w:firstLine="0"/>
      <w:jc w:val="center"/>
    </w:pPr>
    <w:rPr>
      <w:rFonts w:ascii="Times New Roman" w:eastAsia="Times New Roman" w:hAnsi="Times New Roman" w:cs="Times New Roman"/>
      <w:sz w:val="28"/>
    </w:rPr>
  </w:style>
  <w:style w:type="paragraph" w:customStyle="1" w:styleId="8">
    <w:name w:val="8"/>
    <w:pPr>
      <w:spacing w:before="0" w:after="57"/>
      <w:ind w:right="0"/>
      <w:jc w:val="both"/>
    </w:pPr>
    <w:rPr>
      <w:rFonts w:ascii="Times New Roman" w:eastAsia="Times New Roman" w:hAnsi="Times New Roman" w:cs="Times New Roman"/>
      <w:sz w:val="24"/>
    </w:rPr>
  </w:style>
  <w:style w:type="paragraph" w:customStyle="1" w:styleId="9">
    <w:name w:val="9"/>
    <w:pPr>
      <w:spacing w:before="57" w:after="57"/>
      <w:ind w:right="0"/>
      <w:jc w:val="center"/>
    </w:pPr>
    <w:rPr>
      <w:rFonts w:ascii="Times New Roman" w:eastAsia="Times New Roman" w:hAnsi="Times New Roman" w:cs="Times New Roman"/>
      <w:sz w:val="24"/>
    </w:rPr>
  </w:style>
  <w:style w:type="paragraph" w:customStyle="1" w:styleId="10">
    <w:name w:val="10"/>
    <w:pPr>
      <w:spacing w:before="57" w:after="57"/>
      <w:ind w:right="0"/>
      <w:jc w:val="center"/>
    </w:pPr>
    <w:rPr>
      <w:rFonts w:ascii="Times New Roman" w:eastAsia="Times New Roman" w:hAnsi="Times New Roman" w:cs="Times New Roman"/>
      <w:sz w:val="24"/>
    </w:rPr>
  </w:style>
  <w:style w:type="paragraph" w:customStyle="1" w:styleId="11">
    <w:name w:val="11"/>
    <w:pPr>
      <w:spacing w:before="57" w:after="0"/>
      <w:ind w:right="0"/>
      <w:jc w:val="center"/>
    </w:pPr>
    <w:rPr>
      <w:rFonts w:ascii="Times New Roman" w:eastAsia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header" Target="header2.xml" /><Relationship Id="rId6" Type="http://schemas.openxmlformats.org/officeDocument/2006/relationships/header" Target="header3.xml" /><Relationship Id="rId7" Type="http://schemas.openxmlformats.org/officeDocument/2006/relationships/theme" Target="theme/theme1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Sb_1947_171_IZ</dc:title>
  <dc:creator>e-Legislativa</dc:creator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rrelationId">
    <vt:lpwstr>0HNNNNBUJ2911:0000000A</vt:lpwstr>
  </property>
  <property fmtid="{D5CDD505-2E9C-101B-9397-08002B2CF9AE}" pid="3" name="IdPodprostoru">
    <vt:lpwstr/>
  </property>
  <property fmtid="{D5CDD505-2E9C-101B-9397-08002B2CF9AE}" pid="4" name="JeUzavrena">
    <vt:lpwstr/>
  </property>
  <property fmtid="{D5CDD505-2E9C-101B-9397-08002B2CF9AE}" pid="5" name="PozadavekId">
    <vt:lpwstr>919b1a07-8471-4b32-ac05-baa091683427</vt:lpwstr>
  </property>
  <property fmtid="{D5CDD505-2E9C-101B-9397-08002B2CF9AE}" pid="6" name="Verze aplikace">
    <vt:lpwstr>v1.0-07.35.HF6</vt:lpwstr>
  </property>
  <property fmtid="{D5CDD505-2E9C-101B-9397-08002B2CF9AE}" pid="7" name="VrstvaNavrhuId">
    <vt:lpwstr/>
  </property>
  <property fmtid="{D5CDD505-2E9C-101B-9397-08002B2CF9AE}" pid="8" name="VrstvaObsahuId">
    <vt:lpwstr/>
  </property>
</Properties>
</file>