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179.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13. září 1946</w:t>
      </w:r>
    </w:p>
    <w:p w:rsidR="00A77B3E">
      <w:pPr>
        <w:pStyle w:val="5"/>
      </w:pPr>
      <w:r>
        <w:t>o udělení státního občanství krajanům z Maďarska.</w:t>
      </w:r>
    </w:p>
    <w:p w:rsidR="00A77B3E">
      <w:pPr>
        <w:pStyle w:val="6"/>
      </w:pPr>
      <w:r>
        <w:t>Ústavodárné Národní shromáždění republiky Československé usneslo se na tomto ústavním zákoně:</w:t>
      </w:r>
    </w:p>
    <w:p w:rsidR="00A77B3E">
      <w:pPr>
        <w:pStyle w:val="1"/>
      </w:pPr>
    </w:p>
    <w:p w:rsidR="00A77B3E">
      <w:pPr>
        <w:pStyle w:val="7"/>
      </w:pPr>
      <w:r>
        <w:t>§ 1.</w:t>
      </w:r>
    </w:p>
    <w:p w:rsidR="00A77B3E">
      <w:pPr>
        <w:pStyle w:val="8"/>
      </w:pPr>
      <w:r>
        <w:t>(1)</w:t>
      </w:r>
      <w:r>
        <w:t xml:space="preserve">    Osoby národnosti slovenské nebo české, bydlící na území Maďarské republiky, které jsou občany cizího státu nebo bezdomovci a které se přistěhují (přistěhovaly) na území Československé republiky podle dohody mezi Československem a Maďarskem o výměně obyvatelstva </w:t>
      </w:r>
      <w:r>
        <w:t>ze dne 27. února 1946, č. 145 Sb.</w:t>
      </w:r>
      <w:r>
        <w:t>, nabývají dnem přestěhování československého státního občanství.</w:t>
      </w:r>
    </w:p>
    <w:p w:rsidR="00A77B3E">
      <w:pPr>
        <w:pStyle w:val="9"/>
      </w:pPr>
      <w:r>
        <w:t>(2)</w:t>
      </w:r>
      <w:r>
        <w:t>    Nerozvedené manželky nabývají státního občanství spolu s manželem a děti až do 18 let věku spolu s otcem, po případě s nemanželskou nebo ovdovělou matkou, byly-li do prohlášení o zamýšleném přestěhování na území Československé republiky pojaty a přistěhují-li se na toto území. Jinak činí prohlášení o zamýšleném přestěhování za osoby pod poručenstvím až do 18 let věku jejich poručník, za osoby pod opatrovnictvím jejich opatrovník.</w:t>
      </w:r>
    </w:p>
    <w:p w:rsidR="00A77B3E">
      <w:pPr>
        <w:pStyle w:val="7"/>
      </w:pPr>
      <w:r>
        <w:t>§ 2.</w:t>
      </w:r>
    </w:p>
    <w:p w:rsidR="00A77B3E">
      <w:pPr>
        <w:pStyle w:val="8"/>
      </w:pPr>
      <w:r>
        <w:t>(1)</w:t>
      </w:r>
      <w:r>
        <w:t>    Výrok o tom, že krajan z Maďarska nabyl československého státního občanství, přísluší okresnímu národnímu výboru (okresní správní komisi), do jehož (jejíhož) obvodu přistěhování nastalo.</w:t>
      </w:r>
    </w:p>
    <w:p w:rsidR="00A77B3E">
      <w:pPr>
        <w:pStyle w:val="10"/>
      </w:pPr>
      <w:r>
        <w:t>(2)</w:t>
      </w:r>
      <w:r>
        <w:t>    O výkonu slibu (přísahy) věrnosti Československé republice platí všeobecné předpisy.</w:t>
      </w:r>
    </w:p>
    <w:p w:rsidR="00A77B3E">
      <w:pPr>
        <w:pStyle w:val="9"/>
      </w:pPr>
      <w:r>
        <w:t>(3)</w:t>
      </w:r>
      <w:r>
        <w:t>    Nabyla-li některá osoba podle tohoto zákona československého státního občanství, aniž nabyla i domovského práva v některé obci Československé republiky, nabude domovského práva v obci, v níž se po příchodu na území Československé republiky jako v řádném bydlišti usadí.</w:t>
      </w:r>
    </w:p>
    <w:p w:rsidR="00A77B3E">
      <w:pPr>
        <w:pStyle w:val="7"/>
      </w:pPr>
      <w:r>
        <w:t>§ 3.</w:t>
      </w:r>
    </w:p>
    <w:p w:rsidR="00A77B3E">
      <w:pPr>
        <w:pStyle w:val="11"/>
      </w:pPr>
      <w:r>
        <w:t>Písemnosti a úřední vyhotovení k provedení tohoto zákona jsou osvobozeny od poplatků a dávek za úřední úkony ve věcech správních.</w:t>
      </w:r>
    </w:p>
    <w:p w:rsidR="00A77B3E">
      <w:pPr>
        <w:pStyle w:val="7"/>
      </w:pPr>
      <w:r>
        <w:t>§ 4.</w:t>
      </w:r>
    </w:p>
    <w:p w:rsidR="00A77B3E">
      <w:pPr>
        <w:pStyle w:val="1"/>
      </w:pPr>
    </w:p>
    <w:p w:rsidR="00A77B3E">
      <w:pPr>
        <w:pStyle w:val="11"/>
      </w:pPr>
      <w:r>
        <w:t>Tento zákon nabývá účinnosti dnem vyhlášení; provede jej ministr vnitra v dohodě se zúčastněnými ministry.</w:t>
      </w:r>
    </w:p>
    <w:p w:rsidR="00A77B3E">
      <w:pPr>
        <w:pStyle w:val="1"/>
      </w:pPr>
    </w:p>
    <w:p w:rsidR="00A77B3E">
      <w:pPr>
        <w:pStyle w:val="12"/>
      </w:pPr>
      <w:r>
        <w:t>Dr. Beneš v. r.</w:t>
      </w:r>
    </w:p>
    <w:p w:rsidR="00A77B3E">
      <w:pPr>
        <w:pStyle w:val="13"/>
      </w:pPr>
      <w:r>
        <w:t>Gottwald v. r.</w:t>
      </w:r>
    </w:p>
    <w:p w:rsidR="00A77B3E">
      <w:pPr>
        <w:pStyle w:val="14"/>
      </w:pPr>
      <w:r>
        <w:t>Nosek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8start">
    <w:name w:val="Varianta_8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8konec">
    <w:name w:val="Varianta_8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8start">
    <w:name w:val="Ucinnost_8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8konec">
    <w:name w:val="Ucinnost_8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8start">
    <w:name w:val="Pripominky_8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9">
    <w:name w:val="9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9start">
    <w:name w:val="Varianta_9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9konec">
    <w:name w:val="Varianta_9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9start">
    <w:name w:val="Ucinnost_9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9konec">
    <w:name w:val="Ucinnost_9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9start">
    <w:name w:val="Pripominky_9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0">
    <w:name w:val="10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0start">
    <w:name w:val="Varianta_10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0konec">
    <w:name w:val="Varianta_10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0start">
    <w:name w:val="Ucinnost_10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0konec">
    <w:name w:val="Ucinnost_10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0start">
    <w:name w:val="Pripominky_10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1">
    <w:name w:val="11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2">
    <w:name w:val="12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3">
    <w:name w:val="13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4">
    <w:name w:val="14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Sb_1946_179_IZ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0HNNNNBNJQJ0K:00000007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35e485d6-4e67-44c0-a7f5-85aafb6e5b3c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