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34</w:t>
      </w:r>
    </w:p>
    <w:p w:rsidR="00A77B3E">
      <w:pPr>
        <w:pStyle w:val="3"/>
      </w:pPr>
      <w:r>
        <w:t>ZÁKON</w:t>
      </w:r>
    </w:p>
    <w:p w:rsidR="00A77B3E">
      <w:pPr>
        <w:pStyle w:val="4"/>
      </w:pPr>
      <w:r>
        <w:t>ze dne 25. ledna 2023</w:t>
      </w:r>
    </w:p>
    <w:p w:rsidR="00A77B3E">
      <w:pPr>
        <w:pStyle w:val="5"/>
      </w:pPr>
      <w:r>
        <w:t>o koordinaci spolupráce s Evropským úřadem pro boj proti podvodům</w:t>
      </w:r>
    </w:p>
    <w:p w:rsidR="00A77B3E">
      <w:pPr>
        <w:pStyle w:val="6"/>
      </w:pPr>
      <w:r>
        <w:t>Parlament se usnesl na tomto zákoně České republiky: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>Předmět úpravy</w:t>
      </w:r>
    </w:p>
    <w:p w:rsidR="00A77B3E">
      <w:pPr>
        <w:pStyle w:val="9"/>
      </w:pPr>
      <w:r>
        <w:t>(1)</w:t>
      </w:r>
      <w:r>
        <w:t>    Tento zákon upravuje v návaznosti na přímo použitelný předpis Evropské unie</w:t>
      </w:r>
      <w:r>
        <w:rPr>
          <w:vertAlign w:val="superscript"/>
        </w:rPr>
        <w:t>1</w:t>
      </w:r>
      <w:r>
        <w:t>)</w:t>
      </w:r>
      <w:r>
        <w:t xml:space="preserve"> koordinaci spolupráce s Evropským úřadem pro boj proti podvodům</w:t>
      </w:r>
      <w:r>
        <w:rPr>
          <w:vertAlign w:val="superscript"/>
        </w:rPr>
        <w:t>2</w:t>
      </w:r>
      <w:r>
        <w:t>)</w:t>
      </w:r>
      <w:r>
        <w:t>.</w:t>
      </w:r>
    </w:p>
    <w:p w:rsidR="00A77B3E">
      <w:pPr>
        <w:pStyle w:val="10"/>
      </w:pPr>
      <w:r>
        <w:t>(2)</w:t>
      </w:r>
      <w:r>
        <w:t>    Tento zákon se nepoužije při mezinárodní spolupráci</w:t>
      </w:r>
    </w:p>
    <w:p w:rsidR="00A77B3E">
      <w:pPr>
        <w:pStyle w:val="11"/>
      </w:pPr>
      <w:r>
        <w:t>a)</w:t>
      </w:r>
      <w:r>
        <w:t>    v trestních věcech a</w:t>
      </w:r>
    </w:p>
    <w:p w:rsidR="00A77B3E">
      <w:pPr>
        <w:pStyle w:val="12"/>
      </w:pPr>
      <w:r>
        <w:t>b)</w:t>
      </w:r>
      <w:r>
        <w:t>    při správě daní, poplatků a jiných obdobných peněžitých plnění podle přímo použitelného předpisu Evropské unie</w:t>
      </w:r>
      <w:r>
        <w:rPr>
          <w:vertAlign w:val="superscript"/>
        </w:rPr>
        <w:t>3</w:t>
      </w:r>
      <w:r>
        <w:t>)</w:t>
      </w:r>
      <w:r>
        <w:t>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>Vymezení některých pojmů</w:t>
      </w:r>
    </w:p>
    <w:p w:rsidR="00A77B3E">
      <w:pPr>
        <w:pStyle w:val="13"/>
      </w:pPr>
      <w:r>
        <w:t>Pro účely tohoto zákona se rozumí</w:t>
      </w:r>
    </w:p>
    <w:p w:rsidR="00A77B3E">
      <w:pPr>
        <w:pStyle w:val="14"/>
      </w:pPr>
      <w:r>
        <w:t>a)</w:t>
      </w:r>
      <w:r>
        <w:t xml:space="preserve">    vyšetřováním Evropského úřadu pro boj proti podvodům vyšetřování vedené podle nařízení Evropského parlamentu a Rady (EU, Euratom) č. </w:t>
      </w:r>
      <w:r>
        <w:t>883/2013</w:t>
      </w:r>
      <w:r>
        <w:t>,</w:t>
      </w:r>
    </w:p>
    <w:p w:rsidR="00A77B3E">
      <w:pPr>
        <w:pStyle w:val="15"/>
      </w:pPr>
      <w:r>
        <w:t>b)</w:t>
      </w:r>
      <w:r>
        <w:t xml:space="preserve">    podvodem podvod, úplatkářství nebo jiné protiprávní jednání poškozující nebo ohrožující finanční zájmy Evropské unie a Evropského společenství pro atomovou energii podle čl. 2 bodu 3 nařízení Evropského parlamentu a Rady (EU, Euratom) č. </w:t>
      </w:r>
      <w:r>
        <w:t>883/2013</w:t>
      </w:r>
      <w:r>
        <w:t>,</w:t>
      </w:r>
    </w:p>
    <w:p w:rsidR="00A77B3E">
      <w:pPr>
        <w:pStyle w:val="16"/>
      </w:pPr>
      <w:r>
        <w:t>c)</w:t>
      </w:r>
      <w:r>
        <w:t>    dožádanou osobou</w:t>
      </w:r>
    </w:p>
    <w:p w:rsidR="00A77B3E">
      <w:pPr>
        <w:pStyle w:val="17"/>
      </w:pPr>
      <w:r>
        <w:t>1.</w:t>
      </w:r>
      <w:r>
        <w:t>    banka,</w:t>
      </w:r>
    </w:p>
    <w:p w:rsidR="00A77B3E">
      <w:pPr>
        <w:pStyle w:val="18"/>
      </w:pPr>
      <w:r>
        <w:t>2.</w:t>
      </w:r>
      <w:r>
        <w:t>    zahraniční banka, která vykonává svou činnost na území České republiky prostřednictvím pobočky,</w:t>
      </w:r>
    </w:p>
    <w:p w:rsidR="00A77B3E">
      <w:pPr>
        <w:pStyle w:val="18"/>
      </w:pPr>
      <w:r>
        <w:t>3.</w:t>
      </w:r>
      <w:r>
        <w:t>    spořitelní a úvěrní družstvo,</w:t>
      </w:r>
    </w:p>
    <w:p w:rsidR="00A77B3E">
      <w:pPr>
        <w:pStyle w:val="18"/>
      </w:pPr>
      <w:r>
        <w:t>4.</w:t>
      </w:r>
      <w:r>
        <w:t>    instituce elektronických peněz, zahraniční instituce elektronických peněz, vydavatel elektronických peněz malého rozsahu, platební instituce, zahraniční platební instituce a poskytovatel platebních služeb malého rozsahu, kterým Česká národní banka přidělila kód platebního styku,</w:t>
      </w:r>
    </w:p>
    <w:p w:rsidR="00A77B3E">
      <w:pPr>
        <w:pStyle w:val="19"/>
      </w:pPr>
      <w:r>
        <w:t>5.</w:t>
      </w:r>
      <w:r>
        <w:t>    držitel poštovní licence, jehož poštovní licence výslovně obsahuje službu dodání peněžní částky poštovním poukazem,</w:t>
      </w:r>
    </w:p>
    <w:p w:rsidR="00A77B3E">
      <w:pPr>
        <w:pStyle w:val="20"/>
      </w:pPr>
      <w:r>
        <w:t>d)</w:t>
      </w:r>
      <w:r>
        <w:t>    peněžní transakcí</w:t>
      </w:r>
    </w:p>
    <w:p w:rsidR="00A77B3E">
      <w:pPr>
        <w:pStyle w:val="17"/>
      </w:pPr>
      <w:r>
        <w:t>1.</w:t>
      </w:r>
      <w:r>
        <w:t>    platební transakce podle zákona upravujícího platební styk,</w:t>
      </w:r>
    </w:p>
    <w:p w:rsidR="00A77B3E">
      <w:pPr>
        <w:pStyle w:val="18"/>
      </w:pPr>
      <w:r>
        <w:t>2.</w:t>
      </w:r>
      <w:r>
        <w:t>    vklad peněžních prostředků na jiný než platební účet podle zákona upravujícího platební styk nebo výběr peněžních prostředků z tohoto účtu,</w:t>
      </w:r>
    </w:p>
    <w:p w:rsidR="00A77B3E">
      <w:pPr>
        <w:pStyle w:val="18"/>
      </w:pPr>
      <w:r>
        <w:t>3.</w:t>
      </w:r>
      <w:r>
        <w:t>    platba prováděná prostřednictvím šeků, směnek nebo cestovních šeků,</w:t>
      </w:r>
    </w:p>
    <w:p w:rsidR="00A77B3E">
      <w:pPr>
        <w:pStyle w:val="18"/>
      </w:pPr>
      <w:r>
        <w:t>4.</w:t>
      </w:r>
      <w:r>
        <w:t>    platba prováděná prostřednictvím poštovních poukazů podle zákona upravujícího poštovní služby, nebo</w:t>
      </w:r>
    </w:p>
    <w:p w:rsidR="00A77B3E">
      <w:pPr>
        <w:pStyle w:val="19"/>
      </w:pPr>
      <w:r>
        <w:t>5.</w:t>
      </w:r>
      <w:r>
        <w:t>    platba prováděná mezi dožádanými osobami na jejich vlastní účet.</w:t>
      </w:r>
    </w:p>
    <w:p w:rsidR="00A77B3E">
      <w:pPr>
        <w:pStyle w:val="7"/>
      </w:pPr>
      <w:r>
        <w:t>§ 3</w:t>
      </w:r>
    </w:p>
    <w:p w:rsidR="00A77B3E">
      <w:pPr>
        <w:pStyle w:val="8"/>
      </w:pPr>
      <w:r>
        <w:t>Příslušný orgán</w:t>
      </w:r>
    </w:p>
    <w:p w:rsidR="00A77B3E">
      <w:pPr>
        <w:pStyle w:val="13"/>
      </w:pPr>
      <w:r>
        <w:t xml:space="preserve">Koordinaci spolupráce s Evropským úřadem pro boj proti podvodům zajišťuje v rámci výkonu koordinační služby pro boj proti podvodům podle nařízení Evropského parlamentu a Rady (EU, Euratom) č. </w:t>
      </w:r>
      <w:r>
        <w:t>883/2013</w:t>
      </w:r>
      <w:r>
        <w:t xml:space="preserve"> (dále jen „koordinační služba“) Ministerstvo financí.</w:t>
      </w:r>
    </w:p>
    <w:p w:rsidR="00A77B3E">
      <w:pPr>
        <w:pStyle w:val="7"/>
      </w:pPr>
      <w:r>
        <w:t>§ 4</w:t>
      </w:r>
    </w:p>
    <w:p w:rsidR="00A77B3E">
      <w:pPr>
        <w:pStyle w:val="8"/>
      </w:pPr>
      <w:r>
        <w:t>Pravomoci Ministerstva financí v rámci výkonu koordinační služby</w:t>
      </w:r>
    </w:p>
    <w:p w:rsidR="00A77B3E">
      <w:pPr>
        <w:pStyle w:val="13"/>
      </w:pPr>
      <w:r>
        <w:t>Ministerstvo financí v rámci výkonu koordinační služby</w:t>
      </w:r>
    </w:p>
    <w:p w:rsidR="00A77B3E">
      <w:pPr>
        <w:pStyle w:val="14"/>
      </w:pPr>
      <w:r>
        <w:t>a)</w:t>
      </w:r>
      <w:r>
        <w:t>    poskytuje potřebnou součinnost při vyšetřování Evropského úřadu pro boj proti podvodům nebo jeho činnosti směřující ke zjištění, zda došlo k podvodu,</w:t>
      </w:r>
    </w:p>
    <w:p w:rsidR="00A77B3E">
      <w:pPr>
        <w:pStyle w:val="15"/>
      </w:pPr>
      <w:r>
        <w:t>b)</w:t>
      </w:r>
      <w:r>
        <w:t>    pro potřeby vyšetřování Evropského úřadu pro boj proti podvodům nebo jeho činnosti směřující ke zjištění, zda došlo k podvodu, spolupracuje s dalšími orgány vykonávajícími působnost v oblasti veřejné správy na zajištění nezbytné dokumentace týkající se pomoci poskytnuté příjemci z fondů nebo nástrojů Evropské unie,</w:t>
      </w:r>
    </w:p>
    <w:p w:rsidR="00A77B3E">
      <w:pPr>
        <w:pStyle w:val="15"/>
      </w:pPr>
      <w:r>
        <w:t>c)</w:t>
      </w:r>
      <w:r>
        <w:t xml:space="preserve">    opatřuje a předává pro potřeby vyšetřování Evropského úřadu pro boj proti podvodům informace dostupné v centrální evidenci účtů a bezpečnostních schránek podle zákona </w:t>
      </w:r>
      <w:r>
        <w:t>o centrální evidenci účtů</w:t>
      </w:r>
      <w:r>
        <w:t>,</w:t>
      </w:r>
    </w:p>
    <w:p w:rsidR="00A77B3E">
      <w:pPr>
        <w:pStyle w:val="15"/>
      </w:pPr>
      <w:r>
        <w:t>d)</w:t>
      </w:r>
      <w:r>
        <w:t>    opatřuje pro potřeby vyšetřování Evropského úřadu pro boj proti podvodům od dožádaných osob záznamy peněžních transakcí a předává je tomuto úřadu,</w:t>
      </w:r>
    </w:p>
    <w:p w:rsidR="00A77B3E">
      <w:pPr>
        <w:pStyle w:val="15"/>
      </w:pPr>
      <w:r>
        <w:t>e)</w:t>
      </w:r>
      <w:r>
        <w:t xml:space="preserve">    předává dokumentaci podle </w:t>
      </w:r>
      <w:r>
        <w:t>písmene b)</w:t>
      </w:r>
      <w:r>
        <w:t xml:space="preserve"> a dokumenty a informace, které se týkají boje proti podvodům, Evropskému úřadu pro boj proti podvodům,</w:t>
      </w:r>
    </w:p>
    <w:p w:rsidR="00A77B3E">
      <w:pPr>
        <w:pStyle w:val="15"/>
      </w:pPr>
      <w:r>
        <w:t>f)</w:t>
      </w:r>
      <w:r>
        <w:t>    informuje Evropský úřad pro boj proti podvodům o přijatých opatřeních a o skutečnostech zjištěných na základě obdržených informací, kterými se Evropský úřad pro boj proti podvodům zabýval před zahájením vnějšího vyšetřování</w:t>
      </w:r>
      <w:r>
        <w:rPr>
          <w:vertAlign w:val="superscript"/>
        </w:rPr>
        <w:t>4</w:t>
      </w:r>
      <w:r>
        <w:t>)</w:t>
      </w:r>
      <w:r>
        <w:t>,</w:t>
      </w:r>
    </w:p>
    <w:p w:rsidR="00A77B3E">
      <w:pPr>
        <w:pStyle w:val="15"/>
      </w:pPr>
      <w:r>
        <w:t>g)</w:t>
      </w:r>
      <w:r>
        <w:t>    informuje Evropský úřad pro boj proti podvodům o opatřeních přijatých na základě obdržených informací získaných Evropským úřadem pro boj proti podvodům při vnějším vyšetřování,</w:t>
      </w:r>
    </w:p>
    <w:p w:rsidR="00A77B3E">
      <w:pPr>
        <w:pStyle w:val="15"/>
      </w:pPr>
      <w:r>
        <w:t>h)</w:t>
      </w:r>
      <w:r>
        <w:t>    je příslušným orgánem pro přijímání závěrečných zpráv a informací z vyšetřování Evropského úřadu pro boj proti podvodům, včetně příslušných doporučení,</w:t>
      </w:r>
    </w:p>
    <w:p w:rsidR="00A77B3E">
      <w:pPr>
        <w:pStyle w:val="16"/>
      </w:pPr>
      <w:r>
        <w:t>i)</w:t>
      </w:r>
      <w:r>
        <w:t>    zasílá Evropskému úřadu pro boj proti podvodům na jeho žádost konečné rozhodnutí soudu, jakmile bude příslušné soudní řízení pravomocně ukončeno a konečné soudní rozhodnutí zveřejněno.</w:t>
      </w:r>
    </w:p>
    <w:p w:rsidR="00A77B3E">
      <w:pPr>
        <w:pStyle w:val="7"/>
      </w:pPr>
      <w:r>
        <w:t>§ 5</w:t>
      </w:r>
    </w:p>
    <w:p w:rsidR="00A77B3E">
      <w:pPr>
        <w:pStyle w:val="8"/>
      </w:pPr>
      <w:r>
        <w:t>Opatřování záznamů peněžních transakcí</w:t>
      </w:r>
    </w:p>
    <w:p w:rsidR="00A77B3E">
      <w:pPr>
        <w:pStyle w:val="9"/>
      </w:pPr>
      <w:r>
        <w:t>(1)</w:t>
      </w:r>
      <w:r>
        <w:t xml:space="preserve">    Ministerstvo financí v rámci výkonu koordinační služby opatřuje od dožádané osoby záznamy peněžních transakcí podle </w:t>
      </w:r>
      <w:r>
        <w:t>§ 4 písm. d)</w:t>
      </w:r>
      <w:r>
        <w:t xml:space="preserve"> na základě písemné žádosti.</w:t>
      </w:r>
    </w:p>
    <w:p w:rsidR="00A77B3E">
      <w:pPr>
        <w:pStyle w:val="21"/>
      </w:pPr>
      <w:r>
        <w:t>(2)</w:t>
      </w:r>
      <w:r>
        <w:t xml:space="preserve">    Dožádaná osoba poskytne Ministerstvu financí v rámci výkonu koordinační služby záznamy peněžních transakcí podle </w:t>
      </w:r>
      <w:r>
        <w:t>§ 4 písm. d)</w:t>
      </w:r>
      <w:r>
        <w:t xml:space="preserve"> v elektronické podobě ve lhůtě 10 pracovních dní ode dne doručení jeho žádosti, není-li Ministerstvem financí v rámci výkonu koordinační služby stanovena lhůta delší.</w:t>
      </w:r>
    </w:p>
    <w:p w:rsidR="00A77B3E">
      <w:pPr>
        <w:pStyle w:val="10"/>
      </w:pPr>
      <w:r>
        <w:t>(3)</w:t>
      </w:r>
      <w:r>
        <w:t xml:space="preserve">    Na základě odůvodněné písemné žádosti dožádané osoby podané nejpozději 3 pracovní dny před skončením lhůty podle </w:t>
      </w:r>
      <w:r>
        <w:t>odstavce 2</w:t>
      </w:r>
      <w:r>
        <w:t xml:space="preserve"> může Ministerstvo financí v rámci výkonu koordinační služby tuto lhůtu přiměřeně prodloužit; přitom přihlédne k rozsahu a náročnosti získání požadovaných záznamů peněžních transakcí.</w:t>
      </w:r>
    </w:p>
    <w:p w:rsidR="00A77B3E">
      <w:pPr>
        <w:pStyle w:val="7"/>
      </w:pPr>
      <w:r>
        <w:t>§ 6</w:t>
      </w:r>
    </w:p>
    <w:p w:rsidR="00A77B3E">
      <w:pPr>
        <w:pStyle w:val="8"/>
      </w:pPr>
      <w:r>
        <w:t>Mlčenlivost</w:t>
      </w:r>
    </w:p>
    <w:p w:rsidR="00A77B3E">
      <w:pPr>
        <w:pStyle w:val="9"/>
      </w:pPr>
      <w:r>
        <w:t>(1)</w:t>
      </w:r>
      <w:r>
        <w:t>    Osoba v základním pracovněprávním vztahu k dožádané osobě a členové statutárního nebo kontrolního orgánu této dožádané osoby mají povinnost zachovávat mlčenlivost o skutečnostech, které se dozvěděli při výkonu činností v rámci plnění povinností podle tohoto zákona.</w:t>
      </w:r>
    </w:p>
    <w:p w:rsidR="00A77B3E">
      <w:pPr>
        <w:pStyle w:val="21"/>
      </w:pPr>
      <w:r>
        <w:t>(2)</w:t>
      </w:r>
      <w:r>
        <w:t>    Povinnost zachovávat mlčenlivost se nevztahuje na informace veřejně známé.</w:t>
      </w:r>
    </w:p>
    <w:p w:rsidR="00A77B3E">
      <w:pPr>
        <w:pStyle w:val="21"/>
      </w:pPr>
      <w:r>
        <w:t>(3)</w:t>
      </w:r>
      <w:r>
        <w:t>    Porušením povinnosti zachovávat mlčenlivost není zveřejnění zobecněných informací získaných při plnění povinností podle tohoto zákona, ze kterých nevyplývá, které osoby se týkají.</w:t>
      </w:r>
    </w:p>
    <w:p w:rsidR="00A77B3E">
      <w:pPr>
        <w:pStyle w:val="10"/>
      </w:pPr>
      <w:r>
        <w:t>(4)</w:t>
      </w:r>
      <w:r>
        <w:t>    O porušení povinnosti zachovávat mlčenlivost nejde, poskytne-li osoba vykonávající v Ministerstvu financí státní správu v rámci výkonu koordinační služby informace</w:t>
      </w:r>
    </w:p>
    <w:p w:rsidR="00A77B3E">
      <w:pPr>
        <w:pStyle w:val="11"/>
      </w:pPr>
      <w:r>
        <w:t>a)</w:t>
      </w:r>
      <w:r>
        <w:t>    jiné osobě vykonávající tento druh státní správy,</w:t>
      </w:r>
    </w:p>
    <w:p w:rsidR="00A77B3E">
      <w:pPr>
        <w:pStyle w:val="12"/>
      </w:pPr>
      <w:r>
        <w:t>b)</w:t>
      </w:r>
      <w:r>
        <w:t>    oprávněné osobě při plnění povinností ve věcech archivnictví.</w:t>
      </w:r>
    </w:p>
    <w:p w:rsidR="00A77B3E">
      <w:pPr>
        <w:pStyle w:val="9"/>
      </w:pPr>
      <w:r>
        <w:t>(5)</w:t>
      </w:r>
      <w:r>
        <w:t xml:space="preserve">    Povinnost osoby uvedené v </w:t>
      </w:r>
      <w:r>
        <w:t>odstavci 1</w:t>
      </w:r>
      <w:r>
        <w:t xml:space="preserve"> zachovávat mlčenlivost trvá i tehdy, přestane-li se tato osoba podílet na plnění povinností podle tohoto zákona nebo zanikne-li její funkce.</w:t>
      </w:r>
    </w:p>
    <w:p w:rsidR="00A77B3E">
      <w:pPr>
        <w:pStyle w:val="10"/>
      </w:pPr>
      <w:r>
        <w:t>(6)</w:t>
      </w:r>
      <w:r>
        <w:t xml:space="preserve">    Ministerstvo financí neposkytne podle zákona </w:t>
      </w:r>
      <w:r>
        <w:t>o svobodném přístupu k informacím</w:t>
      </w:r>
      <w:r>
        <w:t xml:space="preserve"> údaje podle </w:t>
      </w:r>
      <w:r>
        <w:t>§ 4 písm. c)</w:t>
      </w:r>
      <w:r>
        <w:t xml:space="preserve"> a </w:t>
      </w:r>
      <w:r>
        <w:t>d)</w:t>
      </w:r>
      <w:r>
        <w:t>, které opatřilo pro potřeby vyšetřování Evropského úřadu pro boj proti podvodům.</w:t>
      </w:r>
    </w:p>
    <w:p w:rsidR="00A77B3E">
      <w:pPr>
        <w:pStyle w:val="7"/>
      </w:pPr>
      <w:r>
        <w:t>§ 7</w:t>
      </w:r>
    </w:p>
    <w:p w:rsidR="00A77B3E">
      <w:pPr>
        <w:pStyle w:val="8"/>
      </w:pPr>
      <w:r>
        <w:t>Zpracování osobních údajů</w:t>
      </w:r>
    </w:p>
    <w:p w:rsidR="00A77B3E">
      <w:pPr>
        <w:pStyle w:val="9"/>
      </w:pPr>
      <w:r>
        <w:t>(1)</w:t>
      </w:r>
      <w:r>
        <w:t>    V rozsahu nezbytném pro zajištění součinnosti vyžadované Evropským úřadem pro boj proti podvodům Ministerstvo financí v rámci výkonu koordinační služby zpracovává osobní údaje získané na základě žádosti Evropského úřadu pro boj proti podvodům.</w:t>
      </w:r>
    </w:p>
    <w:p w:rsidR="00A77B3E">
      <w:pPr>
        <w:pStyle w:val="10"/>
      </w:pPr>
      <w:r>
        <w:t>(2)</w:t>
      </w:r>
      <w:r>
        <w:t>    Ministerstvo financí v rámci výkonu koordinační služby je povinno zajistit výmaz získaných osobních údajů bez zbytečného odkladu poté, kdy bude účel, kterým je poskytnutí podpory ze strany Ministerstva financí v rámci výkonu koordinační služby na žádost Evropského úřadu pro boj proti podvodům a v jejích mezích, naplněn.</w:t>
      </w:r>
    </w:p>
    <w:p w:rsidR="00A77B3E">
      <w:pPr>
        <w:pStyle w:val="7"/>
      </w:pPr>
      <w:r>
        <w:t>§ 8</w:t>
      </w:r>
    </w:p>
    <w:p w:rsidR="00A77B3E">
      <w:pPr>
        <w:pStyle w:val="8"/>
      </w:pPr>
      <w:r>
        <w:t>Přestupky</w:t>
      </w:r>
    </w:p>
    <w:p w:rsidR="00A77B3E">
      <w:pPr>
        <w:pStyle w:val="9"/>
      </w:pPr>
      <w:r>
        <w:t>(1)</w:t>
      </w:r>
      <w:r>
        <w:t xml:space="preserve">    Fyzická osoba podle </w:t>
      </w:r>
      <w:r>
        <w:t>§ 6 odst. 1</w:t>
      </w:r>
      <w:r>
        <w:t xml:space="preserve"> nebo </w:t>
      </w:r>
      <w:r>
        <w:t>5</w:t>
      </w:r>
      <w:r>
        <w:t xml:space="preserve"> se dopustí přestupku tím, že poruší povinnost zachovávat mlčenlivost podle </w:t>
      </w:r>
      <w:r>
        <w:t>§ 6</w:t>
      </w:r>
      <w:r>
        <w:t>.</w:t>
      </w:r>
    </w:p>
    <w:p w:rsidR="00A77B3E">
      <w:pPr>
        <w:pStyle w:val="21"/>
      </w:pPr>
      <w:r>
        <w:t>(2)</w:t>
      </w:r>
      <w:r>
        <w:t xml:space="preserve">    Dožádaná osoba podle </w:t>
      </w:r>
      <w:r>
        <w:t>§ 2 písm. c) bodu 4</w:t>
      </w:r>
      <w:r>
        <w:t xml:space="preserve"> nebo </w:t>
      </w:r>
      <w:r>
        <w:t>5</w:t>
      </w:r>
      <w:r>
        <w:t xml:space="preserve"> se dopustí přestupku tím, že Ministerstvu financí neposkytne záznamy peněžních transakcí opatřované podle </w:t>
      </w:r>
      <w:r>
        <w:t>§ 5 odst. 1</w:t>
      </w:r>
      <w:r>
        <w:t xml:space="preserve"> způsobem nebo ve lhůtě podle </w:t>
      </w:r>
      <w:r>
        <w:t>§ 5 odst. 2</w:t>
      </w:r>
      <w:r>
        <w:t xml:space="preserve"> nebo </w:t>
      </w:r>
      <w:r>
        <w:t>3</w:t>
      </w:r>
      <w:r>
        <w:t>.</w:t>
      </w:r>
    </w:p>
    <w:p w:rsidR="00A77B3E">
      <w:pPr>
        <w:pStyle w:val="21"/>
      </w:pPr>
      <w:r>
        <w:t>(3)</w:t>
      </w:r>
      <w:r>
        <w:t xml:space="preserve">    Za přestupek podle </w:t>
      </w:r>
      <w:r>
        <w:t>odstavce 1</w:t>
      </w:r>
      <w:r>
        <w:t xml:space="preserve"> lze uložit pokutu do 1 000 000 Kč.</w:t>
      </w:r>
    </w:p>
    <w:p w:rsidR="00A77B3E">
      <w:pPr>
        <w:pStyle w:val="21"/>
      </w:pPr>
      <w:r>
        <w:t>(4)</w:t>
      </w:r>
      <w:r>
        <w:t xml:space="preserve">    Za přestupek podle </w:t>
      </w:r>
      <w:r>
        <w:t>odstavce 2</w:t>
      </w:r>
      <w:r>
        <w:t xml:space="preserve"> lze uložit pokutu do 20 000 000 Kč.</w:t>
      </w:r>
    </w:p>
    <w:p w:rsidR="00A77B3E">
      <w:pPr>
        <w:pStyle w:val="10"/>
      </w:pPr>
      <w:r>
        <w:t>(5)</w:t>
      </w:r>
      <w:r>
        <w:t xml:space="preserve">    Přestupky podle </w:t>
      </w:r>
      <w:r>
        <w:t>odstavců 1</w:t>
      </w:r>
      <w:r>
        <w:t xml:space="preserve"> a </w:t>
      </w:r>
      <w:r>
        <w:t>2</w:t>
      </w:r>
      <w:r>
        <w:t xml:space="preserve"> projednává Ministerstvo financí.</w:t>
      </w:r>
    </w:p>
    <w:p w:rsidR="00A77B3E">
      <w:pPr>
        <w:pStyle w:val="7"/>
      </w:pPr>
      <w:r>
        <w:t>§ 9</w:t>
      </w:r>
    </w:p>
    <w:p w:rsidR="00A77B3E">
      <w:pPr>
        <w:pStyle w:val="8"/>
      </w:pPr>
      <w:r>
        <w:t>Účinnost</w:t>
      </w:r>
    </w:p>
    <w:p w:rsidR="00A77B3E">
      <w:pPr>
        <w:pStyle w:val="1"/>
      </w:pPr>
    </w:p>
    <w:p w:rsidR="00A77B3E">
      <w:pPr>
        <w:pStyle w:val="13"/>
      </w:pPr>
      <w:r>
        <w:t>Tento zákon nabývá účinnosti prvním dnem druhého kalendářního měsíce následujícího po dni jeho vyhlášení.</w:t>
      </w:r>
    </w:p>
    <w:p w:rsidR="00A77B3E">
      <w:pPr>
        <w:pStyle w:val="1"/>
      </w:pPr>
    </w:p>
    <w:p w:rsidR="00A77B3E">
      <w:pPr>
        <w:pStyle w:val="22"/>
      </w:pPr>
      <w:r>
        <w:t>Pekarová Adamová v. r.</w:t>
      </w:r>
    </w:p>
    <w:p w:rsidR="00A77B3E">
      <w:pPr>
        <w:pStyle w:val="23"/>
      </w:pPr>
      <w:r>
        <w:t>Zeman v. r.</w:t>
      </w:r>
    </w:p>
    <w:p w:rsidR="00A77B3E">
      <w:pPr>
        <w:pStyle w:val="24"/>
      </w:pPr>
      <w:r>
        <w:t>Fiala v. r.</w:t>
      </w:r>
    </w:p>
    <w:p w:rsidR="00A77B3E">
      <w:pPr>
        <w:pStyle w:val="25"/>
      </w:pPr>
    </w:p>
    <w:p w:rsidR="00A77B3E">
      <w:pPr>
        <w:pStyle w:val="26"/>
      </w:pPr>
      <w:r>
        <w:rPr>
          <w:vertAlign w:val="superscript"/>
        </w:rPr>
        <w:t>1</w:t>
      </w:r>
      <w:r>
        <w:t>)</w:t>
      </w:r>
      <w:r>
        <w:t xml:space="preserve">    Nařízení Evropského parlamentu a Rady (EU, Euratom) č. </w:t>
      </w:r>
      <w:r>
        <w:t>883/2013</w:t>
      </w:r>
      <w:r>
        <w:t xml:space="preserve"> ze dne 11. září 2013 o vyšetřování prováděném Evropským úřadem pro boj proti podvodům (OLAF) a o zrušení nařízení Evropského parlamentu a Rady (ES) č. </w:t>
      </w:r>
      <w:r>
        <w:t>1073/1999</w:t>
      </w:r>
      <w:r>
        <w:t xml:space="preserve"> a nařízení Rady (Euratom) č. </w:t>
      </w:r>
      <w:r>
        <w:t>1074/1999</w:t>
      </w:r>
      <w:r>
        <w:t>, v platném znění.</w:t>
      </w:r>
    </w:p>
    <w:p w:rsidR="00A77B3E">
      <w:pPr>
        <w:pStyle w:val="27"/>
      </w:pPr>
      <w:r>
        <w:rPr>
          <w:vertAlign w:val="superscript"/>
        </w:rPr>
        <w:t>2</w:t>
      </w:r>
      <w:r>
        <w:t>)</w:t>
      </w:r>
      <w:r>
        <w:t xml:space="preserve">    Rozhodnutí Komise </w:t>
      </w:r>
      <w:r>
        <w:t>1999/352/ES, ESUO, Euratom</w:t>
      </w:r>
      <w:r>
        <w:t xml:space="preserve"> ze dne 28. dubna 1999 o zřízení Evropského úřadu pro boj proti podvodům (OLAF), v platném znění.</w:t>
      </w:r>
    </w:p>
    <w:p w:rsidR="00A77B3E">
      <w:pPr>
        <w:pStyle w:val="27"/>
      </w:pPr>
      <w:r>
        <w:rPr>
          <w:vertAlign w:val="superscript"/>
        </w:rPr>
        <w:t>3</w:t>
      </w:r>
      <w:r>
        <w:t>)</w:t>
      </w:r>
      <w:r>
        <w:t xml:space="preserve">    Nařízení Rady (ES) č. </w:t>
      </w:r>
      <w:r>
        <w:t>515/97</w:t>
      </w:r>
      <w:r>
        <w:t xml:space="preserve"> ze dne 13. března 1997 o vzájemné pomoci mezi správními orgány členských států a jejich spolupráci s Komisí k zajištění řádného používání celních a zemědělských předpisů, v platném znění. </w:t>
      </w:r>
      <w:r>
        <w:br/>
      </w:r>
      <w:r>
        <w:t xml:space="preserve">Nařízení Rady (EU) č. </w:t>
      </w:r>
      <w:r>
        <w:t>904/2010</w:t>
      </w:r>
      <w:r>
        <w:t xml:space="preserve"> ze dne 7. října 2010 o správní spolupráci a boji proti podvodům v oblasti daně z přidané hodnoty, v platném znění..</w:t>
      </w:r>
    </w:p>
    <w:p w:rsidR="00A77B3E">
      <w:pPr>
        <w:pStyle w:val="28"/>
      </w:pPr>
      <w:r>
        <w:rPr>
          <w:vertAlign w:val="superscript"/>
        </w:rPr>
        <w:t>4</w:t>
      </w:r>
      <w:r>
        <w:t>)</w:t>
      </w:r>
      <w:r>
        <w:t xml:space="preserve">    Článek 3 nařízení Evropského parlamentu a Rady (EU, Euratom) č. </w:t>
      </w:r>
      <w:r>
        <w:t>883/2013</w:t>
      </w:r>
      <w:r>
        <w:t>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9">
    <w:name w:val="9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1start">
    <w:name w:val="Varianta_11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1konec">
    <w:name w:val="Varianta_11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1start">
    <w:name w:val="Ucinnost_11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1konec">
    <w:name w:val="Ucinnost_11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1start">
    <w:name w:val="Pripominky_11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2">
    <w:name w:val="12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2start">
    <w:name w:val="Varianta_1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2konec">
    <w:name w:val="Varianta_1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2start">
    <w:name w:val="Ucinnost_1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2konec">
    <w:name w:val="Ucinnost_1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2start">
    <w:name w:val="Pripominky_1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3">
    <w:name w:val="13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4start">
    <w:name w:val="Varianta_14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4konec">
    <w:name w:val="Varianta_14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4start">
    <w:name w:val="Ucinnost_14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4konec">
    <w:name w:val="Ucinnost_14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4start">
    <w:name w:val="Pripominky_14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5">
    <w:name w:val="15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6start">
    <w:name w:val="Varianta_16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6konec">
    <w:name w:val="Varianta_16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6start">
    <w:name w:val="Ucinnost_16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6konec">
    <w:name w:val="Ucinnost_16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6start">
    <w:name w:val="Pripominky_16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7">
    <w:name w:val="17"/>
    <w:pPr>
      <w:overflowPunct/>
      <w:spacing w:before="0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7start">
    <w:name w:val="Varianta_17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7konec">
    <w:name w:val="Varianta_17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7start">
    <w:name w:val="Ucinnost_17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7konec">
    <w:name w:val="Ucinnost_17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7start">
    <w:name w:val="Pripominky_17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8">
    <w:name w:val="18"/>
    <w:pPr>
      <w:overflowPunct/>
      <w:spacing w:before="28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28" w:after="113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0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3">
    <w:name w:val="2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4">
    <w:name w:val="2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25">
    <w:name w:val="25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26">
    <w:name w:val="26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6start">
    <w:name w:val="Varianta_26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6konec">
    <w:name w:val="Varianta_26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6start">
    <w:name w:val="Ucinnost_26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6konec">
    <w:name w:val="Ucinnost_26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6start">
    <w:name w:val="Pripominky_26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7">
    <w:name w:val="27"/>
    <w:pPr>
      <w:overflowPunct/>
      <w:spacing w:before="113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7start">
    <w:name w:val="Varianta_27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7konec">
    <w:name w:val="Varianta_27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7start">
    <w:name w:val="Ucinnost_27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7konec">
    <w:name w:val="Ucinnost_27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7start">
    <w:name w:val="Pripominky_27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8">
    <w:name w:val="28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28start">
    <w:name w:val="Varianta_28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8konec">
    <w:name w:val="Varianta_28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8start">
    <w:name w:val="Ucinnost_28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8konec">
    <w:name w:val="Ucinnost_28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8start">
    <w:name w:val="Pripominky_28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Sb_2023_34_IZ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0HNNNNBUJ2911:0000000B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338f43fc-b9f1-48f8-b6b4-2390d98c0485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