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542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ze dne 25. listopadu 1992</w:t>
      </w:r>
    </w:p>
    <w:p w:rsidR="00A77B3E">
      <w:pPr>
        <w:pStyle w:val="5"/>
      </w:pPr>
      <w:r>
        <w:t>o zániku České a Slovenské Federativní Republiky</w:t>
      </w:r>
    </w:p>
    <w:p w:rsidR="00A77B3E">
      <w:pPr>
        <w:pStyle w:val="6"/>
      </w:pPr>
      <w:r>
        <w:t>Federální shromáždění České a Slovenské Federativní Republiky respektujíc usnesení České národní rady a Národní rady Slovenské republiky usneslo se na tomto ústavním zákoně:</w:t>
      </w:r>
    </w:p>
    <w:p w:rsidR="00A77B3E">
      <w:pPr>
        <w:pStyle w:val="1"/>
      </w:pPr>
    </w:p>
    <w:p w:rsidR="00A77B3E">
      <w:pPr>
        <w:pStyle w:val="7"/>
      </w:pPr>
      <w:r>
        <w:t>Čl. 1</w:t>
      </w:r>
    </w:p>
    <w:p w:rsidR="00A77B3E">
      <w:pPr>
        <w:pStyle w:val="8"/>
      </w:pPr>
      <w:r>
        <w:t>(1)</w:t>
      </w:r>
      <w:r>
        <w:t>    Uplynutím dne 31. prosince 1992 zaniká Česká a Slovenská Federativní Republika.</w:t>
      </w:r>
    </w:p>
    <w:p w:rsidR="00A77B3E">
      <w:pPr>
        <w:pStyle w:val="9"/>
      </w:pPr>
      <w:r>
        <w:t>(2)</w:t>
      </w:r>
      <w:r>
        <w:t>    Nástupnickými státy České a Slovenské Federativní Republiky jsou Česká republika a Slovenská republika.</w:t>
      </w:r>
    </w:p>
    <w:p w:rsidR="00A77B3E">
      <w:pPr>
        <w:pStyle w:val="7"/>
      </w:pPr>
      <w:r>
        <w:t>Čl. 2</w:t>
      </w:r>
    </w:p>
    <w:p w:rsidR="00A77B3E">
      <w:pPr>
        <w:pStyle w:val="10"/>
      </w:pPr>
      <w:r>
        <w:t>Působnost České a Slovenské Federativní Republiky, která jí byla svěřena ústavními a jinými zákony, přechází na Českou republiku a na Slovenskou republiku dnem 1. ledna 1993.</w:t>
      </w:r>
    </w:p>
    <w:p w:rsidR="00A77B3E">
      <w:pPr>
        <w:pStyle w:val="7"/>
      </w:pPr>
      <w:r>
        <w:t>Čl. 3</w:t>
      </w:r>
    </w:p>
    <w:p w:rsidR="00A77B3E">
      <w:pPr>
        <w:pStyle w:val="8"/>
      </w:pPr>
      <w:r>
        <w:t>(1)</w:t>
      </w:r>
      <w:r>
        <w:t>    Zánikem České a Slovenské Federativní Republiky zanikají státní orgány České a Slovenské Federativní Republiky. Současně zanikají ozbrojené síly a ozbrojené bezpečnostní sbory České a Slovenské Federativní Republiky a rozpočtové a příspěvkové organizace napojené na státní rozpočet České a Slovenské Federativní Republiky a státní organizace v působnosti České a Slovenské Federativní Republiky, které byly zřízeny zákonem.</w:t>
      </w:r>
    </w:p>
    <w:p w:rsidR="00A77B3E">
      <w:pPr>
        <w:pStyle w:val="9"/>
      </w:pPr>
      <w:r>
        <w:t>(2)</w:t>
      </w:r>
      <w:r>
        <w:t>    Česká republika a Slovenská republika nesmějí po zániku České a Slovenské Federativní Republiky užívat státních symbolů České a Slovenské Federativní Republiky.</w:t>
      </w:r>
    </w:p>
    <w:p w:rsidR="00A77B3E">
      <w:pPr>
        <w:pStyle w:val="7"/>
      </w:pPr>
      <w:r>
        <w:t>Čl. 4</w:t>
      </w:r>
    </w:p>
    <w:p w:rsidR="00A77B3E">
      <w:pPr>
        <w:pStyle w:val="8"/>
      </w:pPr>
      <w:r>
        <w:t>(1)</w:t>
      </w:r>
      <w:r>
        <w:t xml:space="preserve">    Počínajíc dnem uvedeným v </w:t>
      </w:r>
      <w:r>
        <w:t>článku 2</w:t>
      </w:r>
      <w:r>
        <w:t xml:space="preserve"> náleží zákonodárná moc v České republice zákonodárnému sboru složenému z poslanců zvolených ve volbách v roce 1992 v České republice do Federálního shromáždění České a Slovenské Federativní Republiky</w:t>
      </w:r>
      <w:r>
        <w:rPr>
          <w:vertAlign w:val="superscript"/>
        </w:rPr>
        <w:t>1</w:t>
      </w:r>
      <w:r>
        <w:t>)</w:t>
      </w:r>
      <w:r>
        <w:t xml:space="preserve"> a do České národní rady.</w:t>
      </w:r>
      <w:r>
        <w:rPr>
          <w:vertAlign w:val="superscript"/>
        </w:rPr>
        <w:t>2</w:t>
      </w:r>
      <w:r>
        <w:t>)</w:t>
      </w:r>
      <w:r>
        <w:t xml:space="preserve"> Vnitřní poměry tohoto zákonodárného sboru stanoví v souladu s </w:t>
      </w:r>
      <w:r>
        <w:t>článkem 7</w:t>
      </w:r>
      <w:r>
        <w:t xml:space="preserve"> zákon České republiky.</w:t>
      </w:r>
    </w:p>
    <w:p w:rsidR="00A77B3E">
      <w:pPr>
        <w:pStyle w:val="11"/>
      </w:pPr>
      <w:r>
        <w:t>(2)</w:t>
      </w:r>
      <w:r>
        <w:t xml:space="preserve">    Počínajíc dnem uvedeným v </w:t>
      </w:r>
      <w:r>
        <w:t>článku 2</w:t>
      </w:r>
      <w:r>
        <w:t xml:space="preserve"> náleží zákonodárná moc ve Slovenské republice zákonodárnému sboru složenému z poslanců zvolených ve volbách v roce 1992 ve Slovenské republice do Federálního shromáždění České a Slovenské Federativní Republiky</w:t>
      </w:r>
      <w:r>
        <w:rPr>
          <w:vertAlign w:val="superscript"/>
        </w:rPr>
        <w:t>1</w:t>
      </w:r>
      <w:r>
        <w:t>)</w:t>
      </w:r>
      <w:r>
        <w:t xml:space="preserve"> a do Slovenské národní rady.</w:t>
      </w:r>
      <w:r>
        <w:rPr>
          <w:vertAlign w:val="superscript"/>
        </w:rPr>
        <w:t>2</w:t>
      </w:r>
      <w:r>
        <w:t>)</w:t>
      </w:r>
      <w:r>
        <w:rPr>
          <w:vertAlign w:val="superscript"/>
        </w:rPr>
        <w:t>,</w:t>
      </w:r>
      <w:r>
        <w:rPr>
          <w:vertAlign w:val="superscript"/>
        </w:rPr>
        <w:t>*</w:t>
      </w:r>
      <w:r>
        <w:t>)</w:t>
      </w:r>
      <w:r>
        <w:t xml:space="preserve"> Vnitřní poměry tohoto zákonodárného sboru stanoví v souladu s </w:t>
      </w:r>
      <w:r>
        <w:t>článkem 7</w:t>
      </w:r>
      <w:r>
        <w:t xml:space="preserve"> zákon Slovenské republiky.</w:t>
      </w:r>
    </w:p>
    <w:p w:rsidR="00A77B3E">
      <w:pPr>
        <w:pStyle w:val="9"/>
      </w:pPr>
      <w:r>
        <w:t>(3)</w:t>
      </w:r>
      <w:r>
        <w:t xml:space="preserve">    Ustanovení zákona </w:t>
      </w:r>
      <w:r>
        <w:t>o volbách do Federálního shromáždění</w:t>
      </w:r>
      <w:r>
        <w:t xml:space="preserve"> o uprázdnění mandátu</w:t>
      </w:r>
      <w:r>
        <w:rPr>
          <w:vertAlign w:val="superscript"/>
        </w:rPr>
        <w:t>3</w:t>
      </w:r>
      <w:r>
        <w:t>)</w:t>
      </w:r>
      <w:r>
        <w:t xml:space="preserve"> zůstávají nedotčena.</w:t>
      </w:r>
    </w:p>
    <w:p w:rsidR="00A77B3E">
      <w:pPr>
        <w:pStyle w:val="7"/>
      </w:pPr>
      <w:r>
        <w:t>Čl. 5</w:t>
      </w:r>
    </w:p>
    <w:p w:rsidR="00A77B3E">
      <w:pPr>
        <w:pStyle w:val="10"/>
      </w:pPr>
      <w:r>
        <w:t>Pravomoc příslušející ke dni zániku České a Slovenské Federativní Republiky vládě České a Slovenské Federativní Republiky náleží od 1. ledna 1993 na území České republiky vládě České republiky a na území Slovenské republiky vládě Slovenské republiky, pokud ústavní zákon České republiky nebo ústavní zákon Slovenské republiky nestanoví jinak.</w:t>
      </w:r>
    </w:p>
    <w:p w:rsidR="00A77B3E">
      <w:pPr>
        <w:pStyle w:val="7"/>
      </w:pPr>
      <w:r>
        <w:t>Čl. 6</w:t>
      </w:r>
    </w:p>
    <w:p w:rsidR="00A77B3E">
      <w:pPr>
        <w:pStyle w:val="8"/>
      </w:pPr>
      <w:r>
        <w:t>(1)</w:t>
      </w:r>
      <w:r>
        <w:t>    Pravomoc příslušející ke dni zániku České a Slovenské Federativní Republiky Nejvyššímu soudu České a Slovenské Federativní Republiky náleží od 1. ledna 1993 na území České republiky Nejvyššímu soudu České republiky a na území Slovenské republiky Nejvyššímu soudu Slovenské republiky, nestanoví-li ústavní zákon České republiky nebo ústavní zákon Slovenské republiky jinak.</w:t>
      </w:r>
    </w:p>
    <w:p w:rsidR="00A77B3E">
      <w:pPr>
        <w:pStyle w:val="9"/>
      </w:pPr>
      <w:r>
        <w:t>(2)</w:t>
      </w:r>
      <w:r>
        <w:t>    Pravomoc příslušející ke dni zániku České a Slovenské Federativní Republiky Ústavnímu soudu České a Slovenské Federativní Republiky vykonává od 1. ledna 1993 ve vztahu k orgánům, institucím a občanům na území České republiky Nejvyšší soud České republiky a ve vztahu k orgánům, institucím a občanům na území Slovenské republiky Nejvyšší soud Slovenské republiky, nestanoví-li ústavní zákon České republiky nebo ústavní zákon Slovenské republiky jinak.</w:t>
      </w:r>
    </w:p>
    <w:p w:rsidR="00A77B3E">
      <w:pPr>
        <w:pStyle w:val="7"/>
      </w:pPr>
      <w:r>
        <w:t>Čl. 7</w:t>
      </w:r>
    </w:p>
    <w:p w:rsidR="00A77B3E">
      <w:pPr>
        <w:pStyle w:val="10"/>
      </w:pPr>
      <w:r>
        <w:t xml:space="preserve">Česká národní rada a Národní rada Slovenské republiky mohou ještě před zánikem České a Slovenské Federativní Republiky s účinností nejdříve od 1. ledna 1993 přijímat ústavní a jiné zákony, jimiž zabezpečí výkon působnosti, která přejde na Českou republiku a Slovenskou republiku podle </w:t>
      </w:r>
      <w:r>
        <w:t>článku 2</w:t>
      </w:r>
      <w:r>
        <w:t>.</w:t>
      </w:r>
    </w:p>
    <w:p w:rsidR="00A77B3E">
      <w:pPr>
        <w:pStyle w:val="7"/>
      </w:pPr>
      <w:r>
        <w:t>Čl. 8</w:t>
      </w:r>
    </w:p>
    <w:p w:rsidR="00A77B3E">
      <w:pPr>
        <w:pStyle w:val="8"/>
      </w:pPr>
      <w:r>
        <w:t>(1)</w:t>
      </w:r>
      <w:r>
        <w:t>    Česká republika a Slovenská republika jsou oprávněny ještě před zánikem České a Slovenské Federativní Republiky uzavírat smlouvy o úpravě vzájemných poměrů ve věcech, které náleží do působnosti České a Slovenské Federativní Republiky, s tím, že tyto smlouvy vstoupí v platnost po zániku České a Slovenské Federativní Republiky.</w:t>
      </w:r>
    </w:p>
    <w:p w:rsidR="00A77B3E">
      <w:pPr>
        <w:pStyle w:val="9"/>
      </w:pPr>
      <w:r>
        <w:t>(2)</w:t>
      </w:r>
      <w:r>
        <w:t>    Česká republika a Slovenská republika mohou ještě před zánikem České a Slovenské Federativní Republiky uzavírat mezinárodní smlouvy vůči třetím státům svým jménem s tím, že tyto smlouvy vstoupí v platnost po zániku České a Slovenské Federativní Republiky.</w:t>
      </w:r>
    </w:p>
    <w:p w:rsidR="00A77B3E">
      <w:pPr>
        <w:pStyle w:val="7"/>
      </w:pPr>
      <w:r>
        <w:t>Čl. 9</w:t>
      </w:r>
    </w:p>
    <w:p w:rsidR="00A77B3E">
      <w:pPr>
        <w:pStyle w:val="1"/>
      </w:pPr>
    </w:p>
    <w:p w:rsidR="00A77B3E">
      <w:pPr>
        <w:pStyle w:val="10"/>
      </w:pPr>
      <w:r>
        <w:t>Tento ústavní zákon nabývá účinnosti dnem vyhlášení.</w:t>
      </w:r>
    </w:p>
    <w:p w:rsidR="00A77B3E">
      <w:pPr>
        <w:pStyle w:val="1"/>
      </w:pPr>
    </w:p>
    <w:p w:rsidR="00A77B3E">
      <w:pPr>
        <w:pStyle w:val="12"/>
      </w:pPr>
      <w:r>
        <w:t>Stráský v. r.</w:t>
      </w:r>
    </w:p>
    <w:p w:rsidR="00A77B3E">
      <w:pPr>
        <w:pStyle w:val="13"/>
      </w:pPr>
      <w:r>
        <w:t>Kováč v. r.</w:t>
      </w:r>
    </w:p>
    <w:p w:rsidR="00A77B3E">
      <w:pPr>
        <w:pStyle w:val="14"/>
      </w:pPr>
    </w:p>
    <w:p w:rsidR="00A77B3E">
      <w:pPr>
        <w:pStyle w:val="15"/>
      </w:pPr>
      <w:r>
        <w:rPr>
          <w:vertAlign w:val="superscript"/>
        </w:rPr>
        <w:t>1</w:t>
      </w:r>
      <w:r>
        <w:t>)</w:t>
      </w:r>
      <w:r>
        <w:t xml:space="preserve">    </w:t>
      </w:r>
      <w:r>
        <w:t>Čl. 30</w:t>
      </w:r>
      <w:r>
        <w:t xml:space="preserve"> a </w:t>
      </w:r>
      <w:r>
        <w:t>31</w:t>
      </w:r>
      <w:r>
        <w:t xml:space="preserve"> </w:t>
      </w:r>
      <w:r>
        <w:t>ústavního zákona č. 143/1968 Sb., o československé federaci</w:t>
      </w:r>
      <w:r>
        <w:t>.</w:t>
      </w:r>
    </w:p>
    <w:p w:rsidR="00A77B3E">
      <w:pPr>
        <w:pStyle w:val="16"/>
      </w:pPr>
      <w:r>
        <w:rPr>
          <w:vertAlign w:val="superscript"/>
        </w:rPr>
        <w:t>2</w:t>
      </w:r>
      <w:r>
        <w:t>)</w:t>
      </w:r>
      <w:r>
        <w:t xml:space="preserve">    </w:t>
      </w:r>
      <w:r>
        <w:t>Čl. 102</w:t>
      </w:r>
      <w:r>
        <w:t xml:space="preserve"> </w:t>
      </w:r>
      <w:r>
        <w:t>ústavního zákona č. 143/1968 Sb.</w:t>
      </w:r>
    </w:p>
    <w:p w:rsidR="00A77B3E">
      <w:pPr>
        <w:pStyle w:val="16"/>
      </w:pPr>
      <w:r>
        <w:rPr>
          <w:vertAlign w:val="superscript"/>
        </w:rPr>
        <w:t>*</w:t>
      </w:r>
      <w:r>
        <w:t>)</w:t>
      </w:r>
      <w:r>
        <w:t xml:space="preserve">    Podle </w:t>
      </w:r>
      <w:r>
        <w:t>čl. 154 odst. 1</w:t>
      </w:r>
      <w:r>
        <w:t xml:space="preserve"> Ústavy Slovenské republiky č. </w:t>
      </w:r>
      <w:r>
        <w:t>460/1992 Sb.</w:t>
      </w:r>
      <w:r>
        <w:t xml:space="preserve"> od 1. října 1992 Národní rada Slovenské republiky.</w:t>
      </w:r>
    </w:p>
    <w:p w:rsidR="00A77B3E">
      <w:pPr>
        <w:pStyle w:val="17"/>
      </w:pPr>
      <w:r>
        <w:rPr>
          <w:vertAlign w:val="superscript"/>
        </w:rPr>
        <w:t>3</w:t>
      </w:r>
      <w:r>
        <w:t>)</w:t>
      </w:r>
      <w:r>
        <w:t xml:space="preserve">    </w:t>
      </w:r>
      <w:r>
        <w:t>§ 49</w:t>
      </w:r>
      <w:r>
        <w:t xml:space="preserve"> </w:t>
      </w:r>
      <w:r>
        <w:t>zákona č. 47/1990 Sb., o volbách do Federálního shromáždění</w:t>
      </w:r>
      <w:r>
        <w:t xml:space="preserve">, ve znění </w:t>
      </w:r>
      <w:r>
        <w:t>zákona č. 59/1992 Sb.</w:t>
      </w:r>
      <w:r>
        <w:t xml:space="preserve"> (úplné znění č. </w:t>
      </w:r>
      <w:r>
        <w:t>60/1992 Sb.</w:t>
      </w:r>
      <w:r>
        <w:t>).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overflowPunct/>
      <w:spacing w:before="0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8start">
    <w:name w:val="Varianta_8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8konec">
    <w:name w:val="Varianta_8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8start">
    <w:name w:val="Ucinnost_8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8konec">
    <w:name w:val="Ucinnost_8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8start">
    <w:name w:val="Pripominky_8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9">
    <w:name w:val="9"/>
    <w:pPr>
      <w:overflowPunct/>
      <w:spacing w:before="113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9start">
    <w:name w:val="Varianta_9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9konec">
    <w:name w:val="Varianta_9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9start">
    <w:name w:val="Ucinnost_9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9konec">
    <w:name w:val="Ucinnost_9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9start">
    <w:name w:val="Pripominky_9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0">
    <w:name w:val="10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11">
    <w:name w:val="11"/>
    <w:pPr>
      <w:overflowPunct/>
      <w:spacing w:before="113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1start">
    <w:name w:val="Varianta_11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1konec">
    <w:name w:val="Varianta_11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1start">
    <w:name w:val="Ucinnost_11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1konec">
    <w:name w:val="Ucinnost_11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1start">
    <w:name w:val="Pripominky_11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2">
    <w:name w:val="12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3">
    <w:name w:val="13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4">
    <w:name w:val="14"/>
    <w:pPr>
      <w:pBdr>
        <w:top w:val="single" w:sz="11" w:space="0" w:color="000000"/>
      </w:pBdr>
      <w:spacing w:before="510" w:after="57"/>
      <w:ind w:right="6236"/>
      <w:jc w:val="left"/>
    </w:pPr>
    <w:rPr>
      <w:rFonts w:ascii="Times New Roman" w:eastAsia="Times New Roman" w:hAnsi="Times New Roman" w:cs="Times New Roman"/>
      <w:sz w:val="18"/>
    </w:rPr>
  </w:style>
  <w:style w:type="paragraph" w:customStyle="1" w:styleId="15">
    <w:name w:val="15"/>
    <w:pPr>
      <w:overflowPunct/>
      <w:spacing w:before="57" w:after="113"/>
      <w:ind w:left="227" w:right="0" w:hanging="227"/>
      <w:jc w:val="left"/>
    </w:pPr>
    <w:rPr>
      <w:rFonts w:ascii="Times New Roman" w:eastAsia="Times New Roman" w:hAnsi="Times New Roman" w:cs="Times New Roman"/>
      <w:sz w:val="20"/>
    </w:rPr>
  </w:style>
  <w:style w:type="paragraph" w:customStyle="1" w:styleId="Varianta15start">
    <w:name w:val="Varianta_15_start"/>
    <w:pPr>
      <w:pBdr>
        <w:top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5konec">
    <w:name w:val="Varianta_15_konec"/>
    <w:pPr>
      <w:pBdr>
        <w:bottom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5start">
    <w:name w:val="Ucinnost_15_start"/>
    <w:pPr>
      <w:pBdr>
        <w:top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5konec">
    <w:name w:val="Ucinnost_15_konec"/>
    <w:pPr>
      <w:pBdr>
        <w:bottom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5start">
    <w:name w:val="Pripominky_15_start"/>
    <w:pPr>
      <w:pBdr>
        <w:top w:val="single" w:sz="8" w:space="0" w:color="87CEFA"/>
      </w:pBdr>
      <w:spacing w:before="0" w:after="100"/>
      <w:ind w:left="227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6">
    <w:name w:val="16"/>
    <w:pPr>
      <w:overflowPunct/>
      <w:spacing w:before="113" w:after="113"/>
      <w:ind w:left="227" w:right="0" w:hanging="227"/>
      <w:jc w:val="left"/>
    </w:pPr>
    <w:rPr>
      <w:rFonts w:ascii="Times New Roman" w:eastAsia="Times New Roman" w:hAnsi="Times New Roman" w:cs="Times New Roman"/>
      <w:sz w:val="20"/>
    </w:rPr>
  </w:style>
  <w:style w:type="paragraph" w:customStyle="1" w:styleId="Varianta16start">
    <w:name w:val="Varianta_16_start"/>
    <w:pPr>
      <w:pBdr>
        <w:top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6konec">
    <w:name w:val="Varianta_16_konec"/>
    <w:pPr>
      <w:pBdr>
        <w:bottom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6start">
    <w:name w:val="Ucinnost_16_start"/>
    <w:pPr>
      <w:pBdr>
        <w:top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6konec">
    <w:name w:val="Ucinnost_16_konec"/>
    <w:pPr>
      <w:pBdr>
        <w:bottom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6start">
    <w:name w:val="Pripominky_16_start"/>
    <w:pPr>
      <w:pBdr>
        <w:top w:val="single" w:sz="8" w:space="0" w:color="87CEFA"/>
      </w:pBdr>
      <w:spacing w:before="0" w:after="100"/>
      <w:ind w:left="227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7">
    <w:name w:val="17"/>
    <w:pPr>
      <w:overflowPunct/>
      <w:spacing w:before="113" w:after="170"/>
      <w:ind w:left="227" w:right="0" w:hanging="227"/>
      <w:jc w:val="left"/>
    </w:pPr>
    <w:rPr>
      <w:rFonts w:ascii="Times New Roman" w:eastAsia="Times New Roman" w:hAnsi="Times New Roman" w:cs="Times New Roman"/>
      <w:sz w:val="20"/>
    </w:rPr>
  </w:style>
  <w:style w:type="paragraph" w:customStyle="1" w:styleId="Varianta17start">
    <w:name w:val="Varianta_17_start"/>
    <w:pPr>
      <w:pBdr>
        <w:top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7konec">
    <w:name w:val="Varianta_17_konec"/>
    <w:pPr>
      <w:pBdr>
        <w:bottom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7start">
    <w:name w:val="Ucinnost_17_start"/>
    <w:pPr>
      <w:pBdr>
        <w:top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7konec">
    <w:name w:val="Ucinnost_17_konec"/>
    <w:pPr>
      <w:pBdr>
        <w:bottom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7start">
    <w:name w:val="Pripominky_17_start"/>
    <w:pPr>
      <w:pBdr>
        <w:top w:val="single" w:sz="8" w:space="0" w:color="87CEFA"/>
      </w:pBdr>
      <w:spacing w:before="0" w:after="100"/>
      <w:ind w:left="227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Sb_1992_542_IZ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0HNNNNBNJQJ0K:00000003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0881c34f-9386-45ea-834c-fc3297bbf255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