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67</w:t>
      </w:r>
    </w:p>
    <w:p w:rsidR="00A77B3E">
      <w:pPr>
        <w:pStyle w:val="3"/>
      </w:pPr>
      <w:r>
        <w:t>ZÁKON</w:t>
      </w:r>
    </w:p>
    <w:p w:rsidR="00A77B3E">
      <w:pPr>
        <w:pStyle w:val="4"/>
      </w:pPr>
      <w:r>
        <w:t>ze dne 15. února 2023</w:t>
      </w:r>
    </w:p>
    <w:p w:rsidR="00A77B3E">
      <w:pPr>
        <w:pStyle w:val="5"/>
      </w:pPr>
      <w:r>
        <w:t>o některých opatřeních proti šíření teroristického obsahu online</w:t>
      </w:r>
    </w:p>
    <w:p w:rsidR="00A77B3E">
      <w:pPr>
        <w:pStyle w:val="6"/>
      </w:pPr>
      <w:r>
        <w:t>Parlament se usnesl na tomto zákoně České republiky: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Předmět úpravy</w:t>
      </w:r>
    </w:p>
    <w:p w:rsidR="00A77B3E">
      <w:pPr>
        <w:pStyle w:val="9"/>
      </w:pPr>
      <w:r>
        <w:t>Tento zákon v návaznosti na přímo použitelný předpis Evropské unie</w:t>
      </w:r>
      <w:r>
        <w:rPr>
          <w:vertAlign w:val="superscript"/>
        </w:rPr>
        <w:t>1</w:t>
      </w:r>
      <w:r>
        <w:t>)</w:t>
      </w:r>
      <w:r>
        <w:t xml:space="preserve"> k ochraně před zneužíváním hostingových služeb k veřejnému šíření teroristického obsahu online upravuje působnost správních orgánů vykonávajících státní správu na tomto úseku, pravomoc soudů, práva a povinnosti při odstraňování teroristického obsahu online a související přestupky.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>Příkaz k odstranění</w:t>
      </w:r>
    </w:p>
    <w:p w:rsidR="00A77B3E">
      <w:pPr>
        <w:pStyle w:val="10"/>
      </w:pPr>
      <w:r>
        <w:t>(1)</w:t>
      </w:r>
      <w:r>
        <w:t xml:space="preserve">    Zjistí-li útvar Policie České republiky, jehož úkolem je boj s terorismem, (dále jen „policie“), že dochází ke zneužití hostingových služeb k veřejnému šíření teroristického obsahu online, může přikázat podle čl. 3 nařízení Evropského parlamentu a Rady (EU) </w:t>
      </w:r>
      <w:r>
        <w:t>2021/784</w:t>
      </w:r>
      <w:r>
        <w:t xml:space="preserve"> (dále jen „nařízení“) odstranění teroristického obsahu nebo znemožnění přístupu k němu, a to na formuláři podle přílohy I </w:t>
      </w:r>
      <w:r>
        <w:t>nařízení</w:t>
      </w:r>
      <w:r>
        <w:t>. Při posuzování, zda dochází k veřejnému šíření teroristického obsahu online, policie přihlédne zejména ke skutečnému účelu šíření obsahu.</w:t>
      </w:r>
    </w:p>
    <w:p w:rsidR="00A77B3E">
      <w:pPr>
        <w:pStyle w:val="11"/>
      </w:pPr>
      <w:r>
        <w:t>(2)</w:t>
      </w:r>
      <w:r>
        <w:t xml:space="preserve">    Vydání příkazu k odstranění teroristického obsahu nebo znemožnění přístupu k němu (dále jen „příkaz k odstranění“) je prvním úkonem v řízení. Příkaz k odstranění se oznamuje pouze poskytovateli hostingové služby a lze jej doručit způsobem uvedeným v </w:t>
      </w:r>
      <w:r>
        <w:t>§ 7 odst. 2</w:t>
      </w:r>
      <w:r>
        <w:t>.</w:t>
      </w:r>
    </w:p>
    <w:p w:rsidR="00A77B3E">
      <w:pPr>
        <w:pStyle w:val="11"/>
      </w:pPr>
      <w:r>
        <w:t>(3)</w:t>
      </w:r>
      <w:r>
        <w:t>    Odvolání proti příkazu k odstranění nemá odkladný účinek.</w:t>
      </w:r>
    </w:p>
    <w:p w:rsidR="00A77B3E">
      <w:pPr>
        <w:pStyle w:val="12"/>
      </w:pPr>
      <w:r>
        <w:t>(4)</w:t>
      </w:r>
      <w:r>
        <w:t xml:space="preserve">    Policie zřídí kontaktní místo podle čl. 12 odst. 2 </w:t>
      </w:r>
      <w:r>
        <w:t>nařízení</w:t>
      </w:r>
      <w:r>
        <w:t xml:space="preserve"> k plnění úkolů podle čl. 3 odst. 6 až 8 </w:t>
      </w:r>
      <w:r>
        <w:t>nařízení</w:t>
      </w:r>
      <w:r>
        <w:t xml:space="preserve"> a způsobem umožňujícím nepřetržitý dálkový přístup zveřejní telefonní číslo pro veřejnou komunikační síť a adresu elektronické pošty, popřípadě další kontaktní údaje kontaktního místa.</w:t>
      </w:r>
    </w:p>
    <w:p w:rsidR="00A77B3E">
      <w:pPr>
        <w:pStyle w:val="7"/>
      </w:pPr>
      <w:r>
        <w:t>§ 3</w:t>
      </w:r>
    </w:p>
    <w:p w:rsidR="00A77B3E">
      <w:pPr>
        <w:pStyle w:val="8"/>
      </w:pPr>
      <w:r>
        <w:t>Odložení informování o odstranění teroristického obsahu</w:t>
      </w:r>
    </w:p>
    <w:p w:rsidR="00A77B3E">
      <w:pPr>
        <w:pStyle w:val="10"/>
      </w:pPr>
      <w:r>
        <w:t>(1)</w:t>
      </w:r>
      <w:r>
        <w:t xml:space="preserve">    Dobu, po kterou není poskytovatel obsahu informován o odstranění teroristického obsahu nebo o znemožnění přístupu k němu, může policie podle čl. 11 odst. 3 </w:t>
      </w:r>
      <w:r>
        <w:t>nařízení</w:t>
      </w:r>
      <w:r>
        <w:t xml:space="preserve"> prodloužit.</w:t>
      </w:r>
    </w:p>
    <w:p w:rsidR="00A77B3E">
      <w:pPr>
        <w:pStyle w:val="11"/>
      </w:pPr>
      <w:r>
        <w:t>(2)</w:t>
      </w:r>
      <w:r>
        <w:t xml:space="preserve">    Na postup podle </w:t>
      </w:r>
      <w:r>
        <w:t>odstavce 1</w:t>
      </w:r>
      <w:r>
        <w:t xml:space="preserve"> se </w:t>
      </w:r>
      <w:r>
        <w:t>§ 2 odst. 2</w:t>
      </w:r>
      <w:r>
        <w:t xml:space="preserve"> a </w:t>
      </w:r>
      <w:r>
        <w:t>3</w:t>
      </w:r>
      <w:r>
        <w:t xml:space="preserve"> použijí obdobně.</w:t>
      </w:r>
    </w:p>
    <w:p w:rsidR="00A77B3E">
      <w:pPr>
        <w:pStyle w:val="12"/>
      </w:pPr>
      <w:r>
        <w:t>(3)</w:t>
      </w:r>
      <w:r>
        <w:t>    Během doby, po kterou je odloženo informování poskytovatele obsahu o odstranění teroristického obsahu nebo o znemožnění přístupu k němu, nelze takovou informaci ani jinak zveřejnit nebo zpřístupnit třetím osobám.</w:t>
      </w:r>
    </w:p>
    <w:p w:rsidR="00A77B3E">
      <w:pPr>
        <w:pStyle w:val="7"/>
      </w:pPr>
      <w:r>
        <w:t>§ 4</w:t>
      </w:r>
    </w:p>
    <w:p w:rsidR="00A77B3E">
      <w:pPr>
        <w:pStyle w:val="8"/>
      </w:pPr>
      <w:r>
        <w:t>Přeshraniční příkaz k odstranění</w:t>
      </w:r>
    </w:p>
    <w:p w:rsidR="00A77B3E">
      <w:pPr>
        <w:pStyle w:val="10"/>
      </w:pPr>
      <w:r>
        <w:t>(1)</w:t>
      </w:r>
      <w:r>
        <w:t xml:space="preserve">    Ministerstvo vnitra (dále jen „ministerstvo“) podle čl. 4 </w:t>
      </w:r>
      <w:r>
        <w:t>nařízení</w:t>
      </w:r>
      <w:r>
        <w:t xml:space="preserve"> rozhoduje, zda příkaz k odstranění předaný ministerstvu podle čl. 4 odst. 1 </w:t>
      </w:r>
      <w:r>
        <w:t>nařízení</w:t>
      </w:r>
      <w:r>
        <w:t xml:space="preserve"> porušuje </w:t>
      </w:r>
      <w:r>
        <w:t>nařízení</w:t>
      </w:r>
      <w:r>
        <w:t xml:space="preserve"> nebo </w:t>
      </w:r>
      <w:r>
        <w:t>Listinu základních práv Evropské unie</w:t>
      </w:r>
      <w:r>
        <w:t>.</w:t>
      </w:r>
    </w:p>
    <w:p w:rsidR="00A77B3E">
      <w:pPr>
        <w:pStyle w:val="12"/>
      </w:pPr>
      <w:r>
        <w:t>(2)</w:t>
      </w:r>
      <w:r>
        <w:t xml:space="preserve">    Vydání rozhodnutí podle čl. 4 odst. 3 </w:t>
      </w:r>
      <w:r>
        <w:t>nařízení</w:t>
      </w:r>
      <w:r>
        <w:t xml:space="preserve"> je prvním úkonem v řízení. Při vydání rozhodnutí podle čl. 4 odst. 4 </w:t>
      </w:r>
      <w:r>
        <w:t>nařízení</w:t>
      </w:r>
      <w:r>
        <w:t xml:space="preserve"> se </w:t>
      </w:r>
      <w:r>
        <w:t>§ 36 odst. 3</w:t>
      </w:r>
      <w:r>
        <w:t xml:space="preserve"> </w:t>
      </w:r>
      <w:r>
        <w:t>správního řádu</w:t>
      </w:r>
      <w:r>
        <w:t xml:space="preserve"> nepoužije. Proti rozhodnutí podle vět první a druhé nelze podat rozklad.</w:t>
      </w:r>
    </w:p>
    <w:p w:rsidR="00A77B3E">
      <w:pPr>
        <w:pStyle w:val="7"/>
      </w:pPr>
      <w:r>
        <w:t>§ 5</w:t>
      </w:r>
    </w:p>
    <w:p w:rsidR="00A77B3E">
      <w:pPr>
        <w:pStyle w:val="8"/>
      </w:pPr>
      <w:r>
        <w:t>Dohled nad prováděním zvláštních opatření</w:t>
      </w:r>
    </w:p>
    <w:p w:rsidR="00A77B3E">
      <w:pPr>
        <w:pStyle w:val="10"/>
      </w:pPr>
      <w:r>
        <w:t>(1)</w:t>
      </w:r>
      <w:r>
        <w:t xml:space="preserve">    Český telekomunikační úřad (dále jen „Úřad“) vykonává dohled nad prováděním zvláštních opatření podle čl. 5 </w:t>
      </w:r>
      <w:r>
        <w:t>nařízení</w:t>
      </w:r>
      <w:r>
        <w:t xml:space="preserve">. V rámci výkonu dohledu může Úřad provádět kontrolu podle </w:t>
      </w:r>
      <w:r>
        <w:t>kontrolního řádu</w:t>
      </w:r>
      <w:r>
        <w:t>.</w:t>
      </w:r>
    </w:p>
    <w:p w:rsidR="00A77B3E">
      <w:pPr>
        <w:pStyle w:val="11"/>
      </w:pPr>
      <w:r>
        <w:t>(2)</w:t>
      </w:r>
      <w:r>
        <w:t xml:space="preserve">    Vydání rozhodnutí Úřadem z moci úřední podle čl. 5 odst. 4 nebo 6 </w:t>
      </w:r>
      <w:r>
        <w:t>nařízení</w:t>
      </w:r>
      <w:r>
        <w:t xml:space="preserve"> může být prvním úkonem v řízení.</w:t>
      </w:r>
    </w:p>
    <w:p w:rsidR="00A77B3E">
      <w:pPr>
        <w:pStyle w:val="11"/>
      </w:pPr>
      <w:r>
        <w:t>(3)</w:t>
      </w:r>
      <w:r>
        <w:t xml:space="preserve">    Úřad na základě žádosti poskytovatele hostingových služeb nebo z moci úřední rozhoduje o tom, že poskytovatel hostingových služeb již není podle čl. 5 odst. 4 </w:t>
      </w:r>
      <w:r>
        <w:t>nařízení</w:t>
      </w:r>
      <w:r>
        <w:t xml:space="preserve"> vystaven teroristickému obsahu. Vydání rozhodnutí podle věty první může být prvním úkonem správního orgánu v řízení.</w:t>
      </w:r>
    </w:p>
    <w:p w:rsidR="00A77B3E">
      <w:pPr>
        <w:pStyle w:val="11"/>
      </w:pPr>
      <w:r>
        <w:t>(4)</w:t>
      </w:r>
      <w:r>
        <w:t xml:space="preserve">    Je-li to nezbytné k zajištění spolehlivého plnění povinností poskytovatele hostingových služeb podle </w:t>
      </w:r>
      <w:r>
        <w:t>nařízení</w:t>
      </w:r>
      <w:r>
        <w:t xml:space="preserve">, může Úřad tomuto poskytovateli nařídit využívání specializovaného elektronického systému spravovaného Europolem (dále jen „systém Europolu“), je-li zřízen, ke komunikaci podle </w:t>
      </w:r>
      <w:r>
        <w:t>§ 7 odst. 1</w:t>
      </w:r>
      <w:r>
        <w:t>. Vydání rozhodnutí podle věty první je prvním úkonem v řízení.</w:t>
      </w:r>
    </w:p>
    <w:p w:rsidR="00A77B3E">
      <w:pPr>
        <w:pStyle w:val="11"/>
      </w:pPr>
      <w:r>
        <w:t>(5)</w:t>
      </w:r>
      <w:r>
        <w:t xml:space="preserve">    Rozhodnutí podle </w:t>
      </w:r>
      <w:r>
        <w:t>odstavců 2 až 4</w:t>
      </w:r>
      <w:r>
        <w:t xml:space="preserve"> lze doručit způsobem uvedeným v </w:t>
      </w:r>
      <w:r>
        <w:t>§ 7 odst. 2</w:t>
      </w:r>
      <w:r>
        <w:t>.</w:t>
      </w:r>
    </w:p>
    <w:p w:rsidR="00A77B3E">
      <w:pPr>
        <w:pStyle w:val="12"/>
      </w:pPr>
      <w:r>
        <w:t>(6)</w:t>
      </w:r>
      <w:r>
        <w:t xml:space="preserve">    Rozklad proti rozhodnutí podle </w:t>
      </w:r>
      <w:r>
        <w:t>odstavců 2</w:t>
      </w:r>
      <w:r>
        <w:t xml:space="preserve"> a </w:t>
      </w:r>
      <w:r>
        <w:t>4</w:t>
      </w:r>
      <w:r>
        <w:t xml:space="preserve"> nemá odkladný účinek.</w:t>
      </w:r>
    </w:p>
    <w:p w:rsidR="00A77B3E">
      <w:pPr>
        <w:pStyle w:val="7"/>
      </w:pPr>
      <w:r>
        <w:t>§ 6</w:t>
      </w:r>
    </w:p>
    <w:p w:rsidR="00A77B3E">
      <w:pPr>
        <w:pStyle w:val="8"/>
      </w:pPr>
      <w:r>
        <w:t>Výměna informací a spolupráce mezi příslušnými orgány</w:t>
      </w:r>
    </w:p>
    <w:p w:rsidR="00A77B3E">
      <w:pPr>
        <w:pStyle w:val="9"/>
      </w:pPr>
      <w:r>
        <w:t xml:space="preserve">Orgány příslušné podle tohoto zákona navzájem spolupracují při plnění svých úkolů a navzájem si předávají, a to i bez žádosti, informace, včetně osobních údajů, které jsou nezbytné pro plnění úkolů v rámci jejich působnosti podle tohoto zákona a podle </w:t>
      </w:r>
      <w:r>
        <w:t>nařízení</w:t>
      </w:r>
      <w:r>
        <w:t xml:space="preserve">. Obdobně policie, ministerstvo a Úřad spolupracují a vyměňují si informace, včetně osobních údajů, které jsou nezbytné pro plnění úkolů podle </w:t>
      </w:r>
      <w:r>
        <w:t>nařízení</w:t>
      </w:r>
      <w:r>
        <w:t>, s příslušnými orgány jiných členských států Evropské unie nebo států, které jsou smluvními stranami Evropského hospodářského prostoru, a s Europolem, a to i prostřednictvím systému Europolu, je-li zřízen.</w:t>
      </w:r>
    </w:p>
    <w:p w:rsidR="00A77B3E">
      <w:pPr>
        <w:pStyle w:val="7"/>
      </w:pPr>
      <w:r>
        <w:t>§ 7</w:t>
      </w:r>
    </w:p>
    <w:p w:rsidR="00A77B3E">
      <w:pPr>
        <w:pStyle w:val="8"/>
      </w:pPr>
      <w:r>
        <w:t>Komunikace příslušných orgánů s poskytovateli hostingových služeb</w:t>
      </w:r>
    </w:p>
    <w:p w:rsidR="00A77B3E">
      <w:pPr>
        <w:pStyle w:val="10"/>
      </w:pPr>
      <w:r>
        <w:t>(1)</w:t>
      </w:r>
      <w:r>
        <w:t>    Policie může ke komunikaci s poskytovateli hostingových služeb využívat systém Europolu, je-li zřízen.</w:t>
      </w:r>
    </w:p>
    <w:p w:rsidR="00A77B3E">
      <w:pPr>
        <w:pStyle w:val="11"/>
      </w:pPr>
      <w:r>
        <w:t>(2)</w:t>
      </w:r>
      <w:r>
        <w:t>    Není-li využit systém Europolu, využije se jiný elektronický prostředek nebo kontaktní údaje, které pro účely komunikace se svým kontaktním místem určil poskytovatel hostingových služeb.</w:t>
      </w:r>
    </w:p>
    <w:p w:rsidR="00A77B3E">
      <w:pPr>
        <w:pStyle w:val="12"/>
      </w:pPr>
      <w:r>
        <w:t>(3)</w:t>
      </w:r>
      <w:r>
        <w:t>    Využívá-li poskytovatel hostingových služeb systém Europolu, doručuje ministerstvo a Úřad prostřednictvím tohoto systému.</w:t>
      </w:r>
    </w:p>
    <w:p w:rsidR="00A77B3E">
      <w:pPr>
        <w:pStyle w:val="7"/>
      </w:pPr>
      <w:r>
        <w:t>§ 8</w:t>
      </w:r>
    </w:p>
    <w:p w:rsidR="00A77B3E">
      <w:pPr>
        <w:pStyle w:val="8"/>
      </w:pPr>
      <w:r>
        <w:t>Poskytování informací o přijatých opatřeních</w:t>
      </w:r>
    </w:p>
    <w:p w:rsidR="00A77B3E">
      <w:pPr>
        <w:pStyle w:val="10"/>
      </w:pPr>
      <w:r>
        <w:t>(1)</w:t>
      </w:r>
      <w:r>
        <w:t xml:space="preserve">    Policie, ministerstvo a poskytovatelé hostingových služeb předávají Úřadu informace uvedené v čl. 21 </w:t>
      </w:r>
      <w:r>
        <w:t>nařízení</w:t>
      </w:r>
      <w:r>
        <w:t>. Úřad tyto informace předává Evropské komisi.</w:t>
      </w:r>
    </w:p>
    <w:p w:rsidR="00A77B3E">
      <w:pPr>
        <w:pStyle w:val="12"/>
      </w:pPr>
      <w:r>
        <w:t>(2)</w:t>
      </w:r>
      <w:r>
        <w:t xml:space="preserve">    Policie, ministerstvo a Úřad zveřejňují výroční zprávy podle čl. 8 </w:t>
      </w:r>
      <w:r>
        <w:t>nařízení</w:t>
      </w:r>
      <w:r>
        <w:t>.</w:t>
      </w:r>
    </w:p>
    <w:p w:rsidR="00A77B3E">
      <w:pPr>
        <w:pStyle w:val="7"/>
      </w:pPr>
      <w:r>
        <w:t>§ 9</w:t>
      </w:r>
    </w:p>
    <w:p w:rsidR="00A77B3E">
      <w:pPr>
        <w:pStyle w:val="8"/>
      </w:pPr>
      <w:r>
        <w:t>Dočasné zachování teroristického obsahu</w:t>
      </w:r>
    </w:p>
    <w:p w:rsidR="00A77B3E">
      <w:pPr>
        <w:pStyle w:val="10"/>
      </w:pPr>
      <w:r>
        <w:t>(1)</w:t>
      </w:r>
      <w:r>
        <w:t xml:space="preserve">    Rozhoduje-li soud o žalobě proti příkazu k odstranění nebo proti rozhodnutí o povinnosti přijmout zvláštní opatření, které vedly k odstranění teroristického obsahu nebo ke znemožnění přístupu k němu, může podle čl. 6 odst. 2 </w:t>
      </w:r>
      <w:r>
        <w:t>nařízení</w:t>
      </w:r>
      <w:r>
        <w:t xml:space="preserve"> prodloužit dobu zachování teroristického obsahu a souvisejících údajů.</w:t>
      </w:r>
    </w:p>
    <w:p w:rsidR="00A77B3E">
      <w:pPr>
        <w:pStyle w:val="12"/>
      </w:pPr>
      <w:r>
        <w:t>(2)</w:t>
      </w:r>
      <w:r>
        <w:t xml:space="preserve">    Vede-li Úřad řízení o zvláštním opatření, které vedlo k odstranění teroristického obsahu nebo ke znemožnění přístupu k němu, může podle čl. 6 odst. 2 </w:t>
      </w:r>
      <w:r>
        <w:t>nařízení</w:t>
      </w:r>
      <w:r>
        <w:t xml:space="preserve"> prodloužit dobu zachování teroristického obsahu a souvisejících údajů.</w:t>
      </w:r>
    </w:p>
    <w:p w:rsidR="00A77B3E">
      <w:pPr>
        <w:pStyle w:val="7"/>
      </w:pPr>
      <w:r>
        <w:t>§ 10</w:t>
      </w:r>
    </w:p>
    <w:p w:rsidR="00A77B3E">
      <w:pPr>
        <w:pStyle w:val="8"/>
      </w:pPr>
      <w:r>
        <w:t>Exekuce ukládáním donucovacích pokut</w:t>
      </w:r>
    </w:p>
    <w:p w:rsidR="00A77B3E">
      <w:pPr>
        <w:pStyle w:val="9"/>
      </w:pPr>
      <w:r>
        <w:t>Výše jednotlivé donucovací pokuty, kterou může Úřad uložit poskytovateli hostingových služeb k vymožení jím uložené povinnosti, nepřekročí 100 000 Kč.</w:t>
      </w:r>
    </w:p>
    <w:p w:rsidR="00A77B3E">
      <w:pPr>
        <w:pStyle w:val="13"/>
      </w:pPr>
      <w:r>
        <w:t>Přestupky</w:t>
      </w:r>
    </w:p>
    <w:p w:rsidR="00A77B3E">
      <w:pPr>
        <w:pStyle w:val="14"/>
      </w:pPr>
      <w:r>
        <w:t>§ 11</w:t>
      </w:r>
    </w:p>
    <w:p w:rsidR="00A77B3E">
      <w:pPr>
        <w:pStyle w:val="15"/>
      </w:pPr>
      <w:r>
        <w:t>(1)</w:t>
      </w:r>
      <w:r>
        <w:t>    Poskytovatel hostingových služeb se dopustí přestupku tím, že</w:t>
      </w:r>
    </w:p>
    <w:p w:rsidR="00A77B3E">
      <w:pPr>
        <w:pStyle w:val="16"/>
      </w:pPr>
      <w:r>
        <w:t>a)</w:t>
      </w:r>
      <w:r>
        <w:t xml:space="preserve">    neodstraní teroristický obsah nebo neznemožní přístup k teroristickému obsahu podle čl. 3 odst. 3 nebo čl. 4 odst. 2 </w:t>
      </w:r>
      <w:r>
        <w:t>nařízení</w:t>
      </w:r>
      <w:r>
        <w:t>,</w:t>
      </w:r>
    </w:p>
    <w:p w:rsidR="00A77B3E">
      <w:pPr>
        <w:pStyle w:val="17"/>
      </w:pPr>
      <w:r>
        <w:t>b)</w:t>
      </w:r>
      <w:r>
        <w:t xml:space="preserve">    neinformuje bez zbytečného odkladu příslušný orgán podle čl. 3 odst. 6 </w:t>
      </w:r>
      <w:r>
        <w:t>nařízení</w:t>
      </w:r>
      <w:r>
        <w:t>,</w:t>
      </w:r>
    </w:p>
    <w:p w:rsidR="00A77B3E">
      <w:pPr>
        <w:pStyle w:val="17"/>
      </w:pPr>
      <w:r>
        <w:t>c)</w:t>
      </w:r>
      <w:r>
        <w:t xml:space="preserve">    neobnoví obsah nebo k němu znovu neumožní přístup podle čl. 4 odst. 7 </w:t>
      </w:r>
      <w:r>
        <w:t>nařízení</w:t>
      </w:r>
      <w:r>
        <w:t>,</w:t>
      </w:r>
    </w:p>
    <w:p w:rsidR="00A77B3E">
      <w:pPr>
        <w:pStyle w:val="17"/>
      </w:pPr>
      <w:r>
        <w:t>d)</w:t>
      </w:r>
      <w:r>
        <w:t xml:space="preserve">    nezavede nebo neuplatňuje ustanovení týkající se zneužívání jeho služeb k veřejnému šíření teroristického obsahu podle čl. 5 odst. 1 </w:t>
      </w:r>
      <w:r>
        <w:t>nařízení</w:t>
      </w:r>
      <w:r>
        <w:t>, je-li vystaven teroristickému obsahu,</w:t>
      </w:r>
    </w:p>
    <w:p w:rsidR="00A77B3E">
      <w:pPr>
        <w:pStyle w:val="17"/>
      </w:pPr>
      <w:r>
        <w:t>e)</w:t>
      </w:r>
      <w:r>
        <w:t xml:space="preserve">    nepřijme nebo neuplatňuje zvláštní opatření na ochranu svých služeb proti veřejnému šíření teroristického obsahu podle čl. 5 odst. 2, 3 nebo 6 </w:t>
      </w:r>
      <w:r>
        <w:t>nařízení</w:t>
      </w:r>
      <w:r>
        <w:t>, je-li vystaven teroristickému obsahu,</w:t>
      </w:r>
    </w:p>
    <w:p w:rsidR="00A77B3E">
      <w:pPr>
        <w:pStyle w:val="17"/>
      </w:pPr>
      <w:r>
        <w:t>f)</w:t>
      </w:r>
      <w:r>
        <w:t xml:space="preserve">    neoznámí Úřadu zvláštní opatření, která přijal nebo hodlá přijmout, podle čl. 5 odst. 5 </w:t>
      </w:r>
      <w:r>
        <w:t>nařízení</w:t>
      </w:r>
      <w:r>
        <w:t>, je-li vystaven teroristickému obsahu,</w:t>
      </w:r>
    </w:p>
    <w:p w:rsidR="00A77B3E">
      <w:pPr>
        <w:pStyle w:val="17"/>
      </w:pPr>
      <w:r>
        <w:t>g)</w:t>
      </w:r>
      <w:r>
        <w:t xml:space="preserve">    nezachová teroristický obsah a související údaje nebo nepoužívá vhodné technické a organizační záruky podle čl. 6 </w:t>
      </w:r>
      <w:r>
        <w:t>nařízení</w:t>
      </w:r>
      <w:r>
        <w:t>,</w:t>
      </w:r>
    </w:p>
    <w:p w:rsidR="00A77B3E">
      <w:pPr>
        <w:pStyle w:val="17"/>
      </w:pPr>
      <w:r>
        <w:t>h)</w:t>
      </w:r>
      <w:r>
        <w:t xml:space="preserve">    nezveřejní zprávu o transparentnosti nebo nevymezí svou politiku na potírání šíření teroristického obsahu podle čl. 7 </w:t>
      </w:r>
      <w:r>
        <w:t>nařízení</w:t>
      </w:r>
      <w:r>
        <w:t>,</w:t>
      </w:r>
    </w:p>
    <w:p w:rsidR="00A77B3E">
      <w:pPr>
        <w:pStyle w:val="17"/>
      </w:pPr>
      <w:r>
        <w:t>i)</w:t>
      </w:r>
      <w:r>
        <w:t xml:space="preserve">    nezavede nebo neprovádí mechanismus pro podávání stížností podle čl. 10 </w:t>
      </w:r>
      <w:r>
        <w:t>nařízení</w:t>
      </w:r>
      <w:r>
        <w:t>,</w:t>
      </w:r>
    </w:p>
    <w:p w:rsidR="00A77B3E">
      <w:pPr>
        <w:pStyle w:val="17"/>
      </w:pPr>
      <w:r>
        <w:t>j)</w:t>
      </w:r>
      <w:r>
        <w:t xml:space="preserve">    neposkytne poskytovateli obsahu informaci o odstranění teroristického obsahu nebo o znemožnění přístupu k němu podle čl. 11 odst. 1 </w:t>
      </w:r>
      <w:r>
        <w:t>nařízení</w:t>
      </w:r>
      <w:r>
        <w:t xml:space="preserve">, ačkoliv nebylo informování odloženo podle </w:t>
      </w:r>
      <w:r>
        <w:t>§ 3</w:t>
      </w:r>
      <w:r>
        <w:t>,</w:t>
      </w:r>
    </w:p>
    <w:p w:rsidR="00A77B3E">
      <w:pPr>
        <w:pStyle w:val="17"/>
      </w:pPr>
      <w:r>
        <w:t>k)</w:t>
      </w:r>
      <w:r>
        <w:t xml:space="preserve">    neposkytne poskytovateli obsahu podle čl. 11 odst. 2 </w:t>
      </w:r>
      <w:r>
        <w:t>nařízení</w:t>
      </w:r>
      <w:r>
        <w:t xml:space="preserve"> informaci nebo kopii příkazu k odstranění, ačkoli nebylo informování odloženo podle </w:t>
      </w:r>
      <w:r>
        <w:t>§ 3</w:t>
      </w:r>
      <w:r>
        <w:t>,</w:t>
      </w:r>
    </w:p>
    <w:p w:rsidR="00A77B3E">
      <w:pPr>
        <w:pStyle w:val="17"/>
      </w:pPr>
      <w:r>
        <w:t>l)</w:t>
      </w:r>
      <w:r>
        <w:t xml:space="preserve">    poskytne, zpřístupní nebo zveřejní informaci uvedenou v čl. 11 odst. 1 nebo 2 </w:t>
      </w:r>
      <w:r>
        <w:t>nařízení</w:t>
      </w:r>
      <w:r>
        <w:t xml:space="preserve"> v době, po kterou bylo informování odloženo podle </w:t>
      </w:r>
      <w:r>
        <w:t>§ 3</w:t>
      </w:r>
      <w:r>
        <w:t>,</w:t>
      </w:r>
    </w:p>
    <w:p w:rsidR="00A77B3E">
      <w:pPr>
        <w:pStyle w:val="17"/>
      </w:pPr>
      <w:r>
        <w:t>m)</w:t>
      </w:r>
      <w:r>
        <w:t xml:space="preserve">    dozví-li se o teroristickém obsahu, jenž bezprostředně ohrožuje život, neprodleně neuvědomí orgány příslušné k vyšetřování a stíhání trestných činů v dotčených členských státech, neuvědomí kontaktní místo, jehož kontaktní údaje jsou zveřejněné podle </w:t>
      </w:r>
      <w:r>
        <w:t>§ 2 odst. 4</w:t>
      </w:r>
      <w:r>
        <w:t xml:space="preserve"> nebo nepředá informace o teroristickém obsahu Europolu podle čl. 14 odst. 5 </w:t>
      </w:r>
      <w:r>
        <w:t>nařízení</w:t>
      </w:r>
      <w:r>
        <w:t>,</w:t>
      </w:r>
    </w:p>
    <w:p w:rsidR="00A77B3E">
      <w:pPr>
        <w:pStyle w:val="17"/>
      </w:pPr>
      <w:r>
        <w:t>n)</w:t>
      </w:r>
      <w:r>
        <w:t xml:space="preserve">    neurčí nebo nezřídí kontaktní místo k přijímání příkazů k odstranění elektronickou cestou a jejich urychlenému zpracování nebo informace o kontaktním místě neučiní veřejně dostupnými podle čl. 15 odst. 1 </w:t>
      </w:r>
      <w:r>
        <w:t>nařízení</w:t>
      </w:r>
      <w:r>
        <w:t>, nebo</w:t>
      </w:r>
    </w:p>
    <w:p w:rsidR="00A77B3E">
      <w:pPr>
        <w:pStyle w:val="18"/>
      </w:pPr>
      <w:r>
        <w:t>o)</w:t>
      </w:r>
      <w:r>
        <w:t>    v případě, že nemá hlavní provozovnu na území Evropské unie,</w:t>
      </w:r>
    </w:p>
    <w:p w:rsidR="00A77B3E">
      <w:pPr>
        <w:pStyle w:val="19"/>
      </w:pPr>
      <w:r>
        <w:t>1.</w:t>
      </w:r>
      <w:r>
        <w:t xml:space="preserve">    neurčí písemně právního zástupce podle čl. 17 odst. 1 </w:t>
      </w:r>
      <w:r>
        <w:t>nařízení</w:t>
      </w:r>
      <w:r>
        <w:t>,</w:t>
      </w:r>
    </w:p>
    <w:p w:rsidR="00A77B3E">
      <w:pPr>
        <w:pStyle w:val="20"/>
      </w:pPr>
      <w:r>
        <w:t>2.</w:t>
      </w:r>
      <w:r>
        <w:t xml:space="preserve">    svému právnímu zástupci neposkytne nezbytné pravomoci a zdroje pro plnění příkazů k odstranění a rozhodnutí a pro spolupráci s příslušnými orgány podle čl. 17 odst. 2 </w:t>
      </w:r>
      <w:r>
        <w:t>nařízení</w:t>
      </w:r>
      <w:r>
        <w:t>, nebo</w:t>
      </w:r>
    </w:p>
    <w:p w:rsidR="00A77B3E">
      <w:pPr>
        <w:pStyle w:val="21"/>
      </w:pPr>
      <w:r>
        <w:t>3.</w:t>
      </w:r>
      <w:r>
        <w:t xml:space="preserve">    určení právního zástupce, který má bydliště nebo je usazen v České republice, nezveřejní nebo neoznámí Úřadu podle čl. 17 odst. 4 </w:t>
      </w:r>
      <w:r>
        <w:t>nařízení</w:t>
      </w:r>
      <w:r>
        <w:t>.</w:t>
      </w:r>
    </w:p>
    <w:p w:rsidR="00A77B3E">
      <w:pPr>
        <w:pStyle w:val="10"/>
      </w:pPr>
      <w:r>
        <w:t>(2)</w:t>
      </w:r>
      <w:r>
        <w:t xml:space="preserve">    Právní zástupce určený podle čl. 17 </w:t>
      </w:r>
      <w:r>
        <w:t>nařízení</w:t>
      </w:r>
      <w:r>
        <w:t xml:space="preserve"> se dopustí přestupku tím, že neposkytuje náležitou součinnost pro účely přijímání, dodržování a vymáhání příkazů k odstranění a rozhodnutí vydaných podle tohoto </w:t>
      </w:r>
      <w:r>
        <w:t>nařízení</w:t>
      </w:r>
      <w:r>
        <w:t xml:space="preserve">, čímž způsobí porušení některé z povinností uvedených v </w:t>
      </w:r>
      <w:r>
        <w:t>odstavci 1 písm. a) až n)</w:t>
      </w:r>
      <w:r>
        <w:t>.</w:t>
      </w:r>
    </w:p>
    <w:p w:rsidR="00A77B3E">
      <w:pPr>
        <w:pStyle w:val="11"/>
      </w:pPr>
      <w:r>
        <w:t>(3)</w:t>
      </w:r>
      <w:r>
        <w:t xml:space="preserve">    Za přestupek podle </w:t>
      </w:r>
      <w:r>
        <w:t>odstavce 1</w:t>
      </w:r>
      <w:r>
        <w:t xml:space="preserve"> nebo </w:t>
      </w:r>
      <w:r>
        <w:t>2</w:t>
      </w:r>
      <w:r>
        <w:t xml:space="preserve"> lze uložit pokutu do 200 000 Kč.</w:t>
      </w:r>
    </w:p>
    <w:p w:rsidR="00A77B3E">
      <w:pPr>
        <w:pStyle w:val="12"/>
      </w:pPr>
      <w:r>
        <w:t>(4)</w:t>
      </w:r>
      <w:r>
        <w:t xml:space="preserve">    Porušuje-li poskytovatel hostingových služeb soustavným nebo přetrvávajícím jednáním povinnosti podle čl. 3 odst. 3 </w:t>
      </w:r>
      <w:r>
        <w:t>nařízení</w:t>
      </w:r>
      <w:r>
        <w:t>, uloží se mu pokuta do výše 4 % celosvětového obratu poskytovatele hostingových služeb v předcházejícím hospodářském roce; je-li tato částka nižší než 500 000 Kč, uloží se pokuta do 500 000 Kč.</w:t>
      </w:r>
    </w:p>
    <w:p w:rsidR="00A77B3E">
      <w:pPr>
        <w:pStyle w:val="7"/>
      </w:pPr>
      <w:r>
        <w:t>§ 12</w:t>
      </w:r>
    </w:p>
    <w:p w:rsidR="00A77B3E">
      <w:pPr>
        <w:pStyle w:val="9"/>
      </w:pPr>
      <w:r>
        <w:t>Přestupky podle tohoto zákona projednává a pokuty vybírá a vymáhá Úřad.</w:t>
      </w:r>
    </w:p>
    <w:p w:rsidR="00A77B3E">
      <w:pPr>
        <w:pStyle w:val="7"/>
      </w:pPr>
      <w:r>
        <w:t>§ 13</w:t>
      </w:r>
    </w:p>
    <w:p w:rsidR="00A77B3E">
      <w:pPr>
        <w:pStyle w:val="8"/>
      </w:pPr>
      <w:r>
        <w:t>Účinnost</w:t>
      </w:r>
    </w:p>
    <w:p w:rsidR="00A77B3E">
      <w:pPr>
        <w:pStyle w:val="1"/>
      </w:pPr>
    </w:p>
    <w:p w:rsidR="00A77B3E">
      <w:pPr>
        <w:pStyle w:val="9"/>
      </w:pPr>
      <w:r>
        <w:t>Tento zákon nabývá účinnosti patnáctým dnem po jeho vyhlášení.</w:t>
      </w:r>
    </w:p>
    <w:p w:rsidR="00A77B3E">
      <w:pPr>
        <w:pStyle w:val="1"/>
      </w:pPr>
    </w:p>
    <w:p w:rsidR="00A77B3E">
      <w:pPr>
        <w:pStyle w:val="22"/>
      </w:pPr>
      <w:r>
        <w:t>Pekarová Adamová v. r.</w:t>
      </w:r>
    </w:p>
    <w:p w:rsidR="00A77B3E">
      <w:pPr>
        <w:pStyle w:val="23"/>
      </w:pPr>
      <w:r>
        <w:t>Zeman v. r.</w:t>
      </w:r>
    </w:p>
    <w:p w:rsidR="00A77B3E">
      <w:pPr>
        <w:pStyle w:val="24"/>
      </w:pPr>
      <w:r>
        <w:t>Fiala v. r.</w:t>
      </w:r>
    </w:p>
    <w:p w:rsidR="00A77B3E">
      <w:pPr>
        <w:pStyle w:val="25"/>
      </w:pPr>
    </w:p>
    <w:p w:rsidR="00A77B3E">
      <w:pPr>
        <w:pStyle w:val="26"/>
      </w:pPr>
      <w:r>
        <w:rPr>
          <w:vertAlign w:val="superscript"/>
        </w:rPr>
        <w:t>1</w:t>
      </w:r>
      <w:r>
        <w:t>)</w:t>
      </w:r>
      <w:r>
        <w:t xml:space="preserve">    Nařízení Evropského parlamentu a Rady (EU) </w:t>
      </w:r>
      <w:r>
        <w:t>2021/784</w:t>
      </w:r>
      <w:r>
        <w:t xml:space="preserve"> ze dne 29. dubna 2021 o potírání šíření teroristického obsahu online.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9">
    <w:name w:val="9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spacing w:before="680" w:after="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14">
    <w:name w:val="14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5">
    <w:name w:val="15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overflowPunct/>
      <w:spacing w:before="0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28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28" w:after="113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3">
    <w:name w:val="2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4">
    <w:name w:val="2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5">
    <w:name w:val="25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26">
    <w:name w:val="26"/>
    <w:pPr>
      <w:overflowPunct/>
      <w:spacing w:before="57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6start">
    <w:name w:val="Varianta_26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6konec">
    <w:name w:val="Varianta_26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6start">
    <w:name w:val="Ucinnost_26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6konec">
    <w:name w:val="Ucinnost_26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6start">
    <w:name w:val="Pripominky_26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Sb_2023_67_IZ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0HNNNNBOQ32OM:00000001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7b3e1486-4ae1-4857-af6b-e52c7d7a4c70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