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74.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ze dne 12. dubna 1946</w:t>
      </w:r>
    </w:p>
    <w:p w:rsidR="00A77B3E">
      <w:pPr>
        <w:pStyle w:val="5"/>
      </w:pPr>
      <w:r>
        <w:t>o udělení státního občanství krajanům vracejícím se do vlasti.</w:t>
      </w:r>
    </w:p>
    <w:p w:rsidR="00A77B3E">
      <w:pPr>
        <w:pStyle w:val="6"/>
      </w:pPr>
      <w:r>
        <w:t>Prozatímní Národní shromáždění republiky Československé usneslo se na tomto ústavním zákoně:</w:t>
      </w:r>
    </w:p>
    <w:p w:rsidR="00A77B3E">
      <w:pPr>
        <w:pStyle w:val="1"/>
      </w:pPr>
    </w:p>
    <w:p w:rsidR="00A77B3E">
      <w:pPr>
        <w:pStyle w:val="7"/>
      </w:pPr>
      <w:r>
        <w:t>§ 1.</w:t>
      </w:r>
    </w:p>
    <w:p w:rsidR="00A77B3E">
      <w:pPr>
        <w:pStyle w:val="8"/>
      </w:pPr>
      <w:r>
        <w:t>(1)</w:t>
      </w:r>
      <w:r>
        <w:t>    Čechům a Slovákům, kteří jsou občany cizího státu nebo bezdomovci a kteří se přistěhovali nebo přistěhují na území Československé republiky na podkladě československé úřední přesidlovací akce, udělí se československé státní občanství, požádají-li o ně do dvou let ode dne počátku účinnosti tohoto zákona a nebudou-li tomu brániti důvody veřejného zájmu zvláštního zřetele hodné. O žádosti rozhodne ministerstvo vnitra. Až do vyřízení takové žádosti považuje se žadatel za československého státního občana, vydalo-li mu ministerstvo vnitra osvědčení o správně podané žádosti.</w:t>
      </w:r>
    </w:p>
    <w:p w:rsidR="00A77B3E">
      <w:pPr>
        <w:pStyle w:val="9"/>
      </w:pPr>
      <w:r>
        <w:t>(2)</w:t>
      </w:r>
      <w:r>
        <w:t xml:space="preserve">    Nerozvedené manželky a nezletilé děti nabývají státního občanství spolu s manželem, otcem, nemanželskou nebo ovdovělou matkou, jsou-li do žádosti jejich pojaty a ministerstvo vnitra je z nabytí nevyloučí z důvodu uvedeného v </w:t>
      </w:r>
      <w:r>
        <w:t>odstavci 1.</w:t>
      </w:r>
      <w:r>
        <w:t xml:space="preserve"> Ustanovení </w:t>
      </w:r>
      <w:r>
        <w:t>odstavce 1</w:t>
      </w:r>
      <w:r>
        <w:t xml:space="preserve"> poslední věty se vztahuje i na ně.</w:t>
      </w:r>
    </w:p>
    <w:p w:rsidR="00A77B3E">
      <w:pPr>
        <w:pStyle w:val="9"/>
      </w:pPr>
      <w:r>
        <w:t>(3)</w:t>
      </w:r>
      <w:r>
        <w:t>    O výkonu slibu věrnosti Československé republice platí všeobecné předpisy.</w:t>
      </w:r>
    </w:p>
    <w:p w:rsidR="00A77B3E">
      <w:pPr>
        <w:pStyle w:val="9"/>
      </w:pPr>
      <w:r>
        <w:t>(4)</w:t>
      </w:r>
      <w:r>
        <w:t>    Nabyla-li některá osoba podle tohoto zákona československého státního občanství, aniž nabyla i domovského práva v některé obci Československé republiky, nabude domovského práva v obci, v níž se po příchodu na území Československé republiky jako v řádném bydlišti usadí.</w:t>
      </w:r>
    </w:p>
    <w:p w:rsidR="00A77B3E">
      <w:pPr>
        <w:pStyle w:val="10"/>
      </w:pPr>
      <w:r>
        <w:t>(5)</w:t>
      </w:r>
      <w:r>
        <w:t>    Ministerstvo vnitra může vyhláškou v Úředním listě přenésti svou působnost podle tohoto zákona na jiné orgány veřejné správy.</w:t>
      </w:r>
    </w:p>
    <w:p w:rsidR="00A77B3E">
      <w:pPr>
        <w:pStyle w:val="7"/>
      </w:pPr>
      <w:r>
        <w:t>§ 2.</w:t>
      </w:r>
    </w:p>
    <w:p w:rsidR="00A77B3E">
      <w:pPr>
        <w:pStyle w:val="8"/>
      </w:pPr>
      <w:r>
        <w:t>(1)</w:t>
      </w:r>
      <w:r>
        <w:t xml:space="preserve">    Čechům, Slovákům a příslušníkům jiných slovanských národů, kteří jsou občany cizího státu nebo bezdomovci, kteří se přistěhovali nebo přistěhují na území Československé republiky po osvobození tohoto území od nepřátelské okupace a u nichž jsou jinak splněny předpoklady </w:t>
      </w:r>
      <w:r>
        <w:t>§ 1</w:t>
      </w:r>
      <w:r>
        <w:t>, může býti uděleno československé státní občanství, požádají-li o ně do dvou let ode dne počátku účinnosti tohoto zákona a osvědčí-li, že nebyli nikdy trestáni pro těžký delikt, spáchaný z pohnutek nízkých nebo nečestných, neprohřešili se proti zájmům republiky Československé a jejím vůdčím zásadám a nepřipadnou na obtíž veřejné dobročinnosti. O žádosti rozhodne ministerstvo vnitra podle volné úvahy. Až do vyřízení takové žádosti považuje se žadatel za československého státního občana, vydalo-li mu ministerstvo vnitra osvědčení o správně podané žádosti.</w:t>
      </w:r>
    </w:p>
    <w:p w:rsidR="00A77B3E">
      <w:pPr>
        <w:pStyle w:val="10"/>
      </w:pPr>
      <w:r>
        <w:t>(2)</w:t>
      </w:r>
      <w:r>
        <w:t xml:space="preserve">    Ustanovení </w:t>
      </w:r>
      <w:r>
        <w:t>§ 1</w:t>
      </w:r>
      <w:r>
        <w:t xml:space="preserve">, </w:t>
      </w:r>
      <w:r>
        <w:t>odst. 2 až 5</w:t>
      </w:r>
      <w:r>
        <w:t xml:space="preserve"> platí obdobně i tu.</w:t>
      </w:r>
    </w:p>
    <w:p w:rsidR="00A77B3E">
      <w:pPr>
        <w:pStyle w:val="7"/>
      </w:pPr>
      <w:r>
        <w:t>§ 3.</w:t>
      </w:r>
    </w:p>
    <w:p w:rsidR="00A77B3E">
      <w:pPr>
        <w:pStyle w:val="11"/>
      </w:pPr>
      <w:r>
        <w:t>Písemnosti a úřední vyhotovení k provedení tohoto zákona jsou osvobozeny od poplatků a dávek za úřední úkony ve věcech správních.</w:t>
      </w:r>
    </w:p>
    <w:p w:rsidR="00A77B3E">
      <w:pPr>
        <w:pStyle w:val="7"/>
      </w:pPr>
      <w:r>
        <w:t>§ 4.</w:t>
      </w:r>
    </w:p>
    <w:p w:rsidR="00A77B3E">
      <w:pPr>
        <w:pStyle w:val="1"/>
      </w:pPr>
    </w:p>
    <w:p w:rsidR="00A77B3E">
      <w:pPr>
        <w:pStyle w:val="11"/>
      </w:pPr>
      <w:r>
        <w:t>Tento zákon nabývá účinnosti dnem vyhlášení; provede jej ministr vnitra v dohodě se zúčastněnými ministry.</w:t>
      </w:r>
    </w:p>
    <w:p w:rsidR="00A77B3E">
      <w:pPr>
        <w:pStyle w:val="1"/>
      </w:pPr>
    </w:p>
    <w:p w:rsidR="00A77B3E">
      <w:pPr>
        <w:pStyle w:val="12"/>
      </w:pPr>
      <w:r>
        <w:t>Dr. Beneš v. r.</w:t>
      </w:r>
    </w:p>
    <w:p w:rsidR="00A77B3E">
      <w:pPr>
        <w:pStyle w:val="13"/>
      </w:pPr>
      <w:r>
        <w:t>Fierlinger v. r.</w:t>
      </w:r>
    </w:p>
    <w:p w:rsidR="00A77B3E">
      <w:pPr>
        <w:pStyle w:val="14"/>
      </w:pPr>
      <w:r>
        <w:t>Nosek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8start">
    <w:name w:val="Varianta_8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8konec">
    <w:name w:val="Varianta_8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8start">
    <w:name w:val="Ucinnost_8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8konec">
    <w:name w:val="Ucinnost_8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8start">
    <w:name w:val="Pripominky_8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9">
    <w:name w:val="9"/>
    <w:pPr>
      <w:overflowPunct/>
      <w:spacing w:before="113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9start">
    <w:name w:val="Varianta_9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9konec">
    <w:name w:val="Varianta_9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9start">
    <w:name w:val="Ucinnost_9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9konec">
    <w:name w:val="Ucinnost_9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9start">
    <w:name w:val="Pripominky_9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0">
    <w:name w:val="10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0start">
    <w:name w:val="Varianta_10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0konec">
    <w:name w:val="Varianta_10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0start">
    <w:name w:val="Ucinnost_10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0konec">
    <w:name w:val="Ucinnost_10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0start">
    <w:name w:val="Pripominky_10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1">
    <w:name w:val="11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12">
    <w:name w:val="12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3">
    <w:name w:val="13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4">
    <w:name w:val="14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Sb_1946_74_IZ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0HNNNNBL0J6KV:00000009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3984f629-035c-4e86-a448-b506c57e5b49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