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«Эколэнд».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— анализ основного бизнес-процесса ООО «Эколэнд»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«Эколэнд» при разработке мер по повышению конкурентоспособности своего предприятия.</w:t>
      </w:r>
    </w:p>
    <w:p w14:paraId="4D182859" w14:textId="77777777" w:rsidR="00BC01C4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</w:t>
      </w:r>
      <w:r w:rsidR="00BC01C4">
        <w:rPr>
          <w:rFonts w:ascii="Times New Roman" w:hAnsi="Times New Roman" w:cs="Times New Roman"/>
          <w:sz w:val="28"/>
          <w:szCs w:val="28"/>
        </w:rPr>
        <w:t>:</w:t>
      </w:r>
    </w:p>
    <w:p w14:paraId="33CE89F7" w14:textId="340D12C2" w:rsidR="000C5BCE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C5BCE">
        <w:rPr>
          <w:rFonts w:ascii="Times New Roman" w:hAnsi="Times New Roman" w:cs="Times New Roman"/>
          <w:sz w:val="28"/>
          <w:szCs w:val="28"/>
        </w:rPr>
        <w:t xml:space="preserve"> сумма годовой экономии при переходе от ручного труда к машинному составит 122 287 руб.</w:t>
      </w:r>
      <w:r w:rsidR="005C4D2C">
        <w:rPr>
          <w:rFonts w:ascii="Times New Roman" w:hAnsi="Times New Roman" w:cs="Times New Roman"/>
          <w:sz w:val="28"/>
          <w:szCs w:val="28"/>
        </w:rPr>
        <w:t>;</w:t>
      </w:r>
    </w:p>
    <w:p w14:paraId="7D23FDD7" w14:textId="6F72C3B1" w:rsidR="00BC01C4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сокращение временных затрат на выполнение задач основным сотрудником бизнес-процесса составит 50%;</w:t>
      </w:r>
    </w:p>
    <w:p w14:paraId="20CA5616" w14:textId="6A30F2CE" w:rsidR="00BC01C4" w:rsidRPr="00936C8C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ожидается повышение прибыли на 11%.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26A975E3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1111ADE7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1BA1FC44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19A8524C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1E434898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73BAA0C8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5E6D851F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780F2C8B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646A11B0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758C9AED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6F32E71F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360EB2D6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388C1744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4FD664F1" w:rsidR="003B7CE4" w:rsidRPr="003B7CE4" w:rsidRDefault="005E7528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762725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Коскур-Оглы Е.О., Варзунов А.В., Торосян Е.К., Сажнева Л.П., Поляков К.Л. и др. Концепция автоматизации бизнес-процессов является предметом исследования в работах отечественных и зарубежных ученых: Будро Дж., Варзунов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Джестон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 — проанализировать основной бизнес-процесс ООО «Эколэнд»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«Эколэнд»;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«Эколэнд»;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6F2274A6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ООО «Эколэнд».</w:t>
      </w:r>
    </w:p>
    <w:p w14:paraId="35D057B0" w14:textId="38935222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</w:t>
      </w:r>
      <w:r w:rsidR="00326003" w:rsidRPr="0032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326003">
        <w:rPr>
          <w:rFonts w:ascii="Times New Roman" w:hAnsi="Times New Roman" w:cs="Times New Roman"/>
          <w:sz w:val="28"/>
          <w:szCs w:val="28"/>
        </w:rPr>
        <w:t>й бизнес-процесс организации, осуществляющей</w:t>
      </w:r>
      <w:r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Информационной базой исследования являются бухгалтерская отчетность ООО «Эколэнд»,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«Эколэнд»,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7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7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8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8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43C8064F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36AE229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E55EEC" w:rsidRPr="0002083B" w:rsidRDefault="00E55EEC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E55EEC" w:rsidRPr="0002083B" w:rsidRDefault="00E55EE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E55EEC" w:rsidRPr="0002083B" w:rsidRDefault="00E55EE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E55EEC" w:rsidRPr="0002083B" w:rsidRDefault="00E55EEC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E55EEC" w:rsidRPr="0002083B" w:rsidRDefault="00E55EE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E55EEC" w:rsidRPr="0002083B" w:rsidRDefault="00E55EE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74F97EF6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3446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313B11DC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A26EBF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2A848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C00E126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CF6BCD0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2C273C0F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10874B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9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9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26BF8B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6136C7BB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75E2C" w14:textId="09ACF58C" w:rsidR="00EF3322" w:rsidRDefault="00D57D7F" w:rsidP="00463A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  <w:r w:rsidR="00463A7B" w:rsidRPr="00463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выде</w:t>
      </w:r>
      <w:r>
        <w:rPr>
          <w:rFonts w:ascii="Times New Roman" w:hAnsi="Times New Roman" w:cs="Times New Roman"/>
          <w:sz w:val="28"/>
          <w:szCs w:val="28"/>
        </w:rPr>
        <w:lastRenderedPageBreak/>
        <w:t>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4CDEC7FE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56F678A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5FF46A77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7D6B0B6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463A7B" w:rsidRPr="00463A7B">
        <w:rPr>
          <w:rFonts w:ascii="Times New Roman" w:hAnsi="Times New Roman" w:cs="Times New Roman"/>
          <w:sz w:val="28"/>
          <w:szCs w:val="28"/>
        </w:rPr>
        <w:t>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FEC569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667EF5F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08360D0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0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0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1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1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C50BEE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4B143EF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363C21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6E836CF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2FCCF5E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E55EEC" w:rsidRPr="006A4F41" w:rsidRDefault="00E55EEC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E55EEC" w:rsidRPr="006A4F41" w:rsidRDefault="00E55EEC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31B2F67D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287F1048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03773784" w:rsidR="00251CAF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9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E7F8C"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 w:rsidR="00DE7F8C">
        <w:rPr>
          <w:rFonts w:ascii="Times New Roman" w:hAnsi="Times New Roman" w:cs="Times New Roman"/>
          <w:sz w:val="28"/>
          <w:szCs w:val="28"/>
        </w:rPr>
        <w:t>нная функ</w:t>
      </w:r>
      <w:r w:rsidR="00DE7F8C"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 w:rsidR="00DE7F8C"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 w:rsidR="00DE7F8C"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="00DE7F8C"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 w:rsidR="00DE7F8C">
        <w:rPr>
          <w:rFonts w:ascii="Times New Roman" w:hAnsi="Times New Roman" w:cs="Times New Roman"/>
          <w:sz w:val="28"/>
          <w:szCs w:val="28"/>
        </w:rPr>
        <w:t>енеральный директор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DB1AA1" w14:textId="120DF8FD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б</w:t>
      </w:r>
      <w:r w:rsidR="00DE7F8C"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 w:rsidR="00DE7F8C"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="00DE7F8C"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 w:rsidR="00DE7F8C">
        <w:rPr>
          <w:rFonts w:ascii="Times New Roman" w:hAnsi="Times New Roman" w:cs="Times New Roman"/>
          <w:sz w:val="28"/>
          <w:szCs w:val="28"/>
        </w:rPr>
        <w:t>ится главный бухгалтер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FB5126" w14:textId="7523993E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ф</w:t>
      </w:r>
      <w:r w:rsidR="00DE7F8C"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 w:rsidR="00DE7F8C">
        <w:rPr>
          <w:rFonts w:ascii="Times New Roman" w:hAnsi="Times New Roman" w:cs="Times New Roman"/>
          <w:sz w:val="28"/>
          <w:szCs w:val="28"/>
        </w:rPr>
        <w:t>яемые финансо</w:t>
      </w:r>
      <w:r w:rsidR="00DE7F8C"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67C7EA" w14:textId="2056D7B8" w:rsidR="00DE7F8C" w:rsidRDefault="00AF7699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="00DE7F8C"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 w:rsidR="00DE7F8C"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="00DE7F8C"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 w:rsidR="00DE7F8C"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8F2861E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2" w:name="_Toc37762731"/>
      <w:r w:rsidRPr="002F5412">
        <w:t>2</w:t>
      </w:r>
      <w:r>
        <w:t>.2 Анализ конкурентной среды. Выработка стратегии</w:t>
      </w:r>
      <w:bookmarkEnd w:id="12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350611F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19C0D061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A54001">
        <w:rPr>
          <w:rFonts w:ascii="Times New Roman" w:hAnsi="Times New Roman" w:cs="Times New Roman"/>
          <w:sz w:val="28"/>
          <w:szCs w:val="28"/>
        </w:rPr>
        <w:t>.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FED64B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«Эколэнд»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41247516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3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3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A90EAC0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«Эколэнд»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4C8D7580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9E198D9" w:rsidR="00263B9E" w:rsidRDefault="00A540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2B72D72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 w:rsidR="00DB3C01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2EAC973F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>).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4D9C9F8E" w:rsidR="001E14E2" w:rsidRDefault="001E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E3325F4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>одителям.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AEC2FF8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Microsoft Excel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6385E959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33B6B2EB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64F7A020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) рассматриваемого бизнес-процесса </w:t>
      </w:r>
      <w:r w:rsidR="005F57B0">
        <w:rPr>
          <w:rFonts w:ascii="Times New Roman" w:hAnsi="Times New Roman" w:cs="Times New Roman"/>
          <w:sz w:val="28"/>
          <w:szCs w:val="28"/>
        </w:rPr>
        <w:t>это</w:t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6623CCDA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4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4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5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5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10715A6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C985C4E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51866E7A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</w:t>
      </w:r>
      <w:r w:rsidR="00B058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0D6D126C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E2D87A2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3B290DB9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6" w:name="_Toc37762735"/>
      <w:r>
        <w:t>3.2 Расчет экономической эффективности проекта автоматизации</w:t>
      </w:r>
      <w:bookmarkEnd w:id="16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428C9BE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59249271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5E7528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5E7528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5E7528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5E7528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5E7528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E55EEC" w:rsidRPr="00355E10" w14:paraId="77B0C284" w14:textId="77777777" w:rsidTr="00CB7713">
        <w:tc>
          <w:tcPr>
            <w:tcW w:w="4110" w:type="dxa"/>
            <w:vAlign w:val="center"/>
          </w:tcPr>
          <w:p w14:paraId="09265FD6" w14:textId="318D4C73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03740BA" w14:textId="14BAB571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2BAEAF4" w14:textId="59CF6579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57D43BC6" w14:textId="0474C05B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0406106C" w14:textId="0E041E08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E55EEC" w:rsidRPr="00355E10" w14:paraId="44C3CA2D" w14:textId="77777777" w:rsidTr="00CB7713">
        <w:tc>
          <w:tcPr>
            <w:tcW w:w="4110" w:type="dxa"/>
            <w:vAlign w:val="center"/>
          </w:tcPr>
          <w:p w14:paraId="4B7E9B94" w14:textId="2B77BEDA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53235C13" w14:textId="2BE1748F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E90208B" w14:textId="034167BF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4A3D2D97" w14:textId="7F35BD09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280AE36E" w14:textId="4BA1FA62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10C7C2AC" w:rsidR="002E6C7E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DE62CD">
        <w:rPr>
          <w:rFonts w:ascii="Times New Roman" w:hAnsi="Times New Roman" w:cs="Times New Roman"/>
          <w:sz w:val="28"/>
          <w:szCs w:val="28"/>
        </w:rPr>
        <w:t xml:space="preserve">расчета экономической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проекта автоматизации основного бизнес-процесса организации </w:t>
      </w:r>
      <w:r w:rsidR="00DE62CD">
        <w:rPr>
          <w:rFonts w:ascii="Times New Roman" w:hAnsi="Times New Roman" w:cs="Times New Roman"/>
          <w:sz w:val="28"/>
          <w:szCs w:val="28"/>
        </w:rPr>
        <w:t>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950F7AF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</w:t>
            </w:r>
            <w:r w:rsidR="001F06CC"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4F676183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5FDD02E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«Эколэнд» промежуточные расчеты (таблица 5).</w:t>
      </w:r>
    </w:p>
    <w:p w14:paraId="4C9C67F2" w14:textId="06EE5978" w:rsidR="008E5350" w:rsidRDefault="008E5350" w:rsidP="008E5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5E7528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5E7528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5E7528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5E7528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5E7528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31225" w:rsidRPr="00355E10" w14:paraId="18A0238D" w14:textId="77777777" w:rsidTr="00772D7F">
        <w:tc>
          <w:tcPr>
            <w:tcW w:w="5203" w:type="dxa"/>
            <w:vAlign w:val="center"/>
          </w:tcPr>
          <w:p w14:paraId="782E8B15" w14:textId="6BADFB1B" w:rsidR="00F31225" w:rsidRDefault="00F31225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089" w:type="dxa"/>
            <w:vAlign w:val="center"/>
          </w:tcPr>
          <w:p w14:paraId="2C9A8C68" w14:textId="7FEE6B19" w:rsidR="00F31225" w:rsidRDefault="005E7528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40093B49" w14:textId="09408875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D3440A1" w14:textId="23B6403E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69C5755D" w14:textId="77777777" w:rsidR="008E5350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</w:t>
      </w:r>
    </w:p>
    <w:p w14:paraId="5A1FFEC4" w14:textId="7D1C0C8E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72D7F">
        <w:rPr>
          <w:rFonts w:ascii="Times New Roman" w:hAnsi="Times New Roman" w:cs="Times New Roman"/>
          <w:sz w:val="28"/>
          <w:szCs w:val="28"/>
        </w:rPr>
        <w:t xml:space="preserve"> сумму годовой экономии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EA6CC2" w14:textId="123B233D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72D7F">
        <w:rPr>
          <w:rFonts w:ascii="Times New Roman" w:hAnsi="Times New Roman" w:cs="Times New Roman"/>
          <w:sz w:val="28"/>
          <w:szCs w:val="28"/>
        </w:rPr>
        <w:t xml:space="preserve">срок окупаемости проекта. </w:t>
      </w:r>
    </w:p>
    <w:p w14:paraId="7E7255C0" w14:textId="1082E72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</w:t>
      </w:r>
      <w:r w:rsidR="008E5350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E5350">
        <w:rPr>
          <w:rFonts w:ascii="Times New Roman" w:hAnsi="Times New Roman" w:cs="Times New Roman"/>
          <w:sz w:val="28"/>
          <w:szCs w:val="28"/>
        </w:rPr>
        <w:t>суммы годовой экономии</w:t>
      </w:r>
      <w:r>
        <w:rPr>
          <w:rFonts w:ascii="Times New Roman" w:hAnsi="Times New Roman" w:cs="Times New Roman"/>
          <w:sz w:val="28"/>
          <w:szCs w:val="28"/>
        </w:rPr>
        <w:t>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C4C03" w14:textId="3EF7CF05" w:rsidR="00772D7F" w:rsidRDefault="000E4F07" w:rsidP="00F312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CDBD12" w14:textId="77777777" w:rsidR="008E5350" w:rsidRDefault="008E5350" w:rsidP="00F31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A49D8" w14:textId="5660C0C8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 реализации предложенных решений по совершенствованию основного бизнес-процесса ООО «Эколэнд», а именно проекта по авто</w:t>
      </w:r>
      <w:r w:rsidR="00D4317E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2BA862D" w14:textId="40AFAB8B" w:rsidR="008E5350" w:rsidRDefault="008E5350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тизации приема, учета и обработки заявок </w:t>
      </w:r>
      <w:r w:rsidR="002A60BD">
        <w:rPr>
          <w:rFonts w:ascii="Times New Roman" w:hAnsi="Times New Roman" w:cs="Times New Roman"/>
          <w:sz w:val="28"/>
          <w:szCs w:val="28"/>
        </w:rPr>
        <w:t>на утилизацию отходов возможно достигнуть следующих результатов:</w:t>
      </w:r>
    </w:p>
    <w:p w14:paraId="7E06C633" w14:textId="16AB220A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годовая экономия при переходе от ручной обработки заявок к машинной составит 122 287 руб.;</w:t>
      </w:r>
    </w:p>
    <w:p w14:paraId="05D559FE" w14:textId="5BD85E6B" w:rsidR="002A60BD" w:rsidRDefault="002A60BD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721E9">
        <w:rPr>
          <w:rFonts w:ascii="Times New Roman" w:hAnsi="Times New Roman" w:cs="Times New Roman"/>
          <w:sz w:val="28"/>
          <w:szCs w:val="28"/>
        </w:rPr>
        <w:t>сокращение временных затрат основного сотрудника бизнес-процесса, а именно диспетчера, на решение задач в 2 раза, с 16 рабочих дней до 8 рабочих дней;</w:t>
      </w:r>
    </w:p>
    <w:p w14:paraId="78D5526C" w14:textId="795F65FC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освободившееся время диспетчера возможно использовать как для других задач, так и для обработки большего количества заявок;</w:t>
      </w:r>
    </w:p>
    <w:p w14:paraId="08D78A44" w14:textId="6E421CFF" w:rsidR="002721E9" w:rsidRDefault="002721E9" w:rsidP="007B1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ожидаемое повышение прибыли организации до 11% (данный показатель взят из опыта интегратора по внедрению аналогичного проекта в других организациях </w:t>
      </w:r>
      <w:r w:rsidRPr="00F73AD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 w:rsidR="007B16A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73AD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9CBEF9" w14:textId="48A7DBCF" w:rsidR="008E5350" w:rsidRDefault="00276B34" w:rsidP="008E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</w:t>
      </w:r>
      <w:r w:rsidR="008E5350">
        <w:rPr>
          <w:rFonts w:ascii="Times New Roman" w:hAnsi="Times New Roman" w:cs="Times New Roman"/>
          <w:sz w:val="28"/>
          <w:szCs w:val="28"/>
        </w:rPr>
        <w:t>новного работника (диспетчера).</w:t>
      </w:r>
    </w:p>
    <w:p w14:paraId="28E0DF41" w14:textId="2BA2D596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8E5350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7" w:name="_Toc37762736"/>
      <w:r>
        <w:lastRenderedPageBreak/>
        <w:t>ЗАКЛЮЧЕНИЕ</w:t>
      </w:r>
      <w:bookmarkEnd w:id="17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«Эколэнд»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«Эколэнд»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В-пятых, сформулированы требования к информационной системе, в рамках которой возможно выполнить автоматизацию основного бизнес-процесса ООО «Эколэнд»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«Эколэнд»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«Эколэнд»,</w:t>
      </w:r>
    </w:p>
    <w:p w14:paraId="70C025C0" w14:textId="03AEFF2C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</w:t>
      </w:r>
      <w:bookmarkStart w:id="18" w:name="_GoBack"/>
      <w:bookmarkEnd w:id="18"/>
      <w:r w:rsidRPr="00E960FE">
        <w:rPr>
          <w:rFonts w:ascii="Times New Roman" w:hAnsi="Times New Roman" w:cs="Times New Roman"/>
          <w:sz w:val="28"/>
          <w:szCs w:val="28"/>
        </w:rPr>
        <w:t xml:space="preserve">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762737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449EB2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N 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2B404FB0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219F1748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1D63F75D" w14:textId="1E12A019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N 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E998183" w14:textId="0F62DAD8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Об утверждении региональной программы в области обращения с отходами, в том числе с твердыми коммунальными отходами, на территории Калужской области.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07B20"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>Бондаренко Д.А. 22 приема оптимизации бизнес-процессов. — М.: ЛитРес,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r>
        <w:rPr>
          <w:rFonts w:ascii="Times New Roman" w:hAnsi="Times New Roman" w:cs="Times New Roman"/>
          <w:sz w:val="28"/>
          <w:szCs w:val="28"/>
        </w:rPr>
        <w:lastRenderedPageBreak/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5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5E752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5E752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5E752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5E752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5E752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5E752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5E7528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5E7528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5E7528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5E7528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5E7528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5E7528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5E7528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5E7528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5E7528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5E7528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5E7528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5E7528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5E7528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5E7528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5E7528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5E7528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5E7528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059AFA1" w14:textId="5953D50C" w:rsidR="00155C44" w:rsidRDefault="00155C44" w:rsidP="008E53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524D081C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8E535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6B26" w14:textId="77777777" w:rsidR="005E7528" w:rsidRDefault="005E7528" w:rsidP="004161CC">
      <w:pPr>
        <w:spacing w:after="0" w:line="240" w:lineRule="auto"/>
      </w:pPr>
      <w:r>
        <w:separator/>
      </w:r>
    </w:p>
  </w:endnote>
  <w:endnote w:type="continuationSeparator" w:id="0">
    <w:p w14:paraId="1F29C60F" w14:textId="77777777" w:rsidR="005E7528" w:rsidRDefault="005E7528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3565584C" w:rsidR="00E55EEC" w:rsidRPr="00B046A4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4D2C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4DEF6E18" w:rsidR="00E55EEC" w:rsidRPr="00071C1F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0B65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00F9A782" w:rsidR="00E55EEC" w:rsidRPr="00071C1F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317E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AD7E" w14:textId="77777777" w:rsidR="005E7528" w:rsidRDefault="005E7528" w:rsidP="004161CC">
      <w:pPr>
        <w:spacing w:after="0" w:line="240" w:lineRule="auto"/>
      </w:pPr>
      <w:r>
        <w:separator/>
      </w:r>
    </w:p>
  </w:footnote>
  <w:footnote w:type="continuationSeparator" w:id="0">
    <w:p w14:paraId="7F2FDC72" w14:textId="77777777" w:rsidR="005E7528" w:rsidRDefault="005E7528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F0E"/>
    <w:rsid w:val="00010893"/>
    <w:rsid w:val="00015E09"/>
    <w:rsid w:val="000172B6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5ED0"/>
    <w:rsid w:val="000A6C5A"/>
    <w:rsid w:val="000A7775"/>
    <w:rsid w:val="000C4B0D"/>
    <w:rsid w:val="000C5BCE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4E2"/>
    <w:rsid w:val="001E15A9"/>
    <w:rsid w:val="001E523B"/>
    <w:rsid w:val="001E5B8C"/>
    <w:rsid w:val="001F06C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21E9"/>
    <w:rsid w:val="00274EE3"/>
    <w:rsid w:val="00275423"/>
    <w:rsid w:val="00275E67"/>
    <w:rsid w:val="00275ECD"/>
    <w:rsid w:val="00276B34"/>
    <w:rsid w:val="00280453"/>
    <w:rsid w:val="002915CB"/>
    <w:rsid w:val="0029754F"/>
    <w:rsid w:val="0029799D"/>
    <w:rsid w:val="002A60BD"/>
    <w:rsid w:val="002B35D4"/>
    <w:rsid w:val="002C1CA3"/>
    <w:rsid w:val="002C32B5"/>
    <w:rsid w:val="002C5912"/>
    <w:rsid w:val="002C7731"/>
    <w:rsid w:val="002D751F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26003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3A7B"/>
    <w:rsid w:val="004642AF"/>
    <w:rsid w:val="00465752"/>
    <w:rsid w:val="00466B67"/>
    <w:rsid w:val="00474353"/>
    <w:rsid w:val="00475107"/>
    <w:rsid w:val="0047552E"/>
    <w:rsid w:val="0048078C"/>
    <w:rsid w:val="00482B7F"/>
    <w:rsid w:val="0048593E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D0396"/>
    <w:rsid w:val="004D1EAC"/>
    <w:rsid w:val="004D764F"/>
    <w:rsid w:val="004E2283"/>
    <w:rsid w:val="004E50A4"/>
    <w:rsid w:val="004E5E81"/>
    <w:rsid w:val="004F09E7"/>
    <w:rsid w:val="004F23E5"/>
    <w:rsid w:val="00520B6C"/>
    <w:rsid w:val="005219AE"/>
    <w:rsid w:val="005250DB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0B65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4D2C"/>
    <w:rsid w:val="005C51B8"/>
    <w:rsid w:val="005D1C92"/>
    <w:rsid w:val="005D2899"/>
    <w:rsid w:val="005E1E74"/>
    <w:rsid w:val="005E39E7"/>
    <w:rsid w:val="005E7528"/>
    <w:rsid w:val="005F4F74"/>
    <w:rsid w:val="005F57B0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B7708"/>
    <w:rsid w:val="006C6435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16A4"/>
    <w:rsid w:val="007B2AD9"/>
    <w:rsid w:val="007B5A15"/>
    <w:rsid w:val="007B701A"/>
    <w:rsid w:val="007C1070"/>
    <w:rsid w:val="007C310F"/>
    <w:rsid w:val="007C4E3D"/>
    <w:rsid w:val="007C790C"/>
    <w:rsid w:val="007D121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0855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E5350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ADB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47A30"/>
    <w:rsid w:val="00A51766"/>
    <w:rsid w:val="00A53385"/>
    <w:rsid w:val="00A533F3"/>
    <w:rsid w:val="00A54001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AF7699"/>
    <w:rsid w:val="00B046A4"/>
    <w:rsid w:val="00B058A1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01C4"/>
    <w:rsid w:val="00BC7257"/>
    <w:rsid w:val="00BC7F35"/>
    <w:rsid w:val="00BE38F3"/>
    <w:rsid w:val="00BE3ACB"/>
    <w:rsid w:val="00BE5DD4"/>
    <w:rsid w:val="00BF018D"/>
    <w:rsid w:val="00BF0207"/>
    <w:rsid w:val="00BF10BC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02D4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32ABB"/>
    <w:rsid w:val="00D42288"/>
    <w:rsid w:val="00D4317E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DF796F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55EEC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A6A0-2B5A-49AB-8EF6-875CC6A89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5935</TotalTime>
  <Pages>62</Pages>
  <Words>12227</Words>
  <Characters>69700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337</cp:revision>
  <cp:lastPrinted>2020-04-14T10:21:00Z</cp:lastPrinted>
  <dcterms:created xsi:type="dcterms:W3CDTF">2020-03-15T19:33:00Z</dcterms:created>
  <dcterms:modified xsi:type="dcterms:W3CDTF">2020-04-15T17:42:00Z</dcterms:modified>
</cp:coreProperties>
</file>