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CMPE 202-02 Term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Response status 500 will be sent in all APIs in Network error is encountered with the error string as </w:t>
      </w:r>
    </w:p>
    <w:p>
      <w:pPr>
        <w:pStyle w:val="Normal"/>
        <w:rPr/>
      </w:pPr>
      <w:r>
        <w:rPr/>
        <w:t>‘</w:t>
      </w:r>
      <w:r>
        <w:rPr/>
        <w:t>Network Error’</w:t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/>
      </w:pPr>
      <w:r>
        <w:rPr>
          <w:rFonts w:eastAsia="Calibri" w:cs="Calibri" w:ascii="Calibri" w:hAnsi="Calibri"/>
          <w:b/>
          <w:sz w:val="24"/>
          <w:szCs w:val="24"/>
        </w:rPr>
        <w:t>Static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Style w:val="Table1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API to fetch the static data for the application.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Database</w:t>
            </w:r>
            <w:r>
              <w:rPr>
                <w:rFonts w:eastAsia="Calibri" w:cs="Calibri" w:ascii="Calibri" w:hAnsi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  <w:highlight w:val="white"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</w:rPr>
              <w:t>/housing</w:t>
            </w:r>
            <w:r>
              <w:rPr>
                <w:rFonts w:eastAsia="Calibri" w:cs="Calibri" w:ascii="Calibri" w:hAnsi="Calibri"/>
                <w:color w:val="CE9178"/>
                <w:sz w:val="21"/>
                <w:szCs w:val="21"/>
              </w:rPr>
              <w:t>/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staticFetch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Response.status:200</w:t>
              <w:br/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StateNames: “”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Country:: “”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FlooringType:: 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HomeType: 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Status: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Role: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D4D4D4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Parking: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“”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 403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EmailID already in use for the same role”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Signup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Style w:val="Table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>
          <w:trHeight w:val="355" w:hRule="atLeast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Common API for User login.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Database</w:t>
            </w:r>
            <w:r>
              <w:rPr>
                <w:rFonts w:eastAsia="Calibri" w:cs="Calibri" w:ascii="Calibri" w:hAnsi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  <w:highlight w:val="white"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/housing/signup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emailID:””,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Password:””,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Role:””,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Name:””</w:t>
              <w:br/>
              <w:t>}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Response.status:200</w:t>
              <w:br/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</w:rPr>
              <w:t>Success”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 403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EmailID already in use for the same role”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>
          <w:rFonts w:eastAsia="Calibri" w:cs="Calibri" w:ascii="Calibri" w:hAnsi="Calibri"/>
          <w:b/>
          <w:sz w:val="24"/>
          <w:szCs w:val="24"/>
        </w:rPr>
        <w:t>Login</w:t>
      </w:r>
      <w:r>
        <w:rPr>
          <w:rFonts w:eastAsia="Calibri" w:cs="Calibri" w:ascii="Calibri" w:hAnsi="Calibri"/>
          <w:b/>
          <w:sz w:val="28"/>
          <w:szCs w:val="28"/>
        </w:rPr>
        <w:t>✅</w:t>
      </w:r>
    </w:p>
    <w:tbl>
      <w:tblPr>
        <w:tblStyle w:val="Table3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Common API for User login.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Database</w:t>
            </w:r>
            <w:r>
              <w:rPr>
                <w:rFonts w:eastAsia="Calibri" w:cs="Calibri" w:ascii="Calibri" w:hAnsi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  <w:highlight w:val="white"/>
              </w:rPr>
            </w:pPr>
            <w:r>
              <w:rPr>
                <w:rFonts w:eastAsia="Calibri" w:cs="Calibri" w:ascii="Calibri" w:hAnsi="Calibri"/>
                <w:b/>
              </w:rPr>
              <w:t>Collection: signup, user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/housing/login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Header(Jwt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EmailID:””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Password:””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highlight w:val="white"/>
              </w:rPr>
              <w:t>Role:””</w:t>
              <w:br/>
              <w:t>}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Response.status:200</w:t>
              <w:br/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“</w:t>
            </w:r>
            <w:r>
              <w:rPr>
                <w:rFonts w:eastAsia="Calibri" w:cs="Calibri" w:ascii="Calibri" w:hAnsi="Calibri"/>
              </w:rPr>
              <w:t>JWT token”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202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Your application status is pending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401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Invalid Credentials Or Application has been Rejected’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Logout </w:t>
      </w:r>
      <w:r>
        <w:rPr>
          <w:rFonts w:eastAsia="Calibri" w:cs="Calibri" w:ascii="Calibri" w:hAnsi="Calibri"/>
          <w:b/>
          <w:sz w:val="28"/>
          <w:szCs w:val="28"/>
          <w:u w:val="none"/>
        </w:rPr>
        <w:t>✅</w:t>
      </w:r>
    </w:p>
    <w:tbl>
      <w:tblPr>
        <w:tblStyle w:val="Table4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for user logout for all the three personas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-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/logout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Not required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-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Logged out’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Fetch Signup List </w:t>
      </w:r>
    </w:p>
    <w:tbl>
      <w:tblPr>
        <w:tblStyle w:val="Table5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This API is used to fetch user list to approve/ remove users by the admin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/admin/fetchSignup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Status: “All/ Pending/ Approved”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[{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EmailID: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Role:</w:t>
            </w:r>
          </w:p>
          <w:p>
            <w:pPr>
              <w:pStyle w:val="Normal"/>
              <w:spacing w:lineRule="auto" w:line="240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Status: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}]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Approve/Remove </w:t>
      </w:r>
    </w:p>
    <w:tbl>
      <w:tblPr>
        <w:tblStyle w:val="Table6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for to approve/ remove users by the admin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/admin/auditSignup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EmailID:””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Role:””</w:t>
              <w:br/>
              <w:t>Status:””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Successful:””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Add new Listing  by landlord</w:t>
      </w:r>
    </w:p>
    <w:tbl>
      <w:tblPr>
        <w:tblStyle w:val="Table7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/landlord/addListing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StreetAddress:’’,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OwnerName:’’,(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RelatorName:’’,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Area:’’,(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 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Amenities:’’,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LeaseTerms:’’,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AvailabilityDate;’'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SecurityDeposit:’’,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OpenHouse:’’,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Add new Listing  by realtor</w:t>
      </w:r>
    </w:p>
    <w:tbl>
      <w:tblPr>
        <w:tblStyle w:val="Table8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/realtor/addListing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StreetAddress:’’,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OwnerEmail:’’,(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RelatorName:’’,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Area:’’,(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 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Amenities:’’,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LeaseTerms:’’,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AvailabilityDate;’'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SecurityDeposit:’’,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OpenHouse:’’,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Fetch Listing for Owner</w:t>
      </w:r>
    </w:p>
    <w:tbl>
      <w:tblPr>
        <w:tblStyle w:val="Table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fetch the listing by the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/landlord/getListing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color w:val="000000"/>
              </w:rPr>
            </w:pP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>OwnerID</w:t>
            </w:r>
            <w:r>
              <w:rPr>
                <w:rFonts w:eastAsia="Calibri" w:cs="Calibri" w:ascii="Calibri" w:hAnsi="Calibri"/>
                <w:color w:val="000000"/>
              </w:rPr>
              <w:t>:””,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000000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000000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000000"/>
              </w:rPr>
              <w:t>[{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Listings: array of listings objects ( for realtor)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Or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Listing object ( for owner)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}]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Fetch listing for Realtor </w:t>
      </w:r>
    </w:p>
    <w:tbl>
      <w:tblPr>
        <w:tblStyle w:val="Table10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fetch the listing by the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/realtor/getListing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RealtorID:””,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[{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Listings: array of listings objects ( for realtor)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Or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 object ( for owner)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}]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Update Listing </w:t>
      </w:r>
    </w:p>
    <w:tbl>
      <w:tblPr>
        <w:tblStyle w:val="Table11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/landlord/updateListing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 object ( whatever params gets updated, please ensure to follow the names as in DB document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21"/>
                <w:szCs w:val="21"/>
              </w:rPr>
              <w:t>'Updated Successfuly'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Update Listing by realtor</w:t>
      </w:r>
    </w:p>
    <w:tbl>
      <w:tblPr>
        <w:tblStyle w:val="Table1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/realtor/updateListing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 object ( whatever params gets updated, please ensure to follow the names as in DB document along with the listing id as _id)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21"/>
                <w:szCs w:val="21"/>
              </w:rPr>
              <w:t>'Updated Successfuly'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Delete  Listing by Landlord</w:t>
      </w:r>
    </w:p>
    <w:tbl>
      <w:tblPr>
        <w:tblStyle w:val="Table13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delete a  listing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DELETE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/landlord/deleteListing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 in the name of _id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Delete  Listing by Realtor</w:t>
      </w:r>
    </w:p>
    <w:tbl>
      <w:tblPr>
        <w:tblStyle w:val="Table14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delete a  listing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DELETE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/realtor/deleteListing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 in the name of _id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Rent Applications by owner</w:t>
      </w:r>
    </w:p>
    <w:tbl>
      <w:tblPr>
        <w:tblStyle w:val="Table15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rent 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/landlord/getApplications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OwnerID: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  <w:br/>
              <w:t>Filter: ‘All,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>Rejected</w:t>
            </w:r>
            <w:r>
              <w:rPr>
                <w:rFonts w:eastAsia="Calibri" w:cs="Calibri" w:ascii="Calibri" w:hAnsi="Calibri"/>
                <w:color w:val="000000"/>
              </w:rPr>
              <w:t>,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 xml:space="preserve">Accepted,Pending 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>(Any one)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[</w:t>
            </w: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applications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  <w:r>
              <w:rPr>
                <w:rFonts w:eastAsia="Calibri" w:cs="Calibri" w:ascii="Calibri" w:hAnsi="Calibri"/>
              </w:rPr>
              <w:t>]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Rent Applications by realtor</w:t>
      </w:r>
    </w:p>
    <w:tbl>
      <w:tblPr>
        <w:tblStyle w:val="Table16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rent 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/realtor/getApplications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RealtorID: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Filter: ‘All,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>Rejected</w:t>
            </w:r>
            <w:r>
              <w:rPr>
                <w:rFonts w:eastAsia="Calibri" w:cs="Calibri" w:ascii="Calibri" w:hAnsi="Calibri"/>
                <w:color w:val="000000"/>
              </w:rPr>
              <w:t>,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 xml:space="preserve">Accepted,Pending 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>(Any one)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Approve/Reject Rent Applications by landlord</w:t>
      </w:r>
    </w:p>
    <w:tbl>
      <w:tblPr>
        <w:tblStyle w:val="Table17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approve/ reject the application by landlord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/landlord/</w:t>
            </w:r>
            <w:r>
              <w:rPr>
                <w:rFonts w:eastAsia="Calibri" w:cs="Calibri" w:ascii="Calibri" w:hAnsi="Calibri"/>
              </w:rPr>
              <w:t>processApplication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bookmarkStart w:id="0" w:name="__DdeLink__1851_1473986580"/>
            <w:r>
              <w:rPr>
                <w:rFonts w:eastAsia="Calibri" w:cs="Calibri" w:ascii="Calibri" w:hAnsi="Calibri"/>
              </w:rPr>
              <w:t>LandlordID: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Status: </w:t>
            </w:r>
            <w:r>
              <w:rPr>
                <w:rFonts w:eastAsia="Calibri" w:cs="Calibri" w:ascii="Calibri" w:hAnsi="Calibri"/>
              </w:rPr>
              <w:t xml:space="preserve">Any one from options </w:t>
            </w:r>
            <w:r>
              <w:rPr>
                <w:rFonts w:eastAsia="Calibri" w:cs="Calibri" w:ascii="Calibri" w:hAnsi="Calibri"/>
                <w:color w:val="000000"/>
              </w:rPr>
              <w:t>(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>'Accepted', 'Rejected')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ApplicationID: (will be under the name _id)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bookmarkStart w:id="1" w:name="__DdeLink__1851_1473986580"/>
            <w:r>
              <w:rPr>
                <w:rFonts w:eastAsia="Calibri" w:cs="Calibri" w:ascii="Calibri" w:hAnsi="Calibri"/>
              </w:rPr>
              <w:t>ListingID:</w:t>
            </w:r>
            <w:bookmarkEnd w:id="1"/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Success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Approve/Reject Rent Applications by realtor</w:t>
      </w:r>
    </w:p>
    <w:tbl>
      <w:tblPr>
        <w:tblStyle w:val="Table18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approve/ reject the application by realtor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/realtor/</w:t>
            </w:r>
            <w:r>
              <w:rPr>
                <w:rFonts w:eastAsia="Calibri" w:cs="Calibri" w:ascii="Calibri" w:hAnsi="Calibri"/>
              </w:rPr>
              <w:t>processApplication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</w:t>
            </w:r>
          </w:p>
          <w:p>
            <w:pPr>
              <w:pStyle w:val="Normal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Status: </w:t>
            </w:r>
            <w:r>
              <w:rPr>
                <w:rFonts w:eastAsia="Calibri" w:cs="Calibri" w:ascii="Calibri" w:hAnsi="Calibri"/>
              </w:rPr>
              <w:t xml:space="preserve">Any one from options </w:t>
            </w:r>
            <w:r>
              <w:rPr>
                <w:rFonts w:eastAsia="Calibri" w:cs="Calibri" w:ascii="Calibri" w:hAnsi="Calibri"/>
                <w:color w:val="000000"/>
              </w:rPr>
              <w:t>(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>'Accepted', 'Rejected')</w:t>
            </w:r>
          </w:p>
          <w:p>
            <w:pPr>
              <w:pStyle w:val="Normal"/>
              <w:jc w:val="both"/>
              <w:rPr/>
            </w:pPr>
            <w:r>
              <w:rPr>
                <w:rFonts w:eastAsia="Calibri" w:cs="Calibri" w:ascii="Calibri" w:hAnsi="Calibri"/>
              </w:rPr>
              <w:t>ApplicationID: (will be under the name _id)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Success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Send applications by renter</w:t>
      </w:r>
    </w:p>
    <w:tbl>
      <w:tblPr>
        <w:tblStyle w:val="Table1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file an application by the renter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/renter/fileApplication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ApplicantEmail:’’,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PriceQuoted:’’,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Message:’’,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CreditScore:’’,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EmpInformation:’’,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Add new Listing  by Seller</w:t>
      </w:r>
    </w:p>
    <w:tbl>
      <w:tblPr>
        <w:tblStyle w:val="Table20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/seller/addListing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StreetAddress:’’,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 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OwnerName:’’,(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white"/>
              </w:rPr>
              <w:t>required</w:t>
            </w:r>
            <w:r>
              <w:rPr>
                <w:rFonts w:eastAsia="Calibri" w:cs="Calibri" w:ascii="Calibri" w:hAnsi="Calibri"/>
                <w:highlight w:val="white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RelatorName:’’,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Area:’’,(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required</w:t>
            </w:r>
            <w:r>
              <w:rPr>
                <w:rFonts w:eastAsia="Calibri" w:cs="Calibri" w:ascii="Calibri" w:hAnsi="Calibri"/>
              </w:rPr>
              <w:t>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 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Amenities:’’,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LeaseTerms:’’,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</w:rPr>
              <w:t>AvailabilityDat</w:t>
            </w:r>
            <w:r>
              <w:rPr>
                <w:rFonts w:eastAsia="Calibri" w:cs="Calibri" w:ascii="Calibri" w:hAnsi="Calibri"/>
                <w:highlight w:val="white"/>
              </w:rPr>
              <w:t>e;’'(required)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SecurityDeposit:’’,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OpenHouse:’’,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Listings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Fetch Listing for Seller / Realtor </w:t>
      </w:r>
    </w:p>
    <w:tbl>
      <w:tblPr>
        <w:tblStyle w:val="Table21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fetch the listing by the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/seller/getListing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>OwnerID</w:t>
            </w:r>
            <w:r>
              <w:rPr>
                <w:rFonts w:eastAsia="Calibri" w:cs="Calibri" w:ascii="Calibri" w:hAnsi="Calibri"/>
              </w:rPr>
              <w:t>:””,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Listings: array of listings objects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Update Listing by Seller</w:t>
      </w:r>
    </w:p>
    <w:tbl>
      <w:tblPr>
        <w:tblStyle w:val="Table2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add new listing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/seller/updateListing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 object ( whatever params gets updated, please ensure to follow the names as in DB document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Delete  Listing by Seller</w:t>
      </w:r>
    </w:p>
    <w:tbl>
      <w:tblPr>
        <w:tblStyle w:val="Table23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delete a  listing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DELETE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/seller/deleteListing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 in the name of __id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‘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Successful’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Rent Applications by Seller</w:t>
      </w:r>
    </w:p>
    <w:tbl>
      <w:tblPr>
        <w:tblStyle w:val="Table24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buy 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/seller/getApplications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OwnerID: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  <w:br/>
              <w:t>Filter: ‘All,</w:t>
            </w: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>Rejected</w:t>
            </w:r>
            <w:r>
              <w:rPr>
                <w:rFonts w:eastAsia="Calibri" w:cs="Calibri" w:ascii="Calibri" w:hAnsi="Calibri"/>
                <w:color w:val="000000"/>
              </w:rPr>
              <w:t>,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 xml:space="preserve">Accepted,Pending 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>(Any one)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Approve/Reject Applications by Seller</w:t>
      </w:r>
    </w:p>
    <w:tbl>
      <w:tblPr>
        <w:tblStyle w:val="Table25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approve/ reject the application by seller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/seller/</w:t>
            </w:r>
            <w:r>
              <w:rPr>
                <w:rFonts w:eastAsia="Calibri" w:cs="Calibri" w:ascii="Calibri" w:hAnsi="Calibri"/>
              </w:rPr>
              <w:t>processApplication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SellerID</w:t>
            </w:r>
            <w:r>
              <w:rPr>
                <w:rFonts w:eastAsia="Calibri" w:cs="Calibri" w:ascii="Calibri" w:hAnsi="Calibri"/>
              </w:rPr>
              <w:t>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Status: </w:t>
            </w:r>
            <w:r>
              <w:rPr>
                <w:rFonts w:eastAsia="Calibri" w:cs="Calibri" w:ascii="Calibri" w:hAnsi="Calibri"/>
              </w:rPr>
              <w:t xml:space="preserve">Any one from options </w:t>
            </w:r>
            <w:r>
              <w:rPr>
                <w:rFonts w:eastAsia="Calibri" w:cs="Calibri" w:ascii="Calibri" w:hAnsi="Calibri"/>
                <w:color w:val="000000"/>
              </w:rPr>
              <w:t>(</w:t>
            </w:r>
            <w:r>
              <w:rPr>
                <w:rFonts w:eastAsia="Calibri" w:cs="Calibri" w:ascii="Calibri" w:hAnsi="Calibri"/>
                <w:b w:val="false"/>
                <w:color w:val="000000"/>
                <w:sz w:val="21"/>
              </w:rPr>
              <w:t>'Accepted', 'Rejected')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ApplicationID: (will be under the name _id)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Send applications by buyer</w:t>
      </w:r>
    </w:p>
    <w:tbl>
      <w:tblPr>
        <w:tblStyle w:val="Table26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file an application by the buyer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/buyer/fileApplication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ApplicantID:’’,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ApplicantName:’’,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ApplicantEmail:’’,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OwnerID:’’,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RealtorID:’’,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PriceQuoted:’’,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Message:’’,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applicationObject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b/>
          <w:b/>
        </w:rPr>
      </w:pPr>
      <w:r>
        <w:rPr>
          <w:b/>
        </w:rPr>
        <w:t>Search Listings Search Results Page</w:t>
      </w:r>
    </w:p>
    <w:tbl>
      <w:tblPr>
        <w:tblStyle w:val="Table27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will get the list of listings along with filtered list if mentioned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/user/searchListing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>
          <w:trHeight w:val="3861" w:hRule="atLeast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(Ensure to send all the params, if not set for the search  send those variables as empty ie “”)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StreetAddress:’’,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State:’’,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Country:’’,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MinArea:’’,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MaxArea:’’,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MinPrice:’’,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MaxPrice:’’,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FlooringType:’’,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AvailableAs:’’,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Listing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OR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16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Add a new Favorite Home</w:t>
      </w:r>
    </w:p>
    <w:tbl>
      <w:tblPr>
        <w:tblStyle w:val="Table28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set a home as favorite by user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/user/addFavoriteHome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UserID: ‘’,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ListingID: ‘’,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ImageURL:””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StreetAddress:””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ZIP:””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Price:””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NoOfBedrooms:””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Calibri" w:cs="Calibri" w:ascii="Calibri" w:hAnsi="Calibri"/>
              </w:rPr>
              <w:t>NoOfBathrooms:””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Favourite Home object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Favorite Homes</w:t>
      </w:r>
    </w:p>
    <w:tbl>
      <w:tblPr>
        <w:tblStyle w:val="Table2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favorite homes/listings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/user/getFavoriteHome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Favorite Home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Add a new Favorite Search</w:t>
      </w:r>
    </w:p>
    <w:tbl>
      <w:tblPr>
        <w:tblStyle w:val="Table30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save a search  as favorite by user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POST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/user/addFavoriteSearch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SearchName:’’,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ZIP:’’,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white"/>
              </w:rPr>
              <w:t>StreetAddress:’’,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PriceStartRange: ‘’,</w:t>
            </w:r>
          </w:p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PriceEndRange: ‘’,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Area:’’,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NoOfBedrooms:”,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NoOfBathrooms:”,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FlooringType:”,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HomeType:”,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Parking:”,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Amenities:”,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YearBuilt:”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Favourite Search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 xml:space="preserve">OR 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Response.status: 500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“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Network Error”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160"/>
        <w:ind w:left="720" w:hanging="3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Get Favorite Searches</w:t>
      </w:r>
    </w:p>
    <w:tbl>
      <w:tblPr>
        <w:tblStyle w:val="Table31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85"/>
        <w:gridCol w:w="6964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This API is used to get favorite searches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Collection: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GET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/user/getFavoriteSearch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Yes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UserID: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Response.status 200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Response.data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{</w:t>
            </w:r>
          </w:p>
          <w:p>
            <w:pPr>
              <w:pStyle w:val="Normal"/>
              <w:shd w:val="clear" w:fill="1E1E1E"/>
              <w:spacing w:lineRule="auto" w:line="324"/>
              <w:jc w:val="both"/>
              <w:rPr>
                <w:rFonts w:ascii="Courier New" w:hAnsi="Courier New" w:eastAsia="Courier New" w:cs="Courier New"/>
                <w:color w:val="CE9178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Array of Favorite Search Object</w:t>
            </w:r>
          </w:p>
          <w:p>
            <w:pPr>
              <w:pStyle w:val="Normal"/>
              <w:spacing w:lineRule="auto" w:line="2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Calibri" w:hAnsi="Calibri"/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b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LibreOffice/6.0.7.3$Linux_X86_64 LibreOffice_project/00m0$Build-3</Application>
  <Pages>17</Pages>
  <Words>1798</Words>
  <Characters>12029</Characters>
  <CharactersWithSpaces>12988</CharactersWithSpaces>
  <Paragraphs>835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2020-11-09T00:22:55Z</dcterms:modified>
  <cp:revision>13</cp:revision>
  <dc:subject/>
  <dc:title/>
</cp:coreProperties>
</file>