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C44F" w14:textId="77777777" w:rsidR="001D6291" w:rsidRDefault="001D6291" w:rsidP="001D6291">
      <w:pPr>
        <w:rPr>
          <w:b/>
          <w:bCs/>
        </w:rPr>
      </w:pPr>
      <w:r>
        <w:rPr>
          <w:b/>
          <w:bCs/>
        </w:rPr>
        <w:t>AMBIENT DOCUMENTATION &amp; CLINICAL WORKFLOW</w:t>
      </w:r>
    </w:p>
    <w:p w14:paraId="50C12692" w14:textId="3A06BF25" w:rsidR="001D6291" w:rsidRPr="001D6291" w:rsidRDefault="001D6291" w:rsidP="001D6291">
      <w:pPr>
        <w:rPr>
          <w:b/>
          <w:bCs/>
        </w:rPr>
      </w:pPr>
      <w:r w:rsidRPr="001D6291">
        <w:rPr>
          <w:b/>
          <w:bCs/>
        </w:rPr>
        <w:t>1. Outlook</w:t>
      </w:r>
    </w:p>
    <w:p w14:paraId="1CF17D6B" w14:textId="77777777" w:rsidR="001D6291" w:rsidRPr="001D6291" w:rsidRDefault="001D6291" w:rsidP="001D6291">
      <w:pPr>
        <w:rPr>
          <w:b/>
          <w:bCs/>
        </w:rPr>
      </w:pPr>
      <w:r w:rsidRPr="001D6291">
        <w:rPr>
          <w:b/>
          <w:bCs/>
        </w:rPr>
        <w:t>Market definition and comparability</w:t>
      </w:r>
    </w:p>
    <w:p w14:paraId="77652532" w14:textId="77777777" w:rsidR="001D6291" w:rsidRPr="001D6291" w:rsidRDefault="001D6291" w:rsidP="001D6291">
      <w:r w:rsidRPr="001D6291">
        <w:t>“Ambient Documentation &amp; Clinical Workflow” is not yet a consistently defined research category. Some publishers count only ambient-listening software; others include implementation services, dictation, clinical-documentation improvement, coding, order drafting, and broader workflow automation. Therefore, the figures below should be treated as alternative market definitions, not reconciled into a single estimate.</w:t>
      </w:r>
    </w:p>
    <w:p w14:paraId="7E50D942" w14:textId="77777777" w:rsidR="001D6291" w:rsidRPr="001D6291" w:rsidRDefault="001D6291" w:rsidP="001D6291">
      <w:pPr>
        <w:rPr>
          <w:b/>
          <w:bCs/>
        </w:rPr>
      </w:pPr>
      <w:r w:rsidRPr="001D6291">
        <w:rPr>
          <w:b/>
          <w:bCs/>
        </w:rPr>
        <w:t>Global</w:t>
      </w:r>
    </w:p>
    <w:p w14:paraId="7EABC0F8" w14:textId="77777777" w:rsidR="001D6291" w:rsidRPr="001D6291" w:rsidRDefault="001D6291" w:rsidP="001D6291">
      <w:pPr>
        <w:numPr>
          <w:ilvl w:val="0"/>
          <w:numId w:val="1"/>
        </w:numPr>
      </w:pPr>
      <w:r w:rsidRPr="001D6291">
        <w:rPr>
          <w:b/>
          <w:bCs/>
        </w:rPr>
        <w:t>Narrower AI clinical-documentation definition:</w:t>
      </w:r>
      <w:r w:rsidRPr="001D6291">
        <w:t xml:space="preserve"> Mordor Intelligence estimates the global market at </w:t>
      </w:r>
      <w:r w:rsidRPr="001D6291">
        <w:rPr>
          <w:b/>
          <w:bCs/>
        </w:rPr>
        <w:t>US$0.98 billion in 2025</w:t>
      </w:r>
      <w:r w:rsidRPr="001D6291">
        <w:t xml:space="preserve">, </w:t>
      </w:r>
      <w:r w:rsidRPr="001D6291">
        <w:rPr>
          <w:b/>
          <w:bCs/>
        </w:rPr>
        <w:t>US$1.15 billion in 2026</w:t>
      </w:r>
      <w:r w:rsidRPr="001D6291">
        <w:t xml:space="preserve">, and </w:t>
      </w:r>
      <w:r w:rsidRPr="001D6291">
        <w:rPr>
          <w:b/>
          <w:bCs/>
        </w:rPr>
        <w:t>US$3.05 billion in 2031</w:t>
      </w:r>
      <w:r w:rsidRPr="001D6291">
        <w:t xml:space="preserve">, representing a </w:t>
      </w:r>
      <w:r w:rsidRPr="001D6291">
        <w:rPr>
          <w:b/>
          <w:bCs/>
        </w:rPr>
        <w:t>21.46% CAGR for 2026–2031</w:t>
      </w:r>
      <w:r w:rsidRPr="001D6291">
        <w:t xml:space="preserve">. Its scope includes ambient clinical scribing, documentation-integrity tools, AI platforms and associated services. </w:t>
      </w:r>
      <w:hyperlink r:id="rId5" w:history="1">
        <w:r w:rsidRPr="001D6291">
          <w:rPr>
            <w:rStyle w:val="Hyperlink"/>
          </w:rPr>
          <w:t>[mordorinte...igence.com]</w:t>
        </w:r>
      </w:hyperlink>
    </w:p>
    <w:p w14:paraId="1E16DE03" w14:textId="77777777" w:rsidR="001D6291" w:rsidRPr="001D6291" w:rsidRDefault="001D6291" w:rsidP="001D6291">
      <w:pPr>
        <w:numPr>
          <w:ilvl w:val="0"/>
          <w:numId w:val="1"/>
        </w:numPr>
      </w:pPr>
      <w:r w:rsidRPr="001D6291">
        <w:rPr>
          <w:b/>
          <w:bCs/>
        </w:rPr>
        <w:t>Broader AI-powered clinical-documentation definition:</w:t>
      </w:r>
      <w:r w:rsidRPr="001D6291">
        <w:t xml:space="preserve"> The Business Research Company estimates </w:t>
      </w:r>
      <w:r w:rsidRPr="001D6291">
        <w:rPr>
          <w:b/>
          <w:bCs/>
        </w:rPr>
        <w:t>US$4.01 billion in 2025</w:t>
      </w:r>
      <w:r w:rsidRPr="001D6291">
        <w:t xml:space="preserve"> and </w:t>
      </w:r>
      <w:r w:rsidRPr="001D6291">
        <w:rPr>
          <w:b/>
          <w:bCs/>
        </w:rPr>
        <w:t>US$13.99 billion in 2030</w:t>
      </w:r>
      <w:r w:rsidRPr="001D6291">
        <w:t xml:space="preserve">, implying a </w:t>
      </w:r>
      <w:r w:rsidRPr="001D6291">
        <w:rPr>
          <w:b/>
          <w:bCs/>
        </w:rPr>
        <w:t>28.3% CAGR</w:t>
      </w:r>
      <w:r w:rsidRPr="001D6291">
        <w:t xml:space="preserve">. This definition includes software, hardware and services across ambient capture, voice recognition and broader documentation automation. </w:t>
      </w:r>
      <w:hyperlink r:id="rId6" w:history="1">
        <w:r w:rsidRPr="001D6291">
          <w:rPr>
            <w:rStyle w:val="Hyperlink"/>
          </w:rPr>
          <w:t>[thebusines...ompany.com]</w:t>
        </w:r>
      </w:hyperlink>
    </w:p>
    <w:p w14:paraId="6E4FCC90" w14:textId="77777777" w:rsidR="001D6291" w:rsidRPr="001D6291" w:rsidRDefault="001D6291" w:rsidP="001D6291">
      <w:pPr>
        <w:numPr>
          <w:ilvl w:val="0"/>
          <w:numId w:val="1"/>
        </w:numPr>
      </w:pPr>
      <w:r w:rsidRPr="001D6291">
        <w:rPr>
          <w:b/>
          <w:bCs/>
        </w:rPr>
        <w:t>Ambient-only alternative:</w:t>
      </w:r>
      <w:r w:rsidRPr="001D6291">
        <w:t xml:space="preserve"> Astute Analytica estimates </w:t>
      </w:r>
      <w:r w:rsidRPr="001D6291">
        <w:rPr>
          <w:b/>
          <w:bCs/>
        </w:rPr>
        <w:t>US$1.2 billion in 2025</w:t>
      </w:r>
      <w:r w:rsidRPr="001D6291">
        <w:t xml:space="preserve"> and </w:t>
      </w:r>
      <w:r w:rsidRPr="001D6291">
        <w:rPr>
          <w:b/>
          <w:bCs/>
        </w:rPr>
        <w:t>US$15.1 billion in 2035</w:t>
      </w:r>
      <w:r w:rsidRPr="001D6291">
        <w:t xml:space="preserve">, with a </w:t>
      </w:r>
      <w:r w:rsidRPr="001D6291">
        <w:rPr>
          <w:b/>
          <w:bCs/>
        </w:rPr>
        <w:t>28.8% CAGR for 2026–2035</w:t>
      </w:r>
      <w:r w:rsidRPr="001D6291">
        <w:t xml:space="preserve">. It explicitly excludes traditional dictation and manual scribing, but includes coding, order/referral drafting and EHR integration. </w:t>
      </w:r>
      <w:hyperlink r:id="rId7" w:history="1">
        <w:r w:rsidRPr="001D6291">
          <w:rPr>
            <w:rStyle w:val="Hyperlink"/>
          </w:rPr>
          <w:t>[astuteanalytica.com]</w:t>
        </w:r>
      </w:hyperlink>
    </w:p>
    <w:p w14:paraId="0667A85A" w14:textId="77777777" w:rsidR="001D6291" w:rsidRPr="001D6291" w:rsidRDefault="001D6291" w:rsidP="001D6291">
      <w:r w:rsidRPr="001D6291">
        <w:rPr>
          <w:b/>
          <w:bCs/>
        </w:rPr>
        <w:t>Assessment:</w:t>
      </w:r>
      <w:r w:rsidRPr="001D6291">
        <w:t xml:space="preserve"> the Mordor Intelligence series is the most internally consistent benchmark for this thesis because it provides a five-year forecast and explicitly includes ambient scribing as an application. The wide spread between publishers is a scope problem, not necessarily evidence that one forecast is incorrect.</w:t>
      </w:r>
    </w:p>
    <w:p w14:paraId="51B237DF" w14:textId="77777777" w:rsidR="001D6291" w:rsidRPr="001D6291" w:rsidRDefault="001D6291" w:rsidP="001D6291">
      <w:pPr>
        <w:rPr>
          <w:b/>
          <w:bCs/>
        </w:rPr>
      </w:pPr>
      <w:r w:rsidRPr="001D6291">
        <w:rPr>
          <w:b/>
          <w:bCs/>
        </w:rPr>
        <w:t>United States</w:t>
      </w:r>
    </w:p>
    <w:p w14:paraId="3D16422D" w14:textId="77777777" w:rsidR="001D6291" w:rsidRPr="001D6291" w:rsidRDefault="001D6291" w:rsidP="001D6291">
      <w:pPr>
        <w:numPr>
          <w:ilvl w:val="0"/>
          <w:numId w:val="2"/>
        </w:numPr>
      </w:pPr>
      <w:r w:rsidRPr="001D6291">
        <w:t xml:space="preserve">Virtue Market Research estimates the US ambient clinical-documentation AI market at </w:t>
      </w:r>
      <w:r w:rsidRPr="001D6291">
        <w:rPr>
          <w:b/>
          <w:bCs/>
        </w:rPr>
        <w:t>approximately US$1.02 billion in 2025</w:t>
      </w:r>
      <w:r w:rsidRPr="001D6291">
        <w:t xml:space="preserve"> and </w:t>
      </w:r>
      <w:r w:rsidRPr="001D6291">
        <w:rPr>
          <w:b/>
          <w:bCs/>
        </w:rPr>
        <w:t>US$3.12 billion in 2030</w:t>
      </w:r>
      <w:r w:rsidRPr="001D6291">
        <w:t xml:space="preserve">, a </w:t>
      </w:r>
      <w:r w:rsidRPr="001D6291">
        <w:rPr>
          <w:b/>
          <w:bCs/>
        </w:rPr>
        <w:t>25.09% CAGR for 2026–2030</w:t>
      </w:r>
      <w:r w:rsidRPr="001D6291">
        <w:t xml:space="preserve">. Its definition includes ambient platforms and implementation services, while excluding general EHRs and standalone non-ambient speech recognition. </w:t>
      </w:r>
      <w:hyperlink r:id="rId8" w:history="1">
        <w:r w:rsidRPr="001D6291">
          <w:rPr>
            <w:rStyle w:val="Hyperlink"/>
          </w:rPr>
          <w:t>[virtuemark...search.com]</w:t>
        </w:r>
      </w:hyperlink>
    </w:p>
    <w:p w14:paraId="19F57BDC" w14:textId="77777777" w:rsidR="001D6291" w:rsidRPr="001D6291" w:rsidRDefault="001D6291" w:rsidP="001D6291">
      <w:pPr>
        <w:numPr>
          <w:ilvl w:val="0"/>
          <w:numId w:val="2"/>
        </w:numPr>
      </w:pPr>
      <w:r w:rsidRPr="001D6291">
        <w:lastRenderedPageBreak/>
        <w:t xml:space="preserve">A materially broader P&amp;S Intelligence “clinical documentation” series, which includes EHR/EMR, speech recognition, computer-assisted coding and clinical-documentation improvement, estimates </w:t>
      </w:r>
      <w:r w:rsidRPr="001D6291">
        <w:rPr>
          <w:b/>
          <w:bCs/>
        </w:rPr>
        <w:t>US$1.38 billion in 2024</w:t>
      </w:r>
      <w:r w:rsidRPr="001D6291">
        <w:t xml:space="preserve">, </w:t>
      </w:r>
      <w:r w:rsidRPr="001D6291">
        <w:rPr>
          <w:b/>
          <w:bCs/>
        </w:rPr>
        <w:t>US$1.45 billion in 2025</w:t>
      </w:r>
      <w:r w:rsidRPr="001D6291">
        <w:t xml:space="preserve"> and </w:t>
      </w:r>
      <w:r w:rsidRPr="001D6291">
        <w:rPr>
          <w:b/>
          <w:bCs/>
        </w:rPr>
        <w:t>US$2.19 billion in 2030</w:t>
      </w:r>
      <w:r w:rsidRPr="001D6291">
        <w:t xml:space="preserve">, an </w:t>
      </w:r>
      <w:r w:rsidRPr="001D6291">
        <w:rPr>
          <w:b/>
          <w:bCs/>
        </w:rPr>
        <w:t>8.0% CAGR for 2024–2030</w:t>
      </w:r>
      <w:r w:rsidRPr="001D6291">
        <w:t xml:space="preserve">. This is not directly comparable with the ambient-only estimate. </w:t>
      </w:r>
      <w:hyperlink r:id="rId9" w:history="1">
        <w:r w:rsidRPr="001D6291">
          <w:rPr>
            <w:rStyle w:val="Hyperlink"/>
          </w:rPr>
          <w:t>[psmarketresearch.com]</w:t>
        </w:r>
      </w:hyperlink>
    </w:p>
    <w:p w14:paraId="799D73A5" w14:textId="77777777" w:rsidR="001D6291" w:rsidRPr="001D6291" w:rsidRDefault="001D6291" w:rsidP="001D6291">
      <w:pPr>
        <w:rPr>
          <w:b/>
          <w:bCs/>
        </w:rPr>
      </w:pPr>
      <w:r w:rsidRPr="001D6291">
        <w:rPr>
          <w:b/>
          <w:bCs/>
        </w:rPr>
        <w:t>India</w:t>
      </w:r>
    </w:p>
    <w:p w14:paraId="286A8125" w14:textId="77777777" w:rsidR="001D6291" w:rsidRPr="001D6291" w:rsidRDefault="001D6291" w:rsidP="001D6291">
      <w:pPr>
        <w:numPr>
          <w:ilvl w:val="0"/>
          <w:numId w:val="3"/>
        </w:numPr>
      </w:pPr>
      <w:r w:rsidRPr="001D6291">
        <w:rPr>
          <w:b/>
          <w:bCs/>
        </w:rPr>
        <w:t>Ambient-specific market size:</w:t>
      </w:r>
      <w:r w:rsidRPr="001D6291">
        <w:t xml:space="preserve"> no independently verifiable India-only ambient-documentation market estimate with both a current value and five-year forecast was identified. Any India ambient-market number presented as precise should therefore be treated as </w:t>
      </w:r>
      <w:r w:rsidRPr="001D6291">
        <w:rPr>
          <w:b/>
          <w:bCs/>
        </w:rPr>
        <w:t>low confidence</w:t>
      </w:r>
      <w:r w:rsidRPr="001D6291">
        <w:t>.</w:t>
      </w:r>
    </w:p>
    <w:p w14:paraId="18E93A31" w14:textId="77777777" w:rsidR="001D6291" w:rsidRPr="001D6291" w:rsidRDefault="001D6291" w:rsidP="001D6291">
      <w:pPr>
        <w:numPr>
          <w:ilvl w:val="0"/>
          <w:numId w:val="3"/>
        </w:numPr>
      </w:pPr>
      <w:r w:rsidRPr="001D6291">
        <w:rPr>
          <w:b/>
          <w:bCs/>
        </w:rPr>
        <w:t>Closest investable infrastructure proxy:</w:t>
      </w:r>
      <w:r w:rsidRPr="001D6291">
        <w:t xml:space="preserve"> Mordor Intelligence estimates India’s EMR market at </w:t>
      </w:r>
      <w:r w:rsidRPr="001D6291">
        <w:rPr>
          <w:b/>
          <w:bCs/>
        </w:rPr>
        <w:t>US$0.79 billion in 2025</w:t>
      </w:r>
      <w:r w:rsidRPr="001D6291">
        <w:t xml:space="preserve"> and </w:t>
      </w:r>
      <w:r w:rsidRPr="001D6291">
        <w:rPr>
          <w:b/>
          <w:bCs/>
        </w:rPr>
        <w:t>US$1.13 billion in 2030</w:t>
      </w:r>
      <w:r w:rsidRPr="001D6291">
        <w:t xml:space="preserve">, a </w:t>
      </w:r>
      <w:r w:rsidRPr="001D6291">
        <w:rPr>
          <w:b/>
          <w:bCs/>
        </w:rPr>
        <w:t>7.56% CAGR for 2025–2030</w:t>
      </w:r>
      <w:r w:rsidRPr="001D6291">
        <w:t xml:space="preserve">. This measures the system-of-record market into which ambient tools integrate, not ambient documentation itself. </w:t>
      </w:r>
      <w:hyperlink r:id="rId10" w:history="1">
        <w:r w:rsidRPr="001D6291">
          <w:rPr>
            <w:rStyle w:val="Hyperlink"/>
          </w:rPr>
          <w:t>[mordorinte...igence.com]</w:t>
        </w:r>
      </w:hyperlink>
    </w:p>
    <w:p w14:paraId="466A23CC" w14:textId="77777777" w:rsidR="001D6291" w:rsidRPr="001D6291" w:rsidRDefault="001D6291" w:rsidP="001D6291">
      <w:pPr>
        <w:numPr>
          <w:ilvl w:val="0"/>
          <w:numId w:val="3"/>
        </w:numPr>
      </w:pPr>
      <w:r w:rsidRPr="001D6291">
        <w:rPr>
          <w:b/>
          <w:bCs/>
        </w:rPr>
        <w:t>Broader AI-in-healthcare ceiling:</w:t>
      </w:r>
      <w:r w:rsidRPr="001D6291">
        <w:t xml:space="preserve"> MarketsandMarkets reports </w:t>
      </w:r>
      <w:r w:rsidRPr="001D6291">
        <w:rPr>
          <w:b/>
          <w:bCs/>
        </w:rPr>
        <w:t>US$791.2 million in 2025</w:t>
      </w:r>
      <w:r w:rsidRPr="001D6291">
        <w:t xml:space="preserve"> and </w:t>
      </w:r>
      <w:r w:rsidRPr="001D6291">
        <w:rPr>
          <w:b/>
          <w:bCs/>
        </w:rPr>
        <w:t>US$4.529 billion in 2030</w:t>
      </w:r>
      <w:r w:rsidRPr="001D6291">
        <w:t xml:space="preserve">, with a stated </w:t>
      </w:r>
      <w:r w:rsidRPr="001D6291">
        <w:rPr>
          <w:b/>
          <w:bCs/>
        </w:rPr>
        <w:t>41.8% CAGR for 2025–2030</w:t>
      </w:r>
      <w:r w:rsidRPr="001D6291">
        <w:t xml:space="preserve">. However, the same webpage also displays an internally inconsistent alternative series of </w:t>
      </w:r>
      <w:r w:rsidRPr="001D6291">
        <w:rPr>
          <w:b/>
          <w:bCs/>
        </w:rPr>
        <w:t>US$21.63 million to US$110.61 million</w:t>
      </w:r>
      <w:r w:rsidRPr="001D6291">
        <w:t xml:space="preserve"> and </w:t>
      </w:r>
      <w:r w:rsidRPr="001D6291">
        <w:rPr>
          <w:b/>
          <w:bCs/>
        </w:rPr>
        <w:t>38.6% CAGR</w:t>
      </w:r>
      <w:r w:rsidRPr="001D6291">
        <w:t xml:space="preserve">. This source is therefore </w:t>
      </w:r>
      <w:r w:rsidRPr="001D6291">
        <w:rPr>
          <w:b/>
          <w:bCs/>
        </w:rPr>
        <w:t>not reliable enough to use as the base case for ambient documentation</w:t>
      </w:r>
      <w:r w:rsidRPr="001D6291">
        <w:t xml:space="preserve">. </w:t>
      </w:r>
      <w:hyperlink r:id="rId11" w:history="1">
        <w:r w:rsidRPr="001D6291">
          <w:rPr>
            <w:rStyle w:val="Hyperlink"/>
          </w:rPr>
          <w:t>[marketsand...arkets.com]</w:t>
        </w:r>
      </w:hyperlink>
    </w:p>
    <w:p w14:paraId="70EC1336" w14:textId="77777777" w:rsidR="001D6291" w:rsidRPr="001D6291" w:rsidRDefault="001D6291" w:rsidP="001D6291">
      <w:r w:rsidRPr="001D6291">
        <w:rPr>
          <w:b/>
          <w:bCs/>
        </w:rPr>
        <w:t>India conclusion:</w:t>
      </w:r>
      <w:r w:rsidRPr="001D6291">
        <w:t xml:space="preserve"> the segment is investable but not yet measurable through a credible, ambient-specific market series. A bottom-up model based on paid clinician seats, monthly ARPU, outpatient consultation volumes and hospital penetration would be preferable to using the broad AI-in-healthcare forecast.</w:t>
      </w:r>
    </w:p>
    <w:p w14:paraId="2BA9F11C" w14:textId="77777777" w:rsidR="001D6291" w:rsidRPr="001D6291" w:rsidRDefault="001D6291" w:rsidP="001D6291">
      <w:pPr>
        <w:rPr>
          <w:b/>
          <w:bCs/>
        </w:rPr>
      </w:pPr>
      <w:r w:rsidRPr="001D6291">
        <w:rPr>
          <w:b/>
          <w:bCs/>
        </w:rPr>
        <w:t>2. AI Maturity</w:t>
      </w:r>
    </w:p>
    <w:p w14:paraId="319387A1" w14:textId="77777777" w:rsidR="001D6291" w:rsidRPr="001D6291" w:rsidRDefault="001D6291" w:rsidP="001D6291">
      <w:r w:rsidRPr="001D6291">
        <w:rPr>
          <w:b/>
          <w:bCs/>
        </w:rPr>
        <w:t>Rating: proven at scale in US outpatient documentation; early-stage in India and in higher-acuity or autonomous workflows.</w:t>
      </w:r>
    </w:p>
    <w:p w14:paraId="03C6F7C5" w14:textId="77777777" w:rsidR="001D6291" w:rsidRPr="001D6291" w:rsidRDefault="001D6291" w:rsidP="001D6291">
      <w:pPr>
        <w:numPr>
          <w:ilvl w:val="0"/>
          <w:numId w:val="4"/>
        </w:numPr>
      </w:pPr>
      <w:r w:rsidRPr="001D6291">
        <w:t xml:space="preserve">Kaiser Permanente moved from a </w:t>
      </w:r>
      <w:r w:rsidRPr="001D6291">
        <w:rPr>
          <w:b/>
          <w:bCs/>
        </w:rPr>
        <w:t>10-week pilot in early 2024</w:t>
      </w:r>
      <w:r w:rsidRPr="001D6291">
        <w:t xml:space="preserve"> to deployment across </w:t>
      </w:r>
      <w:r w:rsidRPr="001D6291">
        <w:rPr>
          <w:b/>
          <w:bCs/>
        </w:rPr>
        <w:t>8 regions, 600 medical offices and 40 hospitals</w:t>
      </w:r>
      <w:r w:rsidRPr="001D6291">
        <w:t xml:space="preserve">. The deployment remained clinician-controlled: the system creates a transcript and draft summary that the physician edits before inclusion in the medical record. </w:t>
      </w:r>
      <w:hyperlink r:id="rId12" w:history="1">
        <w:r w:rsidRPr="001D6291">
          <w:rPr>
            <w:rStyle w:val="Hyperlink"/>
          </w:rPr>
          <w:t>[permanente.org]</w:t>
        </w:r>
      </w:hyperlink>
    </w:p>
    <w:p w14:paraId="031BF099" w14:textId="77777777" w:rsidR="001D6291" w:rsidRPr="001D6291" w:rsidRDefault="001D6291" w:rsidP="001D6291">
      <w:pPr>
        <w:numPr>
          <w:ilvl w:val="0"/>
          <w:numId w:val="4"/>
        </w:numPr>
      </w:pPr>
      <w:r w:rsidRPr="001D6291">
        <w:t xml:space="preserve">Abridge reported production partnerships with </w:t>
      </w:r>
      <w:r w:rsidRPr="001D6291">
        <w:rPr>
          <w:b/>
          <w:bCs/>
        </w:rPr>
        <w:t>more than 150 enterprise health systems</w:t>
      </w:r>
      <w:r w:rsidRPr="001D6291">
        <w:t xml:space="preserve"> in June 2025 and said it expected to support </w:t>
      </w:r>
      <w:r w:rsidRPr="001D6291">
        <w:rPr>
          <w:b/>
          <w:bCs/>
        </w:rPr>
        <w:t>more than 50 million medical conversations during 2025</w:t>
      </w:r>
      <w:r w:rsidRPr="001D6291">
        <w:t xml:space="preserve">. </w:t>
      </w:r>
      <w:hyperlink r:id="rId13" w:history="1">
        <w:r w:rsidRPr="001D6291">
          <w:rPr>
            <w:rStyle w:val="Hyperlink"/>
          </w:rPr>
          <w:t>[abridge.com]</w:t>
        </w:r>
      </w:hyperlink>
      <w:r w:rsidRPr="001D6291">
        <w:t xml:space="preserve">, </w:t>
      </w:r>
      <w:hyperlink r:id="rId14" w:history="1">
        <w:r w:rsidRPr="001D6291">
          <w:rPr>
            <w:rStyle w:val="Hyperlink"/>
          </w:rPr>
          <w:t>[fiercehealthcare.com]</w:t>
        </w:r>
      </w:hyperlink>
    </w:p>
    <w:p w14:paraId="61E9E19D" w14:textId="77777777" w:rsidR="001D6291" w:rsidRPr="001D6291" w:rsidRDefault="001D6291" w:rsidP="001D6291">
      <w:pPr>
        <w:numPr>
          <w:ilvl w:val="0"/>
          <w:numId w:val="4"/>
        </w:numPr>
      </w:pPr>
      <w:r w:rsidRPr="001D6291">
        <w:lastRenderedPageBreak/>
        <w:t xml:space="preserve">Nabla reported deployment in </w:t>
      </w:r>
      <w:r w:rsidRPr="001D6291">
        <w:rPr>
          <w:b/>
          <w:bCs/>
        </w:rPr>
        <w:t>more than 130 healthcare organizations</w:t>
      </w:r>
      <w:r w:rsidRPr="001D6291">
        <w:t xml:space="preserve"> and use by </w:t>
      </w:r>
      <w:r w:rsidRPr="001D6291">
        <w:rPr>
          <w:b/>
          <w:bCs/>
        </w:rPr>
        <w:t>85,000 clinicians</w:t>
      </w:r>
      <w:r w:rsidRPr="001D6291">
        <w:t xml:space="preserve"> as of June 2025. </w:t>
      </w:r>
      <w:hyperlink r:id="rId15" w:history="1">
        <w:r w:rsidRPr="001D6291">
          <w:rPr>
            <w:rStyle w:val="Hyperlink"/>
          </w:rPr>
          <w:t>[nabla.com]</w:t>
        </w:r>
      </w:hyperlink>
      <w:r w:rsidRPr="001D6291">
        <w:t xml:space="preserve">, </w:t>
      </w:r>
      <w:hyperlink r:id="rId16" w:history="1">
        <w:r w:rsidRPr="001D6291">
          <w:rPr>
            <w:rStyle w:val="Hyperlink"/>
          </w:rPr>
          <w:t>[nabla.com]</w:t>
        </w:r>
      </w:hyperlink>
    </w:p>
    <w:p w14:paraId="6481418A" w14:textId="77777777" w:rsidR="001D6291" w:rsidRPr="001D6291" w:rsidRDefault="001D6291" w:rsidP="001D6291">
      <w:pPr>
        <w:numPr>
          <w:ilvl w:val="0"/>
          <w:numId w:val="4"/>
        </w:numPr>
      </w:pPr>
      <w:r w:rsidRPr="001D6291">
        <w:t xml:space="preserve">Augnito reported </w:t>
      </w:r>
      <w:r w:rsidRPr="001D6291">
        <w:rPr>
          <w:b/>
          <w:bCs/>
        </w:rPr>
        <w:t>500+ healthcare institutions across 25+ countries</w:t>
      </w:r>
      <w:r w:rsidRPr="001D6291">
        <w:t xml:space="preserve">, </w:t>
      </w:r>
      <w:r w:rsidRPr="001D6291">
        <w:rPr>
          <w:b/>
          <w:bCs/>
        </w:rPr>
        <w:t>15,000+ clinicians</w:t>
      </w:r>
      <w:r w:rsidRPr="001D6291">
        <w:t xml:space="preserve">, </w:t>
      </w:r>
      <w:r w:rsidRPr="001D6291">
        <w:rPr>
          <w:b/>
          <w:bCs/>
        </w:rPr>
        <w:t>55+ specialties</w:t>
      </w:r>
      <w:r w:rsidRPr="001D6291">
        <w:t xml:space="preserve"> and </w:t>
      </w:r>
      <w:r w:rsidRPr="001D6291">
        <w:rPr>
          <w:b/>
          <w:bCs/>
        </w:rPr>
        <w:t>37+ languages</w:t>
      </w:r>
      <w:r w:rsidRPr="001D6291">
        <w:t xml:space="preserve">. These are vendor-reported figures and have not been independently audited. </w:t>
      </w:r>
      <w:hyperlink r:id="rId17" w:history="1">
        <w:r w:rsidRPr="001D6291">
          <w:rPr>
            <w:rStyle w:val="Hyperlink"/>
          </w:rPr>
          <w:t>[augnito.ai]</w:t>
        </w:r>
      </w:hyperlink>
    </w:p>
    <w:p w14:paraId="4DBC457D" w14:textId="77777777" w:rsidR="001D6291" w:rsidRPr="001D6291" w:rsidRDefault="001D6291" w:rsidP="001D6291">
      <w:pPr>
        <w:numPr>
          <w:ilvl w:val="0"/>
          <w:numId w:val="4"/>
        </w:numPr>
      </w:pPr>
      <w:r w:rsidRPr="001D6291">
        <w:t xml:space="preserve">A 2026 narrative review covering </w:t>
      </w:r>
      <w:r w:rsidRPr="001D6291">
        <w:rPr>
          <w:b/>
          <w:bCs/>
        </w:rPr>
        <w:t>18 studies published between January 2019 and June 2025</w:t>
      </w:r>
      <w:r w:rsidRPr="001D6291">
        <w:t xml:space="preserve"> found consistent reductions in documentation burden and cognitive load, but also reported omissions, occasional clinically significant hallucinations and substantial differences in study methodology. </w:t>
      </w:r>
      <w:hyperlink r:id="rId18" w:history="1">
        <w:r w:rsidRPr="001D6291">
          <w:rPr>
            <w:rStyle w:val="Hyperlink"/>
          </w:rPr>
          <w:t>[pmc.ncbi.nlm.nih.gov]</w:t>
        </w:r>
      </w:hyperlink>
    </w:p>
    <w:p w14:paraId="4AC2BE00" w14:textId="77777777" w:rsidR="001D6291" w:rsidRPr="001D6291" w:rsidRDefault="001D6291" w:rsidP="001D6291">
      <w:pPr>
        <w:numPr>
          <w:ilvl w:val="0"/>
          <w:numId w:val="4"/>
        </w:numPr>
      </w:pPr>
      <w:r w:rsidRPr="001D6291">
        <w:t xml:space="preserve">A 2025 JAMA Network Open study of </w:t>
      </w:r>
      <w:r w:rsidRPr="001D6291">
        <w:rPr>
          <w:b/>
          <w:bCs/>
        </w:rPr>
        <w:t>100 clinicians</w:t>
      </w:r>
      <w:r w:rsidRPr="001D6291">
        <w:t xml:space="preserve">, with usable EHR metrics for </w:t>
      </w:r>
      <w:r w:rsidRPr="001D6291">
        <w:rPr>
          <w:b/>
          <w:bCs/>
        </w:rPr>
        <w:t>92</w:t>
      </w:r>
      <w:r w:rsidRPr="001D6291">
        <w:t xml:space="preserve">, found lower time spent in notes per appointment and improved cognitive-load and work-satisfaction measures. The reduction in burnout from </w:t>
      </w:r>
      <w:r w:rsidRPr="001D6291">
        <w:rPr>
          <w:b/>
          <w:bCs/>
        </w:rPr>
        <w:t>42.1% to 35.1%</w:t>
      </w:r>
      <w:r w:rsidRPr="001D6291">
        <w:t xml:space="preserve"> among paired survey respondents was not statistically significant at </w:t>
      </w:r>
      <w:r w:rsidRPr="001D6291">
        <w:rPr>
          <w:b/>
          <w:bCs/>
        </w:rPr>
        <w:t>P=.12</w:t>
      </w:r>
      <w:r w:rsidRPr="001D6291">
        <w:t xml:space="preserve">. </w:t>
      </w:r>
      <w:hyperlink r:id="rId19" w:history="1">
        <w:r w:rsidRPr="001D6291">
          <w:rPr>
            <w:rStyle w:val="Hyperlink"/>
          </w:rPr>
          <w:t>[jamanetwork.com]</w:t>
        </w:r>
      </w:hyperlink>
    </w:p>
    <w:p w14:paraId="2BFFEDED" w14:textId="77777777" w:rsidR="001D6291" w:rsidRPr="001D6291" w:rsidRDefault="001D6291" w:rsidP="001D6291">
      <w:r w:rsidRPr="001D6291">
        <w:rPr>
          <w:b/>
          <w:bCs/>
        </w:rPr>
        <w:t>Regulatory-clearance evidence:</w:t>
      </w:r>
      <w:r w:rsidRPr="001D6291">
        <w:t xml:space="preserve"> documentation-only ambient scribes are generally positioned as administrative tools that create clinician-reviewable drafts, rather than diagnostic medical devices. I found </w:t>
      </w:r>
      <w:r w:rsidRPr="001D6291">
        <w:rPr>
          <w:b/>
          <w:bCs/>
        </w:rPr>
        <w:t>no confirmed FDA 510(k), De Novo or CDSCO clearance specifically for the core documentation-only products of Abridge, Dragon Copilot, Nabla, Suki, Augnito or EkaScribe</w:t>
      </w:r>
      <w:r w:rsidRPr="001D6291">
        <w:t xml:space="preserve">. This should be read as “none identified in reviewed public sources,” not as a definitive registry count. FDA’s January 2026 CDS guidance makes clear that software can fall outside device regulation when it satisfies the statutory non-device CDS criteria; diagnostic or treatment recommendations may cross that boundary. </w:t>
      </w:r>
      <w:hyperlink r:id="rId20" w:history="1">
        <w:r w:rsidRPr="001D6291">
          <w:rPr>
            <w:rStyle w:val="Hyperlink"/>
          </w:rPr>
          <w:t>[fda.gov]</w:t>
        </w:r>
      </w:hyperlink>
      <w:r w:rsidRPr="001D6291">
        <w:t xml:space="preserve">, </w:t>
      </w:r>
      <w:hyperlink r:id="rId21" w:history="1">
        <w:r w:rsidRPr="001D6291">
          <w:rPr>
            <w:rStyle w:val="Hyperlink"/>
          </w:rPr>
          <w:t>[fda.gov]</w:t>
        </w:r>
      </w:hyperlink>
    </w:p>
    <w:p w14:paraId="14577478" w14:textId="77777777" w:rsidR="001D6291" w:rsidRPr="001D6291" w:rsidRDefault="001D6291" w:rsidP="001D6291">
      <w:r w:rsidRPr="001D6291">
        <w:t xml:space="preserve">India remains less mature. A September 2026 research paper found </w:t>
      </w:r>
      <w:r w:rsidRPr="001D6291">
        <w:rPr>
          <w:b/>
          <w:bCs/>
        </w:rPr>
        <w:t>no publicly available, large-scale, real-world benchmark for ambient clinical scribes in India</w:t>
      </w:r>
      <w:r w:rsidRPr="001D6291">
        <w:t xml:space="preserve"> and reported that existing datasets are predominantly synthetic and poorly representative of multilingual, code-mixed Indian consultations. </w:t>
      </w:r>
      <w:hyperlink r:id="rId22" w:history="1">
        <w:r w:rsidRPr="001D6291">
          <w:rPr>
            <w:rStyle w:val="Hyperlink"/>
          </w:rPr>
          <w:t>[arxiv.org]</w:t>
        </w:r>
      </w:hyperlink>
    </w:p>
    <w:p w14:paraId="7A1BCB20" w14:textId="77777777" w:rsidR="001D6291" w:rsidRPr="001D6291" w:rsidRDefault="001D6291" w:rsidP="001D6291">
      <w:pPr>
        <w:rPr>
          <w:b/>
          <w:bCs/>
        </w:rPr>
      </w:pPr>
      <w:r w:rsidRPr="001D6291">
        <w:rPr>
          <w:b/>
          <w:bCs/>
        </w:rPr>
        <w:t>3. Key Players</w:t>
      </w:r>
    </w:p>
    <w:p w14:paraId="174C78EC" w14:textId="77777777" w:rsidR="001D6291" w:rsidRPr="001D6291" w:rsidRDefault="001D6291" w:rsidP="001D6291">
      <w:pPr>
        <w:rPr>
          <w:b/>
          <w:bCs/>
        </w:rPr>
      </w:pPr>
      <w:r w:rsidRPr="001D6291">
        <w:rPr>
          <w:b/>
          <w:bCs/>
        </w:rPr>
        <w:t>Microsoft / Nuance Dragon Copilot</w:t>
      </w:r>
    </w:p>
    <w:p w14:paraId="6BC7B798" w14:textId="77777777" w:rsidR="001D6291" w:rsidRPr="001D6291" w:rsidRDefault="001D6291" w:rsidP="001D6291">
      <w:r w:rsidRPr="001D6291">
        <w:t xml:space="preserve">Dragon Copilot combines ambient capture, medical speech recognition and AI-generated clinical documentation within clinician workflows. Its strategic advantage is the installed base inherited from Dragon Medical and integration with Microsoft’s cloud and healthcare ecosystem. Microsoft completed its acquisition of Nuance Communications in March 2022 after announcing an all-cash transaction valued at </w:t>
      </w:r>
      <w:r w:rsidRPr="001D6291">
        <w:rPr>
          <w:b/>
          <w:bCs/>
        </w:rPr>
        <w:t xml:space="preserve">US$19.7 billion including net </w:t>
      </w:r>
      <w:r w:rsidRPr="001D6291">
        <w:rPr>
          <w:b/>
          <w:bCs/>
        </w:rPr>
        <w:lastRenderedPageBreak/>
        <w:t>debt</w:t>
      </w:r>
      <w:r w:rsidRPr="001D6291">
        <w:t xml:space="preserve">. Ownership is therefore </w:t>
      </w:r>
      <w:r w:rsidRPr="001D6291">
        <w:rPr>
          <w:b/>
          <w:bCs/>
        </w:rPr>
        <w:t>public-company strategic ownership by Microsoft</w:t>
      </w:r>
      <w:r w:rsidRPr="001D6291">
        <w:t xml:space="preserve">, not PE-backed. Revenue for Dragon Copilot is not separately disclosed. </w:t>
      </w:r>
      <w:hyperlink r:id="rId23" w:history="1">
        <w:r w:rsidRPr="001D6291">
          <w:rPr>
            <w:rStyle w:val="Hyperlink"/>
          </w:rPr>
          <w:t>[forrester.com]</w:t>
        </w:r>
      </w:hyperlink>
      <w:r w:rsidRPr="001D6291">
        <w:t xml:space="preserve">, </w:t>
      </w:r>
      <w:hyperlink r:id="rId24" w:history="1">
        <w:r w:rsidRPr="001D6291">
          <w:rPr>
            <w:rStyle w:val="Hyperlink"/>
          </w:rPr>
          <w:t>[hipaa-agents.com]</w:t>
        </w:r>
      </w:hyperlink>
    </w:p>
    <w:p w14:paraId="67DB3575" w14:textId="77777777" w:rsidR="001D6291" w:rsidRPr="001D6291" w:rsidRDefault="001D6291" w:rsidP="001D6291">
      <w:pPr>
        <w:rPr>
          <w:b/>
          <w:bCs/>
        </w:rPr>
      </w:pPr>
      <w:r w:rsidRPr="001D6291">
        <w:rPr>
          <w:b/>
          <w:bCs/>
        </w:rPr>
        <w:t>Abridge</w:t>
      </w:r>
    </w:p>
    <w:p w14:paraId="5F9EB16E" w14:textId="77777777" w:rsidR="001D6291" w:rsidRPr="001D6291" w:rsidRDefault="001D6291" w:rsidP="001D6291">
      <w:r w:rsidRPr="001D6291">
        <w:t xml:space="preserve">Abridge records clinician-patient conversations, generates specialty-specific structured documentation and links generated content back to source conversation evidence. It is extending from note generation into coding, revenue-cycle intelligence, utilization management and inpatient workflows. As of June 2025 it reported </w:t>
      </w:r>
      <w:r w:rsidRPr="001D6291">
        <w:rPr>
          <w:b/>
          <w:bCs/>
        </w:rPr>
        <w:t>150+ US health-system partnerships</w:t>
      </w:r>
      <w:r w:rsidRPr="001D6291">
        <w:t xml:space="preserve">, support for </w:t>
      </w:r>
      <w:r w:rsidRPr="001D6291">
        <w:rPr>
          <w:b/>
          <w:bCs/>
        </w:rPr>
        <w:t>55 specialties and 28 languages</w:t>
      </w:r>
      <w:r w:rsidRPr="001D6291">
        <w:t xml:space="preserve">, and an expectation of </w:t>
      </w:r>
      <w:r w:rsidRPr="001D6291">
        <w:rPr>
          <w:b/>
          <w:bCs/>
        </w:rPr>
        <w:t>50+ million medical conversations in 2025</w:t>
      </w:r>
      <w:r w:rsidRPr="001D6291">
        <w:t xml:space="preserve">. It raised </w:t>
      </w:r>
      <w:r w:rsidRPr="001D6291">
        <w:rPr>
          <w:b/>
          <w:bCs/>
        </w:rPr>
        <w:t>US$300 million in Series E funding</w:t>
      </w:r>
      <w:r w:rsidRPr="001D6291">
        <w:t xml:space="preserve"> led by Andreessen Horowitz, joined by Khosla Ventures, at a reported </w:t>
      </w:r>
      <w:r w:rsidRPr="001D6291">
        <w:rPr>
          <w:b/>
          <w:bCs/>
        </w:rPr>
        <w:t>US$5.3 billion valuation</w:t>
      </w:r>
      <w:r w:rsidRPr="001D6291">
        <w:t xml:space="preserve">; total funding was approximately </w:t>
      </w:r>
      <w:r w:rsidRPr="001D6291">
        <w:rPr>
          <w:b/>
          <w:bCs/>
        </w:rPr>
        <w:t>US$800 million</w:t>
      </w:r>
      <w:r w:rsidRPr="001D6291">
        <w:t xml:space="preserve">. Ownership is </w:t>
      </w:r>
      <w:r w:rsidRPr="001D6291">
        <w:rPr>
          <w:b/>
          <w:bCs/>
        </w:rPr>
        <w:t>private, VC/growth-backed</w:t>
      </w:r>
      <w:r w:rsidRPr="001D6291">
        <w:t xml:space="preserve">. </w:t>
      </w:r>
      <w:hyperlink r:id="rId25" w:history="1">
        <w:r w:rsidRPr="001D6291">
          <w:rPr>
            <w:rStyle w:val="Hyperlink"/>
          </w:rPr>
          <w:t>[abridge.com]</w:t>
        </w:r>
      </w:hyperlink>
      <w:r w:rsidRPr="001D6291">
        <w:t xml:space="preserve">, </w:t>
      </w:r>
      <w:hyperlink r:id="rId26" w:history="1">
        <w:r w:rsidRPr="001D6291">
          <w:rPr>
            <w:rStyle w:val="Hyperlink"/>
          </w:rPr>
          <w:t>[fiercehealthcare.com]</w:t>
        </w:r>
      </w:hyperlink>
    </w:p>
    <w:p w14:paraId="6609A053" w14:textId="77777777" w:rsidR="001D6291" w:rsidRPr="001D6291" w:rsidRDefault="001D6291" w:rsidP="001D6291">
      <w:pPr>
        <w:rPr>
          <w:b/>
          <w:bCs/>
        </w:rPr>
      </w:pPr>
      <w:r w:rsidRPr="001D6291">
        <w:rPr>
          <w:b/>
          <w:bCs/>
        </w:rPr>
        <w:t>Nabla</w:t>
      </w:r>
    </w:p>
    <w:p w14:paraId="1A58886A" w14:textId="77777777" w:rsidR="001D6291" w:rsidRPr="001D6291" w:rsidRDefault="001D6291" w:rsidP="001D6291">
      <w:r w:rsidRPr="001D6291">
        <w:t xml:space="preserve">Nabla provides ambient documentation, dictation, coding support and agentic EHR commands. Its product strategy is to allow provider-specific workflow agents while maintaining ambient capture as the initial clinician interface. In June 2025 it reported </w:t>
      </w:r>
      <w:r w:rsidRPr="001D6291">
        <w:rPr>
          <w:b/>
          <w:bCs/>
        </w:rPr>
        <w:t>85,000 clinicians across 130+ healthcare organizations</w:t>
      </w:r>
      <w:r w:rsidRPr="001D6291">
        <w:t xml:space="preserve">, integration with </w:t>
      </w:r>
      <w:r w:rsidRPr="001D6291">
        <w:rPr>
          <w:b/>
          <w:bCs/>
        </w:rPr>
        <w:t>20+ EHRs</w:t>
      </w:r>
      <w:r w:rsidRPr="001D6291">
        <w:t xml:space="preserve">, and </w:t>
      </w:r>
      <w:r w:rsidRPr="001D6291">
        <w:rPr>
          <w:b/>
          <w:bCs/>
        </w:rPr>
        <w:t>5x live ARR growth in six months</w:t>
      </w:r>
      <w:r w:rsidRPr="001D6291">
        <w:t xml:space="preserve">, although absolute revenue was not disclosed. Nabla raised a </w:t>
      </w:r>
      <w:r w:rsidRPr="001D6291">
        <w:rPr>
          <w:b/>
          <w:bCs/>
        </w:rPr>
        <w:t>US$70 million Series C</w:t>
      </w:r>
      <w:r w:rsidRPr="001D6291">
        <w:t xml:space="preserve">, taking total funding to </w:t>
      </w:r>
      <w:r w:rsidRPr="001D6291">
        <w:rPr>
          <w:b/>
          <w:bCs/>
        </w:rPr>
        <w:t>US$120 million</w:t>
      </w:r>
      <w:r w:rsidRPr="001D6291">
        <w:t xml:space="preserve">. The round was led by HV Capital, with Highland Europe, DST Global, Cathay Innovation and Build Collective. Ownership is </w:t>
      </w:r>
      <w:r w:rsidRPr="001D6291">
        <w:rPr>
          <w:b/>
          <w:bCs/>
        </w:rPr>
        <w:t>private, VC/growth-backed</w:t>
      </w:r>
      <w:r w:rsidRPr="001D6291">
        <w:t xml:space="preserve">. </w:t>
      </w:r>
      <w:hyperlink r:id="rId27" w:history="1">
        <w:r w:rsidRPr="001D6291">
          <w:rPr>
            <w:rStyle w:val="Hyperlink"/>
          </w:rPr>
          <w:t>[nabla.com]</w:t>
        </w:r>
      </w:hyperlink>
      <w:r w:rsidRPr="001D6291">
        <w:t xml:space="preserve">, </w:t>
      </w:r>
      <w:hyperlink r:id="rId28" w:history="1">
        <w:r w:rsidRPr="001D6291">
          <w:rPr>
            <w:rStyle w:val="Hyperlink"/>
          </w:rPr>
          <w:t>[nabla.com]</w:t>
        </w:r>
      </w:hyperlink>
    </w:p>
    <w:p w14:paraId="51761270" w14:textId="77777777" w:rsidR="001D6291" w:rsidRPr="001D6291" w:rsidRDefault="001D6291" w:rsidP="001D6291">
      <w:pPr>
        <w:rPr>
          <w:b/>
          <w:bCs/>
        </w:rPr>
      </w:pPr>
      <w:r w:rsidRPr="001D6291">
        <w:rPr>
          <w:b/>
          <w:bCs/>
        </w:rPr>
        <w:t>Suki</w:t>
      </w:r>
    </w:p>
    <w:p w14:paraId="39AE3AEA" w14:textId="77777777" w:rsidR="001D6291" w:rsidRPr="001D6291" w:rsidRDefault="001D6291" w:rsidP="001D6291">
      <w:r w:rsidRPr="001D6291">
        <w:t xml:space="preserve">Suki’s assistant generates notes ambiently, supports dictation and voice commands, suggests coding information, retrieves relevant chart data and incorporates pre-chart information such as vitals. It also licenses a platform layer to EHR, telehealth and clinical-communications vendors. In October 2024, Suki raised </w:t>
      </w:r>
      <w:r w:rsidRPr="001D6291">
        <w:rPr>
          <w:b/>
          <w:bCs/>
        </w:rPr>
        <w:t>US$70 million</w:t>
      </w:r>
      <w:r w:rsidRPr="001D6291">
        <w:t xml:space="preserve">, bringing total funding to </w:t>
      </w:r>
      <w:r w:rsidRPr="001D6291">
        <w:rPr>
          <w:b/>
          <w:bCs/>
        </w:rPr>
        <w:t>US$165 million</w:t>
      </w:r>
      <w:r w:rsidRPr="001D6291">
        <w:t xml:space="preserve">. The round was led by Hedosophia, with Venrock, March Capital, Flare Capital, Breyer Capital and inHealth Ventures. Suki also reported more than </w:t>
      </w:r>
      <w:r w:rsidRPr="001D6291">
        <w:rPr>
          <w:b/>
          <w:bCs/>
        </w:rPr>
        <w:t>12 new or expanded health-system deployments in the preceding two months</w:t>
      </w:r>
      <w:r w:rsidRPr="001D6291">
        <w:t xml:space="preserve">. Ownership is </w:t>
      </w:r>
      <w:r w:rsidRPr="001D6291">
        <w:rPr>
          <w:b/>
          <w:bCs/>
        </w:rPr>
        <w:t>private, VC-backed</w:t>
      </w:r>
      <w:r w:rsidRPr="001D6291">
        <w:t xml:space="preserve">; revenue is undisclosed. </w:t>
      </w:r>
      <w:hyperlink r:id="rId29" w:history="1">
        <w:r w:rsidRPr="001D6291">
          <w:rPr>
            <w:rStyle w:val="Hyperlink"/>
          </w:rPr>
          <w:t>[healthcare...ttoday.com]</w:t>
        </w:r>
      </w:hyperlink>
      <w:r w:rsidRPr="001D6291">
        <w:t xml:space="preserve">, </w:t>
      </w:r>
      <w:hyperlink r:id="rId30" w:history="1">
        <w:r w:rsidRPr="001D6291">
          <w:rPr>
            <w:rStyle w:val="Hyperlink"/>
          </w:rPr>
          <w:t>[healthcaredive.com]</w:t>
        </w:r>
      </w:hyperlink>
    </w:p>
    <w:p w14:paraId="6C16EFE2" w14:textId="77777777" w:rsidR="001D6291" w:rsidRPr="001D6291" w:rsidRDefault="001D6291" w:rsidP="001D6291">
      <w:pPr>
        <w:rPr>
          <w:b/>
          <w:bCs/>
        </w:rPr>
      </w:pPr>
      <w:r w:rsidRPr="001D6291">
        <w:rPr>
          <w:b/>
          <w:bCs/>
        </w:rPr>
        <w:t>Augnito</w:t>
      </w:r>
    </w:p>
    <w:p w14:paraId="46FD98E1" w14:textId="77777777" w:rsidR="001D6291" w:rsidRPr="001D6291" w:rsidRDefault="001D6291" w:rsidP="001D6291">
      <w:r w:rsidRPr="001D6291">
        <w:lastRenderedPageBreak/>
        <w:t xml:space="preserve">Augnito, developed by India-origin healthcare voice-technology company Scribetech, offers medical dictation and ambient clinical intelligence that converts consultations into structured records. Its differentiation is support for Indian accents, multilingual conversations, radiology and specialty workflows. The company reports </w:t>
      </w:r>
      <w:r w:rsidRPr="001D6291">
        <w:rPr>
          <w:b/>
          <w:bCs/>
        </w:rPr>
        <w:t>500+ healthcare institutions in 25+ countries</w:t>
      </w:r>
      <w:r w:rsidRPr="001D6291">
        <w:t xml:space="preserve">, </w:t>
      </w:r>
      <w:r w:rsidRPr="001D6291">
        <w:rPr>
          <w:b/>
          <w:bCs/>
        </w:rPr>
        <w:t>15,000+ clinicians</w:t>
      </w:r>
      <w:r w:rsidRPr="001D6291">
        <w:t xml:space="preserve">, </w:t>
      </w:r>
      <w:r w:rsidRPr="001D6291">
        <w:rPr>
          <w:b/>
          <w:bCs/>
        </w:rPr>
        <w:t>55+ specialties</w:t>
      </w:r>
      <w:r w:rsidRPr="001D6291">
        <w:t xml:space="preserve"> and </w:t>
      </w:r>
      <w:r w:rsidRPr="001D6291">
        <w:rPr>
          <w:b/>
          <w:bCs/>
        </w:rPr>
        <w:t>37+ languages</w:t>
      </w:r>
      <w:r w:rsidRPr="001D6291">
        <w:t xml:space="preserve">. These scale metrics are company-reported; revenue and external funding are not publicly disclosed in the reviewed sources. Ownership appears </w:t>
      </w:r>
      <w:r w:rsidRPr="001D6291">
        <w:rPr>
          <w:b/>
          <w:bCs/>
        </w:rPr>
        <w:t>private and founder/corporate held</w:t>
      </w:r>
      <w:r w:rsidRPr="001D6291">
        <w:t xml:space="preserve">, but the current cap table is </w:t>
      </w:r>
      <w:r w:rsidRPr="001D6291">
        <w:rPr>
          <w:b/>
          <w:bCs/>
        </w:rPr>
        <w:t>not confidently verifiable</w:t>
      </w:r>
      <w:r w:rsidRPr="001D6291">
        <w:t xml:space="preserve"> from public sources. </w:t>
      </w:r>
      <w:hyperlink r:id="rId31" w:history="1">
        <w:r w:rsidRPr="001D6291">
          <w:rPr>
            <w:rStyle w:val="Hyperlink"/>
          </w:rPr>
          <w:t>[augnito.ai]</w:t>
        </w:r>
      </w:hyperlink>
    </w:p>
    <w:p w14:paraId="09DEB93F" w14:textId="77777777" w:rsidR="001D6291" w:rsidRPr="001D6291" w:rsidRDefault="001D6291" w:rsidP="001D6291">
      <w:pPr>
        <w:rPr>
          <w:b/>
          <w:bCs/>
        </w:rPr>
      </w:pPr>
      <w:r w:rsidRPr="001D6291">
        <w:rPr>
          <w:b/>
          <w:bCs/>
        </w:rPr>
        <w:t>Eka Care</w:t>
      </w:r>
    </w:p>
    <w:p w14:paraId="407560A1" w14:textId="77777777" w:rsidR="001D6291" w:rsidRPr="001D6291" w:rsidRDefault="001D6291" w:rsidP="001D6291">
      <w:r w:rsidRPr="001D6291">
        <w:t xml:space="preserve">Eka Care combines an ABDM-connected patient health-record platform, clinic-management software, EMR workflows and EkaScribe for voice/AI-assisted clinical documentation. Its broader platform creates a distribution advantage in India because documentation can sit alongside ABHA-linked records, prescriptions and clinic operations. The company disclosed a </w:t>
      </w:r>
      <w:r w:rsidRPr="001D6291">
        <w:rPr>
          <w:b/>
          <w:bCs/>
        </w:rPr>
        <w:t>US$15 million Series A</w:t>
      </w:r>
      <w:r w:rsidRPr="001D6291">
        <w:t xml:space="preserve"> and reported </w:t>
      </w:r>
      <w:r w:rsidRPr="001D6291">
        <w:rPr>
          <w:b/>
          <w:bCs/>
        </w:rPr>
        <w:t>30 million health records, 1.6 million ABHAs and more than 5,000 doctors</w:t>
      </w:r>
      <w:r w:rsidRPr="001D6291">
        <w:t xml:space="preserve"> at the time of that announcement. Investors included Hummingbird Ventures, 3one4 Capital, Mirae Asset, Verlinvest and Aditya Birla Ventures. Ownership is </w:t>
      </w:r>
      <w:r w:rsidRPr="001D6291">
        <w:rPr>
          <w:b/>
          <w:bCs/>
        </w:rPr>
        <w:t>private, VC-backed</w:t>
      </w:r>
      <w:r w:rsidRPr="001D6291">
        <w:t xml:space="preserve">. The disclosed scale reflects the broader Eka platform, not specifically paid EkaScribe users. </w:t>
      </w:r>
      <w:hyperlink r:id="rId32" w:history="1">
        <w:r w:rsidRPr="001D6291">
          <w:rPr>
            <w:rStyle w:val="Hyperlink"/>
          </w:rPr>
          <w:t>[info.eka.care]</w:t>
        </w:r>
      </w:hyperlink>
    </w:p>
    <w:p w14:paraId="7208E9E9" w14:textId="77777777" w:rsidR="001D6291" w:rsidRPr="001D6291" w:rsidRDefault="001D6291" w:rsidP="001D6291">
      <w:pPr>
        <w:rPr>
          <w:b/>
          <w:bCs/>
        </w:rPr>
      </w:pPr>
      <w:r w:rsidRPr="001D6291">
        <w:rPr>
          <w:b/>
          <w:bCs/>
        </w:rPr>
        <w:t>4. Porter's Five Forces</w:t>
      </w:r>
    </w:p>
    <w:p w14:paraId="5B027F49" w14:textId="77777777" w:rsidR="001D6291" w:rsidRPr="001D6291" w:rsidRDefault="001D6291" w:rsidP="001D6291">
      <w:pPr>
        <w:rPr>
          <w:b/>
          <w:bCs/>
        </w:rPr>
      </w:pPr>
      <w:r w:rsidRPr="001D6291">
        <w:rPr>
          <w:b/>
          <w:bCs/>
        </w:rPr>
        <w:t>Competitive rivalry: 5/5, very high</w:t>
      </w:r>
    </w:p>
    <w:p w14:paraId="09DA063D" w14:textId="77777777" w:rsidR="001D6291" w:rsidRPr="001D6291" w:rsidRDefault="001D6291" w:rsidP="001D6291">
      <w:r w:rsidRPr="001D6291">
        <w:t xml:space="preserve">The category has multiple heavily funded specialists, Microsoft/Nuance, EHR-native capabilities and lower-priced tools for independent practices. Abridge, Nabla and Suki are all moving beyond transcription into coding, orders and revenue-cycle workflows, indicating that the basic note is already becoming commoditized. </w:t>
      </w:r>
      <w:hyperlink r:id="rId33" w:history="1">
        <w:r w:rsidRPr="001D6291">
          <w:rPr>
            <w:rStyle w:val="Hyperlink"/>
          </w:rPr>
          <w:t>[abridge.com]</w:t>
        </w:r>
      </w:hyperlink>
      <w:r w:rsidRPr="001D6291">
        <w:t xml:space="preserve">, </w:t>
      </w:r>
      <w:hyperlink r:id="rId34" w:history="1">
        <w:r w:rsidRPr="001D6291">
          <w:rPr>
            <w:rStyle w:val="Hyperlink"/>
          </w:rPr>
          <w:t>[nabla.com]</w:t>
        </w:r>
      </w:hyperlink>
      <w:r w:rsidRPr="001D6291">
        <w:t xml:space="preserve">, </w:t>
      </w:r>
      <w:hyperlink r:id="rId35" w:history="1">
        <w:r w:rsidRPr="001D6291">
          <w:rPr>
            <w:rStyle w:val="Hyperlink"/>
          </w:rPr>
          <w:t>[healthcare...ttoday.com]</w:t>
        </w:r>
      </w:hyperlink>
    </w:p>
    <w:p w14:paraId="0C2E0929" w14:textId="77777777" w:rsidR="001D6291" w:rsidRPr="001D6291" w:rsidRDefault="001D6291" w:rsidP="001D6291">
      <w:pPr>
        <w:rPr>
          <w:b/>
          <w:bCs/>
        </w:rPr>
      </w:pPr>
      <w:r w:rsidRPr="001D6291">
        <w:rPr>
          <w:b/>
          <w:bCs/>
        </w:rPr>
        <w:t>Buyer power: 4/5, high</w:t>
      </w:r>
    </w:p>
    <w:p w14:paraId="5D2229CF" w14:textId="77777777" w:rsidR="001D6291" w:rsidRPr="001D6291" w:rsidRDefault="001D6291" w:rsidP="001D6291">
      <w:r w:rsidRPr="001D6291">
        <w:t xml:space="preserve">Large health systems control long procurement cycles, require EHR integration, clinical validation, security reviews and enterprise pricing, and can pilot multiple vendors before standardizing. Kaiser’s staged pilot-to-scale process illustrates this leverage. Buyer power is lower after a product is embedded across templates, specialties, billing logic and thousands of clinician workflows. </w:t>
      </w:r>
      <w:hyperlink r:id="rId36" w:history="1">
        <w:r w:rsidRPr="001D6291">
          <w:rPr>
            <w:rStyle w:val="Hyperlink"/>
          </w:rPr>
          <w:t>[permanente.org]</w:t>
        </w:r>
      </w:hyperlink>
    </w:p>
    <w:p w14:paraId="02AAC1B8" w14:textId="77777777" w:rsidR="001D6291" w:rsidRPr="001D6291" w:rsidRDefault="001D6291" w:rsidP="001D6291">
      <w:pPr>
        <w:rPr>
          <w:b/>
          <w:bCs/>
        </w:rPr>
      </w:pPr>
      <w:r w:rsidRPr="001D6291">
        <w:rPr>
          <w:b/>
          <w:bCs/>
        </w:rPr>
        <w:t>Supplier power: 3/5, moderate</w:t>
      </w:r>
    </w:p>
    <w:p w14:paraId="6BD66950" w14:textId="77777777" w:rsidR="001D6291" w:rsidRPr="001D6291" w:rsidRDefault="001D6291" w:rsidP="001D6291">
      <w:r w:rsidRPr="001D6291">
        <w:lastRenderedPageBreak/>
        <w:t xml:space="preserve">Core inputs include foundation models, cloud inference, speech recognition, medical terminology and access to EHR interfaces. Foundation-model and cloud suppliers have pricing and technical leverage, while Epic, Oracle Health and other EHRs control critical workflow access. However, vendors can use multiple models and optimize inference, limiting single-supplier dependency. The more durable scarce input is clinically representative, specialty-specific conversational data, particularly in India, where public multilingual benchmarks are absent. </w:t>
      </w:r>
      <w:hyperlink r:id="rId37" w:history="1">
        <w:r w:rsidRPr="001D6291">
          <w:rPr>
            <w:rStyle w:val="Hyperlink"/>
          </w:rPr>
          <w:t>[arxiv.org]</w:t>
        </w:r>
      </w:hyperlink>
    </w:p>
    <w:p w14:paraId="1B93081F" w14:textId="77777777" w:rsidR="001D6291" w:rsidRPr="001D6291" w:rsidRDefault="001D6291" w:rsidP="001D6291">
      <w:pPr>
        <w:rPr>
          <w:b/>
          <w:bCs/>
        </w:rPr>
      </w:pPr>
      <w:r w:rsidRPr="001D6291">
        <w:rPr>
          <w:b/>
          <w:bCs/>
        </w:rPr>
        <w:t>Threat of new entrants: 3.5/5, moderate-to-high</w:t>
      </w:r>
    </w:p>
    <w:p w14:paraId="72AB4096" w14:textId="77777777" w:rsidR="001D6291" w:rsidRPr="001D6291" w:rsidRDefault="001D6291" w:rsidP="001D6291">
      <w:r w:rsidRPr="001D6291">
        <w:t xml:space="preserve">A basic ambient note generator is technically easy to launch, and documentation-only products may avoid device-clearance requirements. Enterprise entry is harder because it requires HIPAA-grade controls, business-associate contracting, EHR integration, specialty validation and procurement credibility. The barrier is therefore distribution and workflow implementation rather than the underlying language model. </w:t>
      </w:r>
      <w:hyperlink r:id="rId38" w:history="1">
        <w:r w:rsidRPr="001D6291">
          <w:rPr>
            <w:rStyle w:val="Hyperlink"/>
          </w:rPr>
          <w:t>[fda.gov]</w:t>
        </w:r>
      </w:hyperlink>
      <w:r w:rsidRPr="001D6291">
        <w:t xml:space="preserve">, </w:t>
      </w:r>
      <w:hyperlink r:id="rId39" w:history="1">
        <w:r w:rsidRPr="001D6291">
          <w:rPr>
            <w:rStyle w:val="Hyperlink"/>
          </w:rPr>
          <w:t>[medcurity.com]</w:t>
        </w:r>
      </w:hyperlink>
    </w:p>
    <w:p w14:paraId="2ED9A498" w14:textId="77777777" w:rsidR="001D6291" w:rsidRPr="001D6291" w:rsidRDefault="001D6291" w:rsidP="001D6291">
      <w:pPr>
        <w:rPr>
          <w:b/>
          <w:bCs/>
        </w:rPr>
      </w:pPr>
      <w:r w:rsidRPr="001D6291">
        <w:rPr>
          <w:b/>
          <w:bCs/>
        </w:rPr>
        <w:t>Threat of substitutes: 4/5, high</w:t>
      </w:r>
    </w:p>
    <w:p w14:paraId="6E8C167C" w14:textId="77777777" w:rsidR="001D6291" w:rsidRPr="001D6291" w:rsidRDefault="001D6291" w:rsidP="001D6291">
      <w:r w:rsidRPr="001D6291">
        <w:t>Substitutes include human scribes, offshore transcription, conventional dictation, clinician templates and “good enough” ambient functionality bundled by EHR or productivity-platform vendors. In India, lower clinician labour cost and incomplete EMR penetration may weaken the economic case for a standalone premium ambient product. The strongest defence is not transcription quality alone, but measurable coding, capacity, denial-reduction or clinician-retention value.</w:t>
      </w:r>
    </w:p>
    <w:p w14:paraId="0F4786E4" w14:textId="77777777" w:rsidR="001D6291" w:rsidRPr="001D6291" w:rsidRDefault="001D6291" w:rsidP="001D6291">
      <w:pPr>
        <w:rPr>
          <w:b/>
          <w:bCs/>
        </w:rPr>
      </w:pPr>
      <w:r w:rsidRPr="001D6291">
        <w:rPr>
          <w:b/>
          <w:bCs/>
        </w:rPr>
        <w:t>5. PE Firms Present, Stakes, and Strategic Vision</w:t>
      </w:r>
    </w:p>
    <w:p w14:paraId="460E8569" w14:textId="77777777" w:rsidR="001D6291" w:rsidRPr="001D6291" w:rsidRDefault="001D6291" w:rsidP="001D6291">
      <w:r w:rsidRPr="001D6291">
        <w:t>Traditional buyout PE participation in pure-play ambient documentation remains limited. Most category leaders are funded by venture and growth investors, and disclosed ownership stakes are generally unavailable.</w:t>
      </w:r>
    </w:p>
    <w:p w14:paraId="3620E9E8" w14:textId="77777777" w:rsidR="001D6291" w:rsidRPr="001D6291" w:rsidRDefault="001D6291" w:rsidP="001D6291">
      <w:pPr>
        <w:numPr>
          <w:ilvl w:val="0"/>
          <w:numId w:val="5"/>
        </w:numPr>
      </w:pPr>
      <w:r w:rsidRPr="001D6291">
        <w:t xml:space="preserve">Commure acquired listed ambient-documentation company Augmedix for approximately </w:t>
      </w:r>
      <w:r w:rsidRPr="001D6291">
        <w:rPr>
          <w:b/>
          <w:bCs/>
        </w:rPr>
        <w:t>US$139 million in equity value</w:t>
      </w:r>
      <w:r w:rsidRPr="001D6291">
        <w:t xml:space="preserve">, or </w:t>
      </w:r>
      <w:r w:rsidRPr="001D6291">
        <w:rPr>
          <w:b/>
          <w:bCs/>
        </w:rPr>
        <w:t>US$2.35 per share</w:t>
      </w:r>
      <w:r w:rsidRPr="001D6291">
        <w:t xml:space="preserve">, in an all-cash transaction announced on </w:t>
      </w:r>
      <w:r w:rsidRPr="001D6291">
        <w:rPr>
          <w:b/>
          <w:bCs/>
        </w:rPr>
        <w:t>19 July 2024</w:t>
      </w:r>
      <w:r w:rsidRPr="001D6291">
        <w:t xml:space="preserve"> and completed on </w:t>
      </w:r>
      <w:r w:rsidRPr="001D6291">
        <w:rPr>
          <w:b/>
          <w:bCs/>
        </w:rPr>
        <w:t>2 October 2024</w:t>
      </w:r>
      <w:r w:rsidRPr="001D6291">
        <w:t xml:space="preserve">. Augmedix became a wholly owned subsidiary. The stated thesis was to combine ambient documentation with coding, billing and workflow software to create a broader health-AI operating platform rather than preserve a standalone scribe. </w:t>
      </w:r>
      <w:hyperlink r:id="rId40" w:history="1">
        <w:r w:rsidRPr="001D6291">
          <w:rPr>
            <w:rStyle w:val="Hyperlink"/>
          </w:rPr>
          <w:t>[augmedix.com]</w:t>
        </w:r>
      </w:hyperlink>
      <w:r w:rsidRPr="001D6291">
        <w:t xml:space="preserve">, </w:t>
      </w:r>
      <w:hyperlink r:id="rId41" w:history="1">
        <w:r w:rsidRPr="001D6291">
          <w:rPr>
            <w:rStyle w:val="Hyperlink"/>
          </w:rPr>
          <w:t>[augmedix.com]</w:t>
        </w:r>
      </w:hyperlink>
      <w:r w:rsidRPr="001D6291">
        <w:t xml:space="preserve">, </w:t>
      </w:r>
      <w:hyperlink r:id="rId42" w:history="1">
        <w:r w:rsidRPr="001D6291">
          <w:rPr>
            <w:rStyle w:val="Hyperlink"/>
          </w:rPr>
          <w:t>[commure.com]</w:t>
        </w:r>
      </w:hyperlink>
    </w:p>
    <w:p w14:paraId="27BA3E2D" w14:textId="77777777" w:rsidR="001D6291" w:rsidRPr="001D6291" w:rsidRDefault="001D6291" w:rsidP="001D6291">
      <w:pPr>
        <w:numPr>
          <w:ilvl w:val="0"/>
          <w:numId w:val="5"/>
        </w:numPr>
      </w:pPr>
      <w:r w:rsidRPr="001D6291">
        <w:t xml:space="preserve">Andreessen Horowitz and Khosla Ventures led/joined Abridge’s </w:t>
      </w:r>
      <w:r w:rsidRPr="001D6291">
        <w:rPr>
          <w:b/>
          <w:bCs/>
        </w:rPr>
        <w:t>US$300 million Series E in June 2025</w:t>
      </w:r>
      <w:r w:rsidRPr="001D6291">
        <w:t xml:space="preserve">. Stake percentages were not disclosed. The stated value-creation thesis was expansion from documentation into revenue-cycle intelligence, </w:t>
      </w:r>
      <w:r w:rsidRPr="001D6291">
        <w:lastRenderedPageBreak/>
        <w:t xml:space="preserve">coding, utilization management and reimbursement workflows at the point of care. These are venture/growth investors, not conventional control-buyout PE sponsors. </w:t>
      </w:r>
      <w:hyperlink r:id="rId43" w:history="1">
        <w:r w:rsidRPr="001D6291">
          <w:rPr>
            <w:rStyle w:val="Hyperlink"/>
          </w:rPr>
          <w:t>[abridge.com]</w:t>
        </w:r>
      </w:hyperlink>
      <w:r w:rsidRPr="001D6291">
        <w:t xml:space="preserve">, </w:t>
      </w:r>
      <w:hyperlink r:id="rId44" w:history="1">
        <w:r w:rsidRPr="001D6291">
          <w:rPr>
            <w:rStyle w:val="Hyperlink"/>
          </w:rPr>
          <w:t>[fiercehealthcare.com]</w:t>
        </w:r>
      </w:hyperlink>
    </w:p>
    <w:p w14:paraId="2EF01678" w14:textId="77777777" w:rsidR="001D6291" w:rsidRPr="001D6291" w:rsidRDefault="001D6291" w:rsidP="001D6291">
      <w:pPr>
        <w:numPr>
          <w:ilvl w:val="0"/>
          <w:numId w:val="5"/>
        </w:numPr>
      </w:pPr>
      <w:r w:rsidRPr="001D6291">
        <w:t xml:space="preserve">HV Capital led Nabla’s </w:t>
      </w:r>
      <w:r w:rsidRPr="001D6291">
        <w:rPr>
          <w:b/>
          <w:bCs/>
        </w:rPr>
        <w:t>US$70 million Series C in June 2025</w:t>
      </w:r>
      <w:r w:rsidRPr="001D6291">
        <w:t xml:space="preserve">; ownership percentages were not disclosed. The thesis is to use ambient documentation as the entry point for a configurable agentic workflow platform covering coding, EHR actions, nursing and additional clinical roles. </w:t>
      </w:r>
      <w:hyperlink r:id="rId45" w:history="1">
        <w:r w:rsidRPr="001D6291">
          <w:rPr>
            <w:rStyle w:val="Hyperlink"/>
          </w:rPr>
          <w:t>[nabla.com]</w:t>
        </w:r>
      </w:hyperlink>
    </w:p>
    <w:p w14:paraId="4B9AD66E" w14:textId="77777777" w:rsidR="001D6291" w:rsidRPr="001D6291" w:rsidRDefault="001D6291" w:rsidP="001D6291">
      <w:pPr>
        <w:numPr>
          <w:ilvl w:val="0"/>
          <w:numId w:val="5"/>
        </w:numPr>
      </w:pPr>
      <w:r w:rsidRPr="001D6291">
        <w:t xml:space="preserve">Hedosophia led Suki’s </w:t>
      </w:r>
      <w:r w:rsidRPr="001D6291">
        <w:rPr>
          <w:b/>
          <w:bCs/>
        </w:rPr>
        <w:t>US$70 million Series D in October 2024</w:t>
      </w:r>
      <w:r w:rsidRPr="001D6291">
        <w:t xml:space="preserve">; individual stakes were not disclosed. The investment supports commercial expansion, product development, EHR partnerships and diversification beyond note generation. </w:t>
      </w:r>
      <w:hyperlink r:id="rId46" w:history="1">
        <w:r w:rsidRPr="001D6291">
          <w:rPr>
            <w:rStyle w:val="Hyperlink"/>
          </w:rPr>
          <w:t>[healthcare...ttoday.com]</w:t>
        </w:r>
      </w:hyperlink>
    </w:p>
    <w:p w14:paraId="0E2115D4" w14:textId="77777777" w:rsidR="001D6291" w:rsidRPr="001D6291" w:rsidRDefault="001D6291" w:rsidP="001D6291">
      <w:pPr>
        <w:numPr>
          <w:ilvl w:val="0"/>
          <w:numId w:val="5"/>
        </w:numPr>
      </w:pPr>
      <w:r w:rsidRPr="001D6291">
        <w:t xml:space="preserve">Microsoft’s </w:t>
      </w:r>
      <w:r w:rsidRPr="001D6291">
        <w:rPr>
          <w:b/>
          <w:bCs/>
        </w:rPr>
        <w:t>US$19.7 billion</w:t>
      </w:r>
      <w:r w:rsidRPr="001D6291">
        <w:t xml:space="preserve"> Nuance acquisition is strategically important but is a corporate acquisition, not PE. It shows the likely exit path for scaled ambient assets: acquisition by a cloud, EHR, RCM or healthcare-IT platform seeking workflow distribution and proprietary clinical data. </w:t>
      </w:r>
      <w:hyperlink r:id="rId47" w:history="1">
        <w:r w:rsidRPr="001D6291">
          <w:rPr>
            <w:rStyle w:val="Hyperlink"/>
          </w:rPr>
          <w:t>[forrester.com]</w:t>
        </w:r>
      </w:hyperlink>
    </w:p>
    <w:p w14:paraId="264F0DA8" w14:textId="77777777" w:rsidR="001D6291" w:rsidRPr="001D6291" w:rsidRDefault="001D6291" w:rsidP="001D6291">
      <w:r w:rsidRPr="001D6291">
        <w:rPr>
          <w:b/>
          <w:bCs/>
        </w:rPr>
        <w:t>PE implication:</w:t>
      </w:r>
      <w:r w:rsidRPr="001D6291">
        <w:t xml:space="preserve"> the segment currently resembles a late-stage venture and strategic-M&amp;A market more than a classic leveraged-buyout market. A PE entry is more plausible through a profitable regional documentation/RCM platform, carve-out, or buy-and-build combining ambient technology with coding and workflow services.</w:t>
      </w:r>
    </w:p>
    <w:p w14:paraId="41CB9CE1" w14:textId="77777777" w:rsidR="001D6291" w:rsidRPr="001D6291" w:rsidRDefault="001D6291" w:rsidP="001D6291">
      <w:pPr>
        <w:rPr>
          <w:b/>
          <w:bCs/>
        </w:rPr>
      </w:pPr>
      <w:r w:rsidRPr="001D6291">
        <w:rPr>
          <w:b/>
          <w:bCs/>
        </w:rPr>
        <w:t>6. Regulatory Context (US + India)</w:t>
      </w:r>
    </w:p>
    <w:p w14:paraId="3B4E3C14" w14:textId="77777777" w:rsidR="001D6291" w:rsidRPr="001D6291" w:rsidRDefault="001D6291" w:rsidP="001D6291">
      <w:pPr>
        <w:rPr>
          <w:b/>
          <w:bCs/>
        </w:rPr>
      </w:pPr>
      <w:r w:rsidRPr="001D6291">
        <w:rPr>
          <w:b/>
          <w:bCs/>
        </w:rPr>
        <w:t>United States</w:t>
      </w:r>
    </w:p>
    <w:p w14:paraId="4363AB06" w14:textId="77777777" w:rsidR="001D6291" w:rsidRPr="001D6291" w:rsidRDefault="001D6291" w:rsidP="001D6291">
      <w:pPr>
        <w:numPr>
          <w:ilvl w:val="0"/>
          <w:numId w:val="6"/>
        </w:numPr>
      </w:pPr>
      <w:r w:rsidRPr="001D6291">
        <w:rPr>
          <w:b/>
          <w:bCs/>
        </w:rPr>
        <w:t>FDA:</w:t>
      </w:r>
      <w:r w:rsidRPr="001D6291">
        <w:t xml:space="preserve"> pure transcription and clinician-reviewable draft documentation generally sit outside the device pathway. If a product begins recommending diagnoses, treatments, orders or time-critical interventions, FDA’s medical-device software and CDS framework becomes relevant. FDA issued updated final CDS guidance on </w:t>
      </w:r>
      <w:r w:rsidRPr="001D6291">
        <w:rPr>
          <w:b/>
          <w:bCs/>
        </w:rPr>
        <w:t>29 January 2026</w:t>
      </w:r>
      <w:r w:rsidRPr="001D6291">
        <w:t xml:space="preserve">, clarifying when CDS is excluded from the device definition and when digital-health device policies apply. </w:t>
      </w:r>
      <w:hyperlink r:id="rId48" w:history="1">
        <w:r w:rsidRPr="001D6291">
          <w:rPr>
            <w:rStyle w:val="Hyperlink"/>
          </w:rPr>
          <w:t>[fda.gov]</w:t>
        </w:r>
      </w:hyperlink>
      <w:r w:rsidRPr="001D6291">
        <w:t xml:space="preserve">, </w:t>
      </w:r>
      <w:hyperlink r:id="rId49" w:history="1">
        <w:r w:rsidRPr="001D6291">
          <w:rPr>
            <w:rStyle w:val="Hyperlink"/>
          </w:rPr>
          <w:t>[fda.gov]</w:t>
        </w:r>
      </w:hyperlink>
    </w:p>
    <w:p w14:paraId="61A4E443" w14:textId="77777777" w:rsidR="001D6291" w:rsidRPr="001D6291" w:rsidRDefault="001D6291" w:rsidP="001D6291">
      <w:pPr>
        <w:numPr>
          <w:ilvl w:val="0"/>
          <w:numId w:val="6"/>
        </w:numPr>
      </w:pPr>
      <w:r w:rsidRPr="001D6291">
        <w:rPr>
          <w:b/>
          <w:bCs/>
        </w:rPr>
        <w:t>HIPAA:</w:t>
      </w:r>
      <w:r w:rsidRPr="001D6291">
        <w:t xml:space="preserve"> ambient vendors processing protected health information for providers generally require a Business Associate Agreement, security controls, defined retention/deletion rules and controls over subprocessors and model training. Recording-consent requirements can also arise under state law independently of HIPAA. </w:t>
      </w:r>
      <w:hyperlink r:id="rId50" w:history="1">
        <w:r w:rsidRPr="001D6291">
          <w:rPr>
            <w:rStyle w:val="Hyperlink"/>
          </w:rPr>
          <w:t>[medcurity.com]</w:t>
        </w:r>
      </w:hyperlink>
      <w:r w:rsidRPr="001D6291">
        <w:t xml:space="preserve">, </w:t>
      </w:r>
      <w:hyperlink r:id="rId51" w:history="1">
        <w:r w:rsidRPr="001D6291">
          <w:rPr>
            <w:rStyle w:val="Hyperlink"/>
          </w:rPr>
          <w:t>[transcribe.health]</w:t>
        </w:r>
      </w:hyperlink>
    </w:p>
    <w:p w14:paraId="0DD5CB70" w14:textId="77777777" w:rsidR="001D6291" w:rsidRPr="001D6291" w:rsidRDefault="001D6291" w:rsidP="001D6291">
      <w:pPr>
        <w:numPr>
          <w:ilvl w:val="0"/>
          <w:numId w:val="6"/>
        </w:numPr>
      </w:pPr>
      <w:r w:rsidRPr="001D6291">
        <w:rPr>
          <w:b/>
          <w:bCs/>
        </w:rPr>
        <w:t>ONC/ASTP HTI-1:</w:t>
      </w:r>
      <w:r w:rsidRPr="001D6291">
        <w:t xml:space="preserve"> the Decision Support Intervention criterion at </w:t>
      </w:r>
      <w:r w:rsidRPr="001D6291">
        <w:rPr>
          <w:b/>
          <w:bCs/>
        </w:rPr>
        <w:t>45 CFR 170.315(b)(11)</w:t>
      </w:r>
      <w:r w:rsidRPr="001D6291">
        <w:t xml:space="preserve"> requires certified health-IT developers supplying predictive DSIs to </w:t>
      </w:r>
      <w:r w:rsidRPr="001D6291">
        <w:lastRenderedPageBreak/>
        <w:t xml:space="preserve">maintain source-attribute transparency and risk-management practices. The rule identifies </w:t>
      </w:r>
      <w:r w:rsidRPr="001D6291">
        <w:rPr>
          <w:b/>
          <w:bCs/>
        </w:rPr>
        <w:t>31 source attributes</w:t>
      </w:r>
      <w:r w:rsidRPr="001D6291">
        <w:t xml:space="preserve"> for predictive DSIs. Pure note generation may not qualify, but coding, risk prediction and clinical recommendations can bring ambient platforms closer to this framework. </w:t>
      </w:r>
      <w:hyperlink r:id="rId52" w:history="1">
        <w:r w:rsidRPr="001D6291">
          <w:rPr>
            <w:rStyle w:val="Hyperlink"/>
          </w:rPr>
          <w:t>[healthit.gov]</w:t>
        </w:r>
      </w:hyperlink>
    </w:p>
    <w:p w14:paraId="5DEA4D25" w14:textId="77777777" w:rsidR="001D6291" w:rsidRPr="001D6291" w:rsidRDefault="001D6291" w:rsidP="001D6291">
      <w:pPr>
        <w:numPr>
          <w:ilvl w:val="0"/>
          <w:numId w:val="6"/>
        </w:numPr>
      </w:pPr>
      <w:r w:rsidRPr="001D6291">
        <w:rPr>
          <w:b/>
          <w:bCs/>
        </w:rPr>
        <w:t>Material 2025–2026 change:</w:t>
      </w:r>
      <w:r w:rsidRPr="001D6291">
        <w:t xml:space="preserve"> the January 2026 FDA CDS guidance increases product-boundary clarity but also raises the compliance stakes as ambient vendors expand into autonomous coding, ordering and clinical recommendations. </w:t>
      </w:r>
      <w:hyperlink r:id="rId53" w:history="1">
        <w:r w:rsidRPr="001D6291">
          <w:rPr>
            <w:rStyle w:val="Hyperlink"/>
          </w:rPr>
          <w:t>[fda.gov]</w:t>
        </w:r>
      </w:hyperlink>
    </w:p>
    <w:p w14:paraId="009E6CE5" w14:textId="77777777" w:rsidR="001D6291" w:rsidRPr="001D6291" w:rsidRDefault="001D6291" w:rsidP="001D6291">
      <w:pPr>
        <w:rPr>
          <w:b/>
          <w:bCs/>
        </w:rPr>
      </w:pPr>
      <w:r w:rsidRPr="001D6291">
        <w:rPr>
          <w:b/>
          <w:bCs/>
        </w:rPr>
        <w:t>India</w:t>
      </w:r>
    </w:p>
    <w:p w14:paraId="58C4489C" w14:textId="77777777" w:rsidR="001D6291" w:rsidRPr="001D6291" w:rsidRDefault="001D6291" w:rsidP="001D6291">
      <w:pPr>
        <w:numPr>
          <w:ilvl w:val="0"/>
          <w:numId w:val="7"/>
        </w:numPr>
      </w:pPr>
      <w:r w:rsidRPr="001D6291">
        <w:rPr>
          <w:b/>
          <w:bCs/>
        </w:rPr>
        <w:t>CDSCO and MDR 2017:</w:t>
      </w:r>
      <w:r w:rsidRPr="001D6291">
        <w:t xml:space="preserve"> CDSCO’s July 2026 Guidance Document on Medical Device Software clarifies treatment of standalone, cloud and AI/ML medical software under the Medical Devices Rules, 2017. Software with diagnostic, monitoring, prediction or treatment intent may be regulated; administrative HIS, LIS and EHR functions generally remain outside device scope unless they execute medical algorithms or automated clinical decision support. </w:t>
      </w:r>
      <w:hyperlink r:id="rId54" w:history="1">
        <w:r w:rsidRPr="001D6291">
          <w:rPr>
            <w:rStyle w:val="Hyperlink"/>
          </w:rPr>
          <w:t>[cdsco.gov.in]</w:t>
        </w:r>
      </w:hyperlink>
      <w:r w:rsidRPr="001D6291">
        <w:t xml:space="preserve">, </w:t>
      </w:r>
      <w:hyperlink r:id="rId55" w:history="1">
        <w:r w:rsidRPr="001D6291">
          <w:rPr>
            <w:rStyle w:val="Hyperlink"/>
          </w:rPr>
          <w:t>[cliniexperts.com]</w:t>
        </w:r>
      </w:hyperlink>
    </w:p>
    <w:p w14:paraId="7D226415" w14:textId="77777777" w:rsidR="001D6291" w:rsidRPr="001D6291" w:rsidRDefault="001D6291" w:rsidP="001D6291">
      <w:pPr>
        <w:numPr>
          <w:ilvl w:val="0"/>
          <w:numId w:val="7"/>
        </w:numPr>
      </w:pPr>
      <w:r w:rsidRPr="001D6291">
        <w:rPr>
          <w:b/>
          <w:bCs/>
        </w:rPr>
        <w:t>DPDP Act and Rules:</w:t>
      </w:r>
      <w:r w:rsidRPr="001D6291">
        <w:t xml:space="preserve"> the Digital Personal Data Protection Rules were notified in </w:t>
      </w:r>
      <w:r w:rsidRPr="001D6291">
        <w:rPr>
          <w:b/>
          <w:bCs/>
        </w:rPr>
        <w:t>November 2025</w:t>
      </w:r>
      <w:r w:rsidRPr="001D6291">
        <w:t xml:space="preserve"> with phased commencement. Rules covering notices, security safeguards, breach response, processor controls and significant data fiduciary obligations come into force </w:t>
      </w:r>
      <w:r w:rsidRPr="001D6291">
        <w:rPr>
          <w:b/>
          <w:bCs/>
        </w:rPr>
        <w:t>18 months after Gazette publication</w:t>
      </w:r>
      <w:r w:rsidRPr="001D6291">
        <w:t xml:space="preserve">, while the consent-manager provision comes into force after </w:t>
      </w:r>
      <w:r w:rsidRPr="001D6291">
        <w:rPr>
          <w:b/>
          <w:bCs/>
        </w:rPr>
        <w:t>one year</w:t>
      </w:r>
      <w:r w:rsidRPr="001D6291">
        <w:t xml:space="preserve">. </w:t>
      </w:r>
      <w:hyperlink r:id="rId56" w:history="1">
        <w:r w:rsidRPr="001D6291">
          <w:rPr>
            <w:rStyle w:val="Hyperlink"/>
          </w:rPr>
          <w:t>[static.pib.gov.in]</w:t>
        </w:r>
      </w:hyperlink>
      <w:r w:rsidRPr="001D6291">
        <w:t xml:space="preserve">, </w:t>
      </w:r>
      <w:hyperlink r:id="rId57" w:history="1">
        <w:r w:rsidRPr="001D6291">
          <w:rPr>
            <w:rStyle w:val="Hyperlink"/>
          </w:rPr>
          <w:t>[dpdpa.com]</w:t>
        </w:r>
      </w:hyperlink>
    </w:p>
    <w:p w14:paraId="2B667603" w14:textId="77777777" w:rsidR="001D6291" w:rsidRPr="001D6291" w:rsidRDefault="001D6291" w:rsidP="001D6291">
      <w:pPr>
        <w:numPr>
          <w:ilvl w:val="0"/>
          <w:numId w:val="7"/>
        </w:numPr>
      </w:pPr>
      <w:r w:rsidRPr="001D6291">
        <w:rPr>
          <w:b/>
          <w:bCs/>
        </w:rPr>
        <w:t>ABDM:</w:t>
      </w:r>
      <w:r w:rsidRPr="001D6291">
        <w:t xml:space="preserve"> the Health Data Management Policy establishes security and privacy by design, federated data architecture and consent-based health-information exchange. ABDM participation can improve interoperability and distribution but creates additional requirements around consent, identity and data exchange. </w:t>
      </w:r>
      <w:hyperlink r:id="rId58" w:history="1">
        <w:r w:rsidRPr="001D6291">
          <w:rPr>
            <w:rStyle w:val="Hyperlink"/>
          </w:rPr>
          <w:t>[abdm.gov.in]</w:t>
        </w:r>
      </w:hyperlink>
      <w:r w:rsidRPr="001D6291">
        <w:t xml:space="preserve">, </w:t>
      </w:r>
      <w:hyperlink r:id="rId59" w:history="1">
        <w:r w:rsidRPr="001D6291">
          <w:rPr>
            <w:rStyle w:val="Hyperlink"/>
          </w:rPr>
          <w:t>[pib.gov.in]</w:t>
        </w:r>
      </w:hyperlink>
    </w:p>
    <w:p w14:paraId="14CA18A6" w14:textId="77777777" w:rsidR="001D6291" w:rsidRPr="001D6291" w:rsidRDefault="001D6291" w:rsidP="001D6291">
      <w:pPr>
        <w:numPr>
          <w:ilvl w:val="0"/>
          <w:numId w:val="7"/>
        </w:numPr>
      </w:pPr>
      <w:r w:rsidRPr="001D6291">
        <w:rPr>
          <w:b/>
          <w:bCs/>
        </w:rPr>
        <w:t>Material 2026 development:</w:t>
      </w:r>
      <w:r w:rsidRPr="001D6291">
        <w:t xml:space="preserve"> CDSCO’s dedicated software guidance improves classification clarity but could raise development, validation, cybersecurity and post-market costs for vendors that move from documentation into clinical recommendations. </w:t>
      </w:r>
      <w:hyperlink r:id="rId60" w:history="1">
        <w:r w:rsidRPr="001D6291">
          <w:rPr>
            <w:rStyle w:val="Hyperlink"/>
          </w:rPr>
          <w:t>[cdsco.gov.in]</w:t>
        </w:r>
      </w:hyperlink>
    </w:p>
    <w:p w14:paraId="28205DB1" w14:textId="77777777" w:rsidR="001D6291" w:rsidRPr="001D6291" w:rsidRDefault="001D6291" w:rsidP="001D6291">
      <w:pPr>
        <w:rPr>
          <w:b/>
          <w:bCs/>
        </w:rPr>
      </w:pPr>
      <w:r w:rsidRPr="001D6291">
        <w:rPr>
          <w:b/>
          <w:bCs/>
        </w:rPr>
        <w:t>7. Risk Factors</w:t>
      </w:r>
    </w:p>
    <w:p w14:paraId="7CB70A6A" w14:textId="77777777" w:rsidR="001D6291" w:rsidRPr="001D6291" w:rsidRDefault="001D6291" w:rsidP="001D6291">
      <w:pPr>
        <w:numPr>
          <w:ilvl w:val="0"/>
          <w:numId w:val="8"/>
        </w:numPr>
      </w:pPr>
      <w:r w:rsidRPr="001D6291">
        <w:rPr>
          <w:b/>
          <w:bCs/>
        </w:rPr>
        <w:t>The note becomes a bundled commodity.</w:t>
      </w:r>
      <w:r w:rsidRPr="001D6291">
        <w:t xml:space="preserve"> Microsoft/Nuance and EHR vendors can bundle acceptable ambient documentation into broader enterprise contracts. </w:t>
      </w:r>
      <w:r w:rsidRPr="001D6291">
        <w:lastRenderedPageBreak/>
        <w:t>Standalone vendors may lose pricing power unless they own downstream coding, reimbursement or workflow execution.</w:t>
      </w:r>
    </w:p>
    <w:p w14:paraId="151790C7" w14:textId="77777777" w:rsidR="001D6291" w:rsidRPr="001D6291" w:rsidRDefault="001D6291" w:rsidP="001D6291">
      <w:pPr>
        <w:numPr>
          <w:ilvl w:val="0"/>
          <w:numId w:val="8"/>
        </w:numPr>
      </w:pPr>
      <w:r w:rsidRPr="001D6291">
        <w:rPr>
          <w:b/>
          <w:bCs/>
        </w:rPr>
        <w:t>Clinical error migrates into the legal record.</w:t>
      </w:r>
      <w:r w:rsidRPr="001D6291">
        <w:t xml:space="preserve"> Ambient systems can omit facts, misattribute speakers or hallucinate content. Because generated notes enter the medical record and support billing and care decisions, even low error rates can create malpractice, audit and claims-denial exposure. The evidence base remains heterogeneous and includes clinically significant errors. </w:t>
      </w:r>
      <w:hyperlink r:id="rId61" w:history="1">
        <w:r w:rsidRPr="001D6291">
          <w:rPr>
            <w:rStyle w:val="Hyperlink"/>
          </w:rPr>
          <w:t>[pmc.ncbi.nlm.nih.gov]</w:t>
        </w:r>
      </w:hyperlink>
    </w:p>
    <w:p w14:paraId="4419D6F8" w14:textId="77777777" w:rsidR="001D6291" w:rsidRPr="001D6291" w:rsidRDefault="001D6291" w:rsidP="001D6291">
      <w:pPr>
        <w:numPr>
          <w:ilvl w:val="0"/>
          <w:numId w:val="8"/>
        </w:numPr>
      </w:pPr>
      <w:r w:rsidRPr="001D6291">
        <w:rPr>
          <w:b/>
          <w:bCs/>
        </w:rPr>
        <w:t>Workflow expansion triggers regulation.</w:t>
      </w:r>
      <w:r w:rsidRPr="001D6291">
        <w:t xml:space="preserve"> A documentation product may avoid medical-device oversight, but diagnosis suggestions, clinical prioritization, autonomous orders or treatment recommendations can change its regulatory classification. This can add validation, quality-system and post-market obligations in both the US and India. </w:t>
      </w:r>
      <w:hyperlink r:id="rId62" w:history="1">
        <w:r w:rsidRPr="001D6291">
          <w:rPr>
            <w:rStyle w:val="Hyperlink"/>
          </w:rPr>
          <w:t>[fda.gov]</w:t>
        </w:r>
      </w:hyperlink>
      <w:r w:rsidRPr="001D6291">
        <w:t xml:space="preserve">, </w:t>
      </w:r>
      <w:hyperlink r:id="rId63" w:history="1">
        <w:r w:rsidRPr="001D6291">
          <w:rPr>
            <w:rStyle w:val="Hyperlink"/>
          </w:rPr>
          <w:t>[cdsco.gov.in]</w:t>
        </w:r>
      </w:hyperlink>
    </w:p>
    <w:p w14:paraId="2E58B62C" w14:textId="77777777" w:rsidR="001D6291" w:rsidRPr="001D6291" w:rsidRDefault="001D6291" w:rsidP="001D6291">
      <w:pPr>
        <w:numPr>
          <w:ilvl w:val="0"/>
          <w:numId w:val="8"/>
        </w:numPr>
      </w:pPr>
      <w:r w:rsidRPr="001D6291">
        <w:rPr>
          <w:b/>
          <w:bCs/>
        </w:rPr>
        <w:t>India localization fails despite high headline accuracy.</w:t>
      </w:r>
      <w:r w:rsidRPr="001D6291">
        <w:t xml:space="preserve"> Indian consultations are frequently multilingual, code-mixed, noisy and structurally different from US training data. The lack of shared real-world Indian benchmarks means vendor accuracy claims are difficult for buyers or investors to compare independently. </w:t>
      </w:r>
      <w:hyperlink r:id="rId64" w:history="1">
        <w:r w:rsidRPr="001D6291">
          <w:rPr>
            <w:rStyle w:val="Hyperlink"/>
          </w:rPr>
          <w:t>[arxiv.org]</w:t>
        </w:r>
      </w:hyperlink>
    </w:p>
    <w:p w14:paraId="1C5173CD" w14:textId="77777777" w:rsidR="001D6291" w:rsidRPr="001D6291" w:rsidRDefault="001D6291" w:rsidP="001D6291">
      <w:pPr>
        <w:numPr>
          <w:ilvl w:val="0"/>
          <w:numId w:val="8"/>
        </w:numPr>
      </w:pPr>
      <w:r w:rsidRPr="001D6291">
        <w:rPr>
          <w:b/>
          <w:bCs/>
        </w:rPr>
        <w:t>ROI proves to be satisfaction-led rather than cash-led.</w:t>
      </w:r>
      <w:r w:rsidRPr="001D6291">
        <w:t xml:space="preserve"> Reduced cognitive load and better clinician experience are valuable, but they do not automatically produce incremental revenue or cost reduction. If saved time is not converted into more visits, lower attrition, improved coding or reduced support labour, health systems may resist enterprise-wide recurring fees. The JAMA study showed workflow benefits but no statistically significant burnout reduction in its paired sample. </w:t>
      </w:r>
      <w:hyperlink r:id="rId65" w:history="1">
        <w:r w:rsidRPr="001D6291">
          <w:rPr>
            <w:rStyle w:val="Hyperlink"/>
          </w:rPr>
          <w:t>[jamanetwork.com]</w:t>
        </w:r>
      </w:hyperlink>
    </w:p>
    <w:p w14:paraId="7BD453B0" w14:textId="77777777" w:rsidR="001D6291" w:rsidRPr="001D6291" w:rsidRDefault="001D6291" w:rsidP="001D6291">
      <w:pPr>
        <w:rPr>
          <w:b/>
          <w:bCs/>
        </w:rPr>
      </w:pPr>
      <w:r w:rsidRPr="001D6291">
        <w:rPr>
          <w:b/>
          <w:bCs/>
        </w:rPr>
        <w:t>8. PE Attractiveness Verdict</w:t>
      </w:r>
    </w:p>
    <w:p w14:paraId="12E4B3C9" w14:textId="2EDB9054" w:rsidR="00AE71F0" w:rsidRDefault="001D6291">
      <w:r w:rsidRPr="001D6291">
        <w:rPr>
          <w:b/>
          <w:bCs/>
        </w:rPr>
        <w:t>Selective.</w:t>
      </w:r>
      <w:r w:rsidRPr="001D6291">
        <w:t xml:space="preserve"> Ambient documentation is already proven at scale in US outpatient settings, has visible clinician demand and offers a credible beachhead into coding, revenue cycle, orders and broader clinical workflows. However, ambient note generation alone is rapidly commoditizing, rivalry is intense, valuations for leaders reflect substantial future platform value, and EHR/cloud incumbents can bundle competing functionality. The most attractive PE assets are therefore not pure scribes, but profitable documentation or healthcare-workflow platforms with deep EHR integration, proprietary specialty or multilingual data, demonstrated retention and measurable revenue-cycle ROI. India is earlier and potentially attractive for a lower-cost, multilingual, ABDM-integrated platform, but market-sizing quality, EMR penetration and independent clinical validation remain insufficient for a broad “deploy now” thesis.</w:t>
      </w:r>
    </w:p>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0872"/>
    <w:multiLevelType w:val="multilevel"/>
    <w:tmpl w:val="512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480F"/>
    <w:multiLevelType w:val="multilevel"/>
    <w:tmpl w:val="4378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428B"/>
    <w:multiLevelType w:val="multilevel"/>
    <w:tmpl w:val="22E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448D6"/>
    <w:multiLevelType w:val="multilevel"/>
    <w:tmpl w:val="1512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904A9"/>
    <w:multiLevelType w:val="multilevel"/>
    <w:tmpl w:val="E41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A250C"/>
    <w:multiLevelType w:val="multilevel"/>
    <w:tmpl w:val="D80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6460F"/>
    <w:multiLevelType w:val="multilevel"/>
    <w:tmpl w:val="C55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B1DD2"/>
    <w:multiLevelType w:val="multilevel"/>
    <w:tmpl w:val="7A9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9875">
    <w:abstractNumId w:val="0"/>
  </w:num>
  <w:num w:numId="2" w16cid:durableId="1901594849">
    <w:abstractNumId w:val="6"/>
  </w:num>
  <w:num w:numId="3" w16cid:durableId="155000827">
    <w:abstractNumId w:val="5"/>
  </w:num>
  <w:num w:numId="4" w16cid:durableId="1396396892">
    <w:abstractNumId w:val="2"/>
  </w:num>
  <w:num w:numId="5" w16cid:durableId="1788116189">
    <w:abstractNumId w:val="4"/>
  </w:num>
  <w:num w:numId="6" w16cid:durableId="1832090352">
    <w:abstractNumId w:val="7"/>
  </w:num>
  <w:num w:numId="7" w16cid:durableId="501699440">
    <w:abstractNumId w:val="1"/>
  </w:num>
  <w:num w:numId="8" w16cid:durableId="2039037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91"/>
    <w:rsid w:val="000B6152"/>
    <w:rsid w:val="001D6291"/>
    <w:rsid w:val="00513609"/>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FE2D"/>
  <w15:chartTrackingRefBased/>
  <w15:docId w15:val="{E65401E1-8C0B-40ED-8030-C32A43A1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91"/>
    <w:rPr>
      <w:rFonts w:eastAsiaTheme="majorEastAsia" w:cstheme="majorBidi"/>
      <w:color w:val="272727" w:themeColor="text1" w:themeTint="D8"/>
    </w:rPr>
  </w:style>
  <w:style w:type="paragraph" w:styleId="Title">
    <w:name w:val="Title"/>
    <w:basedOn w:val="Normal"/>
    <w:next w:val="Normal"/>
    <w:link w:val="TitleChar"/>
    <w:uiPriority w:val="10"/>
    <w:qFormat/>
    <w:rsid w:val="001D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91"/>
    <w:pPr>
      <w:spacing w:before="160"/>
      <w:jc w:val="center"/>
    </w:pPr>
    <w:rPr>
      <w:i/>
      <w:iCs/>
      <w:color w:val="404040" w:themeColor="text1" w:themeTint="BF"/>
    </w:rPr>
  </w:style>
  <w:style w:type="character" w:customStyle="1" w:styleId="QuoteChar">
    <w:name w:val="Quote Char"/>
    <w:basedOn w:val="DefaultParagraphFont"/>
    <w:link w:val="Quote"/>
    <w:uiPriority w:val="29"/>
    <w:rsid w:val="001D6291"/>
    <w:rPr>
      <w:i/>
      <w:iCs/>
      <w:color w:val="404040" w:themeColor="text1" w:themeTint="BF"/>
    </w:rPr>
  </w:style>
  <w:style w:type="paragraph" w:styleId="ListParagraph">
    <w:name w:val="List Paragraph"/>
    <w:basedOn w:val="Normal"/>
    <w:uiPriority w:val="34"/>
    <w:qFormat/>
    <w:rsid w:val="001D6291"/>
    <w:pPr>
      <w:ind w:left="720"/>
      <w:contextualSpacing/>
    </w:pPr>
  </w:style>
  <w:style w:type="character" w:styleId="IntenseEmphasis">
    <w:name w:val="Intense Emphasis"/>
    <w:basedOn w:val="DefaultParagraphFont"/>
    <w:uiPriority w:val="21"/>
    <w:qFormat/>
    <w:rsid w:val="001D6291"/>
    <w:rPr>
      <w:i/>
      <w:iCs/>
      <w:color w:val="0F4761" w:themeColor="accent1" w:themeShade="BF"/>
    </w:rPr>
  </w:style>
  <w:style w:type="paragraph" w:styleId="IntenseQuote">
    <w:name w:val="Intense Quote"/>
    <w:basedOn w:val="Normal"/>
    <w:next w:val="Normal"/>
    <w:link w:val="IntenseQuoteChar"/>
    <w:uiPriority w:val="30"/>
    <w:qFormat/>
    <w:rsid w:val="001D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291"/>
    <w:rPr>
      <w:i/>
      <w:iCs/>
      <w:color w:val="0F4761" w:themeColor="accent1" w:themeShade="BF"/>
    </w:rPr>
  </w:style>
  <w:style w:type="character" w:styleId="IntenseReference">
    <w:name w:val="Intense Reference"/>
    <w:basedOn w:val="DefaultParagraphFont"/>
    <w:uiPriority w:val="32"/>
    <w:qFormat/>
    <w:rsid w:val="001D6291"/>
    <w:rPr>
      <w:b/>
      <w:bCs/>
      <w:smallCaps/>
      <w:color w:val="0F4761" w:themeColor="accent1" w:themeShade="BF"/>
      <w:spacing w:val="5"/>
    </w:rPr>
  </w:style>
  <w:style w:type="character" w:styleId="Hyperlink">
    <w:name w:val="Hyperlink"/>
    <w:basedOn w:val="DefaultParagraphFont"/>
    <w:uiPriority w:val="99"/>
    <w:unhideWhenUsed/>
    <w:rsid w:val="001D6291"/>
    <w:rPr>
      <w:color w:val="467886" w:themeColor="hyperlink"/>
      <w:u w:val="single"/>
    </w:rPr>
  </w:style>
  <w:style w:type="character" w:styleId="UnresolvedMention">
    <w:name w:val="Unresolved Mention"/>
    <w:basedOn w:val="DefaultParagraphFont"/>
    <w:uiPriority w:val="99"/>
    <w:semiHidden/>
    <w:unhideWhenUsed/>
    <w:rsid w:val="001D6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ercehealthcare.com/ai-and-machine-learning/ambient-ai-startup-abridge-scores-300m-series-e-backed-a16z-and-khosla" TargetMode="External"/><Relationship Id="rId21" Type="http://schemas.openxmlformats.org/officeDocument/2006/relationships/hyperlink" Target="https://www.fda.gov/medical-devices/device-approvals-and-clearances/510k-clearances" TargetMode="External"/><Relationship Id="rId34" Type="http://schemas.openxmlformats.org/officeDocument/2006/relationships/hyperlink" Target="https://www.nabla.com/press-release/nabla-raises-70m-series-c-to-deliver-agentic-ai-to-the-heart-of-clinical-workflows-bringing-total-funding-to-120m" TargetMode="External"/><Relationship Id="rId42" Type="http://schemas.openxmlformats.org/officeDocument/2006/relationships/hyperlink" Target="https://www.commure.com/blog/commure-and-athelas-sign-deal-to-acquire-augmedix" TargetMode="External"/><Relationship Id="rId47" Type="http://schemas.openxmlformats.org/officeDocument/2006/relationships/hyperlink" Target="https://www.forrester.com/blogs/microsoft-doubles-down-on-healthcare-and-conversational-ai-with-19-7b-purchase-of-nuance/" TargetMode="External"/><Relationship Id="rId50" Type="http://schemas.openxmlformats.org/officeDocument/2006/relationships/hyperlink" Target="https://medcurity.com/ambient-ai-documentation-hipaa/" TargetMode="External"/><Relationship Id="rId55" Type="http://schemas.openxmlformats.org/officeDocument/2006/relationships/hyperlink" Target="https://cliniexperts.com/software-as-a-medical-device-samd-indias-regulatory-stance/" TargetMode="External"/><Relationship Id="rId63" Type="http://schemas.openxmlformats.org/officeDocument/2006/relationships/hyperlink" Target="https://cdsco.gov.in/opencms/export/sites/CDSCO_WEB/Pdf-documents/Guidance-document-on-Medical-Device-Software-under-MDR-2017.pdf" TargetMode="External"/><Relationship Id="rId7" Type="http://schemas.openxmlformats.org/officeDocument/2006/relationships/hyperlink" Target="https://www.astuteanalytica.com/industry-report/ai-clinical-documentation-ambient-scribe-market" TargetMode="External"/><Relationship Id="rId2" Type="http://schemas.openxmlformats.org/officeDocument/2006/relationships/styles" Target="styles.xml"/><Relationship Id="rId16" Type="http://schemas.openxmlformats.org/officeDocument/2006/relationships/hyperlink" Target="https://www.nabla.com/blog/70m-series-c" TargetMode="External"/><Relationship Id="rId29" Type="http://schemas.openxmlformats.org/officeDocument/2006/relationships/hyperlink" Target="https://www.healthcareittoday.com/2024/10/11/suki-secures-70m-series-d-funding-as-demand-surges-expands-strategic-partnership-with-medstar-health/" TargetMode="External"/><Relationship Id="rId11" Type="http://schemas.openxmlformats.org/officeDocument/2006/relationships/hyperlink" Target="https://www.marketsandmarkets.com/Market-Reports/geography/artificial-intelligence-healthcare-market/india" TargetMode="External"/><Relationship Id="rId24" Type="http://schemas.openxmlformats.org/officeDocument/2006/relationships/hyperlink" Target="https://hipaa-agents.com/blog/what-happened-to-dragon-dictate/" TargetMode="External"/><Relationship Id="rId32" Type="http://schemas.openxmlformats.org/officeDocument/2006/relationships/hyperlink" Target="https://info.eka.care/services/eka-care-funding-seriesa" TargetMode="External"/><Relationship Id="rId37" Type="http://schemas.openxmlformats.org/officeDocument/2006/relationships/hyperlink" Target="https://arxiv.org/html/2609.17355v1" TargetMode="External"/><Relationship Id="rId40" Type="http://schemas.openxmlformats.org/officeDocument/2006/relationships/hyperlink" Target="https://www.augmedix.com/press-release/augmedix-to-join-forces-with-commure" TargetMode="External"/><Relationship Id="rId45" Type="http://schemas.openxmlformats.org/officeDocument/2006/relationships/hyperlink" Target="https://www.nabla.com/press-release/nabla-raises-70m-series-c-to-deliver-agentic-ai-to-the-heart-of-clinical-workflows-bringing-total-funding-to-120m" TargetMode="External"/><Relationship Id="rId53" Type="http://schemas.openxmlformats.org/officeDocument/2006/relationships/hyperlink" Target="https://www.fda.gov/regulatory-information/search-fda-guidance-documents/clinical-decision-support-software" TargetMode="External"/><Relationship Id="rId58" Type="http://schemas.openxmlformats.org/officeDocument/2006/relationships/hyperlink" Target="https://abdm.gov.in/strapicms/uploads/health_management_policy_bac9429a79.pdf" TargetMode="External"/><Relationship Id="rId66" Type="http://schemas.openxmlformats.org/officeDocument/2006/relationships/fontTable" Target="fontTable.xml"/><Relationship Id="rId5" Type="http://schemas.openxmlformats.org/officeDocument/2006/relationships/hyperlink" Target="https://www.mordorintelligence.com/industry-reports/ai-in-clinical-documentation-market" TargetMode="External"/><Relationship Id="rId61" Type="http://schemas.openxmlformats.org/officeDocument/2006/relationships/hyperlink" Target="https://pmc.ncbi.nlm.nih.gov/articles/PMC12973079/" TargetMode="External"/><Relationship Id="rId19" Type="http://schemas.openxmlformats.org/officeDocument/2006/relationships/hyperlink" Target="https://jamanetwork.com/journals/jamanetworkopen/fullarticle/2833433" TargetMode="External"/><Relationship Id="rId14" Type="http://schemas.openxmlformats.org/officeDocument/2006/relationships/hyperlink" Target="https://www.fiercehealthcare.com/ai-and-machine-learning/ambient-ai-startup-abridge-scores-300m-series-e-backed-a16z-and-khosla" TargetMode="External"/><Relationship Id="rId22" Type="http://schemas.openxmlformats.org/officeDocument/2006/relationships/hyperlink" Target="https://arxiv.org/html/2609.17355v1" TargetMode="External"/><Relationship Id="rId27" Type="http://schemas.openxmlformats.org/officeDocument/2006/relationships/hyperlink" Target="https://www.nabla.com/press-release/nabla-raises-70m-series-c-to-deliver-agentic-ai-to-the-heart-of-clinical-workflows-bringing-total-funding-to-120m" TargetMode="External"/><Relationship Id="rId30" Type="http://schemas.openxmlformats.org/officeDocument/2006/relationships/hyperlink" Target="https://www.healthcaredive.com/news/suki-70-million-Series-D-funding/729573/" TargetMode="External"/><Relationship Id="rId35" Type="http://schemas.openxmlformats.org/officeDocument/2006/relationships/hyperlink" Target="https://www.healthcareittoday.com/2024/10/11/suki-secures-70m-series-d-funding-as-demand-surges-expands-strategic-partnership-with-medstar-health/" TargetMode="External"/><Relationship Id="rId43" Type="http://schemas.openxmlformats.org/officeDocument/2006/relationships/hyperlink" Target="https://www.abridge.com/blog/series-e" TargetMode="External"/><Relationship Id="rId48" Type="http://schemas.openxmlformats.org/officeDocument/2006/relationships/hyperlink" Target="https://www.fda.gov/regulatory-information/search-fda-guidance-documents/clinical-decision-support-software" TargetMode="External"/><Relationship Id="rId56" Type="http://schemas.openxmlformats.org/officeDocument/2006/relationships/hyperlink" Target="https://static.pib.gov.in/WriteReadData/specificdocs/documents/2025/nov/doc20251117695301.pdf" TargetMode="External"/><Relationship Id="rId64" Type="http://schemas.openxmlformats.org/officeDocument/2006/relationships/hyperlink" Target="https://arxiv.org/html/2609.17355v1" TargetMode="External"/><Relationship Id="rId8" Type="http://schemas.openxmlformats.org/officeDocument/2006/relationships/hyperlink" Target="https://virtuemarketresearch.com/report/united-states-ambient-clinical-documentation-ai-market" TargetMode="External"/><Relationship Id="rId51" Type="http://schemas.openxmlformats.org/officeDocument/2006/relationships/hyperlink" Target="https://transcribe.health/en-us/blog/patient-consent-ai-scribe-recording" TargetMode="External"/><Relationship Id="rId3" Type="http://schemas.openxmlformats.org/officeDocument/2006/relationships/settings" Target="settings.xml"/><Relationship Id="rId12" Type="http://schemas.openxmlformats.org/officeDocument/2006/relationships/hyperlink" Target="https://permanente.org/quality-assurance-informs-large-scale-use-of-ambient-ai-clinical-documentation/" TargetMode="External"/><Relationship Id="rId17" Type="http://schemas.openxmlformats.org/officeDocument/2006/relationships/hyperlink" Target="https://augnito.ai/" TargetMode="External"/><Relationship Id="rId25" Type="http://schemas.openxmlformats.org/officeDocument/2006/relationships/hyperlink" Target="https://www.abridge.com/blog/series-e" TargetMode="External"/><Relationship Id="rId33" Type="http://schemas.openxmlformats.org/officeDocument/2006/relationships/hyperlink" Target="https://www.abridge.com/blog/series-e" TargetMode="External"/><Relationship Id="rId38" Type="http://schemas.openxmlformats.org/officeDocument/2006/relationships/hyperlink" Target="https://www.fda.gov/regulatory-information/search-fda-guidance-documents/clinical-decision-support-software" TargetMode="External"/><Relationship Id="rId46" Type="http://schemas.openxmlformats.org/officeDocument/2006/relationships/hyperlink" Target="https://www.healthcareittoday.com/2024/10/11/suki-secures-70m-series-d-funding-as-demand-surges-expands-strategic-partnership-with-medstar-health/" TargetMode="External"/><Relationship Id="rId59" Type="http://schemas.openxmlformats.org/officeDocument/2006/relationships/hyperlink" Target="https://pib.gov.in/PressReleasePage.aspx?PRID=1942715" TargetMode="External"/><Relationship Id="rId67" Type="http://schemas.openxmlformats.org/officeDocument/2006/relationships/theme" Target="theme/theme1.xml"/><Relationship Id="rId20" Type="http://schemas.openxmlformats.org/officeDocument/2006/relationships/hyperlink" Target="https://www.fda.gov/regulatory-information/search-fda-guidance-documents/clinical-decision-support-software" TargetMode="External"/><Relationship Id="rId41" Type="http://schemas.openxmlformats.org/officeDocument/2006/relationships/hyperlink" Target="https://www.augmedix.com/resources/commure-completes-merger-with-augmedix" TargetMode="External"/><Relationship Id="rId54" Type="http://schemas.openxmlformats.org/officeDocument/2006/relationships/hyperlink" Target="https://cdsco.gov.in/opencms/export/sites/CDSCO_WEB/Pdf-documents/Guidance-document-on-Medical-Device-Software-under-MDR-2017.pdf" TargetMode="External"/><Relationship Id="rId62" Type="http://schemas.openxmlformats.org/officeDocument/2006/relationships/hyperlink" Target="https://www.fda.gov/regulatory-information/search-fda-guidance-documents/clinical-decision-support-software" TargetMode="External"/><Relationship Id="rId1" Type="http://schemas.openxmlformats.org/officeDocument/2006/relationships/numbering" Target="numbering.xml"/><Relationship Id="rId6" Type="http://schemas.openxmlformats.org/officeDocument/2006/relationships/hyperlink" Target="https://www.thebusinessresearchcompany.com/report/artificial-intelligence-ai-powered-clinical-documentation-global-market-report" TargetMode="External"/><Relationship Id="rId15" Type="http://schemas.openxmlformats.org/officeDocument/2006/relationships/hyperlink" Target="https://www.nabla.com/press-release/nabla-raises-70m-series-c-to-deliver-agentic-ai-to-the-heart-of-clinical-workflows-bringing-total-funding-to-120m" TargetMode="External"/><Relationship Id="rId23" Type="http://schemas.openxmlformats.org/officeDocument/2006/relationships/hyperlink" Target="https://www.forrester.com/blogs/microsoft-doubles-down-on-healthcare-and-conversational-ai-with-19-7b-purchase-of-nuance/" TargetMode="External"/><Relationship Id="rId28" Type="http://schemas.openxmlformats.org/officeDocument/2006/relationships/hyperlink" Target="https://www.nabla.com/blog/70m-series-c" TargetMode="External"/><Relationship Id="rId36" Type="http://schemas.openxmlformats.org/officeDocument/2006/relationships/hyperlink" Target="https://permanente.org/quality-assurance-informs-large-scale-use-of-ambient-ai-clinical-documentation/" TargetMode="External"/><Relationship Id="rId49" Type="http://schemas.openxmlformats.org/officeDocument/2006/relationships/hyperlink" Target="https://www.fda.gov/media/191560/download" TargetMode="External"/><Relationship Id="rId57" Type="http://schemas.openxmlformats.org/officeDocument/2006/relationships/hyperlink" Target="https://www.dpdpa.com/DPDP_Rules_2025_English_only.pdf" TargetMode="External"/><Relationship Id="rId10" Type="http://schemas.openxmlformats.org/officeDocument/2006/relationships/hyperlink" Target="https://www.mordorintelligence.com/industry-reports/india-electronic-medical-records-market" TargetMode="External"/><Relationship Id="rId31" Type="http://schemas.openxmlformats.org/officeDocument/2006/relationships/hyperlink" Target="https://augnito.ai/" TargetMode="External"/><Relationship Id="rId44" Type="http://schemas.openxmlformats.org/officeDocument/2006/relationships/hyperlink" Target="https://www.fiercehealthcare.com/ai-and-machine-learning/ambient-ai-startup-abridge-scores-300m-series-e-backed-a16z-and-khosla" TargetMode="External"/><Relationship Id="rId52" Type="http://schemas.openxmlformats.org/officeDocument/2006/relationships/hyperlink" Target="https://www.healthit.gov/wp-content/uploads/2023/12/HTI-1_DSI_fact-sheet_508.pdf" TargetMode="External"/><Relationship Id="rId60" Type="http://schemas.openxmlformats.org/officeDocument/2006/relationships/hyperlink" Target="https://cdsco.gov.in/opencms/export/sites/CDSCO_WEB/Pdf-documents/Guidance-document-on-Medical-Device-Software-under-MDR-2017.pdf" TargetMode="External"/><Relationship Id="rId65" Type="http://schemas.openxmlformats.org/officeDocument/2006/relationships/hyperlink" Target="https://jamanetwork.com/journals/jamanetworkopen/fullarticle/2833433" TargetMode="External"/><Relationship Id="rId4" Type="http://schemas.openxmlformats.org/officeDocument/2006/relationships/webSettings" Target="webSettings.xml"/><Relationship Id="rId9" Type="http://schemas.openxmlformats.org/officeDocument/2006/relationships/hyperlink" Target="https://www.psmarketresearch.com/market-analysis/us-clinical-documentation-market" TargetMode="External"/><Relationship Id="rId13" Type="http://schemas.openxmlformats.org/officeDocument/2006/relationships/hyperlink" Target="https://www.abridge.com/blog/series-e" TargetMode="External"/><Relationship Id="rId18" Type="http://schemas.openxmlformats.org/officeDocument/2006/relationships/hyperlink" Target="https://pmc.ncbi.nlm.nih.gov/articles/PMC12973079/" TargetMode="External"/><Relationship Id="rId39" Type="http://schemas.openxmlformats.org/officeDocument/2006/relationships/hyperlink" Target="https://medcurity.com/ambient-ai-documentation-hip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4886</Words>
  <Characters>22772</Characters>
  <Application>Microsoft Office Word</Application>
  <DocSecurity>0</DocSecurity>
  <Lines>1518</Lines>
  <Paragraphs>1455</Paragraphs>
  <ScaleCrop>false</ScaleCrop>
  <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2026-09-16T09:01:00Z</dcterms:created>
  <dcterms:modified xsi:type="dcterms:W3CDTF">2026-09-16T09:02:00Z</dcterms:modified>
</cp:coreProperties>
</file>